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8,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INVESTMENT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8, 2018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140"/>
        <w:spacing w:after="0" w:line="264"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$3,330 was paid for the period May 31, 2018 through May 31, 2019.</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1280"/>
          </w:cols>
          <w:pgMar w:left="240" w:top="233"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undersigned, Thomas J. Friedmann, Secretary of PennantPark Investment Corporation, a Maryland corporation (the “Corporation”), does hereby certify that:</w:t>
      </w:r>
    </w:p>
    <w:p>
      <w:pPr>
        <w:spacing w:after="0" w:line="76"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2018 to May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8th day of June,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3192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34290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292100</wp:posOffset>
            </wp:positionV>
            <wp:extent cx="114935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5"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INSURED:</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1040" w:right="8480" w:hanging="5"/>
        <w:spacing w:after="0" w:line="250" w:lineRule="auto"/>
        <w:tabs>
          <w:tab w:leader="none" w:pos="1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104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(hereinafter,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960" w:type="dxa"/>
            <w:vAlign w:val="bottom"/>
            <w:gridSpan w:val="2"/>
          </w:tcPr>
          <w:p>
            <w:pPr>
              <w:ind w:left="220"/>
              <w:spacing w:after="0"/>
              <w:rPr>
                <w:sz w:val="20"/>
                <w:szCs w:val="20"/>
                <w:color w:val="auto"/>
              </w:rPr>
            </w:pPr>
            <w:r>
              <w:rPr>
                <w:rFonts w:ascii="Arial" w:cs="Arial" w:eastAsia="Arial" w:hAnsi="Arial"/>
                <w:sz w:val="18"/>
                <w:szCs w:val="18"/>
                <w:b w:val="1"/>
                <w:bCs w:val="1"/>
                <w:color w:val="auto"/>
              </w:rPr>
              <w:t>POLICY PERIOD:</w:t>
            </w:r>
          </w:p>
        </w:tc>
        <w:tc>
          <w:tcPr>
            <w:tcW w:w="7640" w:type="dxa"/>
            <w:vAlign w:val="bottom"/>
          </w:tcPr>
          <w:p>
            <w:pPr>
              <w:spacing w:after="0"/>
              <w:rPr>
                <w:sz w:val="20"/>
                <w:szCs w:val="20"/>
                <w:color w:val="auto"/>
              </w:rPr>
            </w:pPr>
          </w:p>
        </w:tc>
      </w:tr>
      <w:tr>
        <w:trPr>
          <w:trHeight w:val="310"/>
        </w:trPr>
        <w:tc>
          <w:tcPr>
            <w:tcW w:w="820" w:type="dxa"/>
            <w:vAlign w:val="bottom"/>
          </w:tcPr>
          <w:p>
            <w:pPr>
              <w:spacing w:after="0"/>
              <w:rPr>
                <w:sz w:val="24"/>
                <w:szCs w:val="24"/>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Inception Date: May 31, 2018</w:t>
            </w:r>
          </w:p>
        </w:tc>
        <w:tc>
          <w:tcPr>
            <w:tcW w:w="7640" w:type="dxa"/>
            <w:vAlign w:val="bottom"/>
          </w:tcPr>
          <w:p>
            <w:pPr>
              <w:ind w:left="320"/>
              <w:spacing w:after="0"/>
              <w:rPr>
                <w:sz w:val="20"/>
                <w:szCs w:val="20"/>
                <w:color w:val="auto"/>
              </w:rPr>
            </w:pPr>
            <w:r>
              <w:rPr>
                <w:rFonts w:ascii="Arial" w:cs="Arial" w:eastAsia="Arial" w:hAnsi="Arial"/>
                <w:sz w:val="18"/>
                <w:szCs w:val="18"/>
                <w:color w:val="auto"/>
              </w:rPr>
              <w:t>Expiration Date: May 31, 2019</w:t>
            </w:r>
          </w:p>
        </w:tc>
      </w:tr>
      <w:tr>
        <w:trPr>
          <w:trHeight w:val="230"/>
        </w:trPr>
        <w:tc>
          <w:tcPr>
            <w:tcW w:w="820" w:type="dxa"/>
            <w:vAlign w:val="bottom"/>
          </w:tcPr>
          <w:p>
            <w:pPr>
              <w:spacing w:after="0"/>
              <w:rPr>
                <w:sz w:val="20"/>
                <w:szCs w:val="20"/>
                <w:color w:val="auto"/>
              </w:rPr>
            </w:pPr>
          </w:p>
        </w:tc>
        <w:tc>
          <w:tcPr>
            <w:tcW w:w="10600" w:type="dxa"/>
            <w:vAlign w:val="bottom"/>
            <w:gridSpan w:val="3"/>
          </w:tcPr>
          <w:p>
            <w:pPr>
              <w:ind w:left="220"/>
              <w:spacing w:after="0"/>
              <w:rPr>
                <w:sz w:val="20"/>
                <w:szCs w:val="20"/>
                <w:color w:val="auto"/>
              </w:rPr>
            </w:pPr>
            <w:r>
              <w:rPr>
                <w:rFonts w:ascii="Arial" w:cs="Arial" w:eastAsia="Arial" w:hAnsi="Arial"/>
                <w:sz w:val="18"/>
                <w:szCs w:val="18"/>
                <w:color w:val="auto"/>
              </w:rPr>
              <w:t>12:01 A.M. local time as to both dates at the Principal Address stated in ITEM 1.</w:t>
            </w:r>
          </w:p>
        </w:tc>
      </w:tr>
      <w:tr>
        <w:trPr>
          <w:trHeight w:val="419"/>
        </w:trPr>
        <w:tc>
          <w:tcPr>
            <w:tcW w:w="82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gridSpan w:val="3"/>
          </w:tcPr>
          <w:p>
            <w:pPr>
              <w:spacing w:after="0"/>
              <w:rPr>
                <w:sz w:val="24"/>
                <w:szCs w:val="24"/>
                <w:color w:val="auto"/>
              </w:rPr>
            </w:pPr>
          </w:p>
        </w:tc>
      </w:tr>
      <w:tr>
        <w:trPr>
          <w:trHeight w:val="2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600" w:type="dxa"/>
            <w:vAlign w:val="bottom"/>
            <w:gridSpan w:val="3"/>
          </w:tcPr>
          <w:p>
            <w:pPr>
              <w:ind w:left="220"/>
              <w:spacing w:after="0"/>
              <w:rPr>
                <w:sz w:val="20"/>
                <w:szCs w:val="20"/>
                <w:color w:val="auto"/>
              </w:rPr>
            </w:pPr>
            <w:r>
              <w:rPr>
                <w:rFonts w:ascii="Arial" w:cs="Arial" w:eastAsia="Arial" w:hAnsi="Arial"/>
                <w:sz w:val="18"/>
                <w:szCs w:val="18"/>
                <w:b w:val="1"/>
                <w:bCs w:val="1"/>
                <w:color w:val="auto"/>
              </w:rPr>
              <w:t>ALL NOTICES OF CLAIM OR LOSS MUST BE SENT TO THE COMPANY BY EMAIL, FACSIMILE, OR MAIL AS SET FORTH</w:t>
            </w:r>
          </w:p>
        </w:tc>
      </w:tr>
      <w:tr>
        <w:trPr>
          <w:trHeight w:val="234"/>
        </w:trPr>
        <w:tc>
          <w:tcPr>
            <w:tcW w:w="82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BELOW:</w:t>
            </w:r>
          </w:p>
        </w:tc>
        <w:tc>
          <w:tcPr>
            <w:tcW w:w="198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310"/>
        </w:trPr>
        <w:tc>
          <w:tcPr>
            <w:tcW w:w="820" w:type="dxa"/>
            <w:vAlign w:val="bottom"/>
          </w:tcPr>
          <w:p>
            <w:pPr>
              <w:spacing w:after="0"/>
              <w:rPr>
                <w:sz w:val="24"/>
                <w:szCs w:val="24"/>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Email: BSIclaims@travelers.com</w:t>
            </w:r>
          </w:p>
        </w:tc>
        <w:tc>
          <w:tcPr>
            <w:tcW w:w="764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Fax: (888) 460-6622</w:t>
            </w:r>
          </w:p>
        </w:tc>
        <w:tc>
          <w:tcPr>
            <w:tcW w:w="764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Mail:</w:t>
            </w:r>
          </w:p>
        </w:tc>
        <w:tc>
          <w:tcPr>
            <w:tcW w:w="9620" w:type="dxa"/>
            <w:vAlign w:val="bottom"/>
            <w:gridSpan w:val="2"/>
          </w:tcPr>
          <w:p>
            <w:pPr>
              <w:ind w:left="20"/>
              <w:spacing w:after="0"/>
              <w:rPr>
                <w:sz w:val="20"/>
                <w:szCs w:val="20"/>
                <w:color w:val="auto"/>
              </w:rPr>
            </w:pPr>
            <w:r>
              <w:rPr>
                <w:rFonts w:ascii="Arial" w:cs="Arial" w:eastAsia="Arial" w:hAnsi="Arial"/>
                <w:sz w:val="18"/>
                <w:szCs w:val="18"/>
                <w:color w:val="auto"/>
              </w:rPr>
              <w:t>Travelers Bond &amp; Specialty Insurance Claim</w:t>
            </w:r>
          </w:p>
        </w:tc>
      </w:tr>
      <w:tr>
        <w:trPr>
          <w:trHeight w:val="216"/>
        </w:trPr>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20" w:type="dxa"/>
            <w:vAlign w:val="bottom"/>
            <w:gridSpan w:val="2"/>
          </w:tcPr>
          <w:p>
            <w:pPr>
              <w:ind w:left="40"/>
              <w:spacing w:after="0"/>
              <w:rPr>
                <w:sz w:val="20"/>
                <w:szCs w:val="20"/>
                <w:color w:val="auto"/>
              </w:rPr>
            </w:pPr>
            <w:r>
              <w:rPr>
                <w:rFonts w:ascii="Arial" w:cs="Arial" w:eastAsia="Arial" w:hAnsi="Arial"/>
                <w:sz w:val="18"/>
                <w:szCs w:val="18"/>
                <w:color w:val="auto"/>
              </w:rPr>
              <w:t>385 Washington St. – Mail Code 9275-NB03F</w:t>
            </w:r>
          </w:p>
        </w:tc>
      </w:tr>
      <w:tr>
        <w:trPr>
          <w:trHeight w:val="230"/>
        </w:trPr>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St Paul, MN 55102</w:t>
            </w:r>
          </w:p>
        </w:tc>
        <w:tc>
          <w:tcPr>
            <w:tcW w:w="7640" w:type="dxa"/>
            <w:vAlign w:val="bottom"/>
          </w:tcPr>
          <w:p>
            <w:pPr>
              <w:spacing w:after="0"/>
              <w:rPr>
                <w:sz w:val="20"/>
                <w:szCs w:val="20"/>
                <w:color w:val="auto"/>
              </w:rPr>
            </w:pPr>
          </w:p>
        </w:tc>
      </w:tr>
    </w:tbl>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Travelers Bond &amp; Specialty Insurance Claim telephone number: 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1040" w:right="740" w:hanging="1025"/>
        <w:spacing w:after="0" w:line="308" w:lineRule="auto"/>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560" w:type="dxa"/>
            <w:vAlign w:val="bottom"/>
          </w:tcPr>
          <w:p>
            <w:pPr>
              <w:jc w:val="center"/>
              <w:ind w:left="6068"/>
              <w:spacing w:after="0"/>
              <w:rPr>
                <w:sz w:val="20"/>
                <w:szCs w:val="20"/>
                <w:color w:val="auto"/>
              </w:rPr>
            </w:pPr>
            <w:r>
              <w:rPr>
                <w:rFonts w:ascii="Arial" w:cs="Arial" w:eastAsia="Arial" w:hAnsi="Arial"/>
                <w:sz w:val="14"/>
                <w:szCs w:val="14"/>
                <w:b w:val="1"/>
                <w:bCs w:val="1"/>
                <w:color w:val="auto"/>
                <w:w w:val="99"/>
              </w:rPr>
              <w:t>SINGLE LOSS</w:t>
            </w:r>
          </w:p>
        </w:tc>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w w:val="99"/>
              </w:rPr>
              <w:t>SINGLE LOSS</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7560" w:type="dxa"/>
            <w:vAlign w:val="bottom"/>
          </w:tcPr>
          <w:p>
            <w:pPr>
              <w:jc w:val="center"/>
              <w:ind w:left="6068"/>
              <w:spacing w:after="0" w:line="149" w:lineRule="exact"/>
              <w:rPr>
                <w:sz w:val="20"/>
                <w:szCs w:val="20"/>
                <w:color w:val="auto"/>
              </w:rPr>
            </w:pPr>
            <w:r>
              <w:rPr>
                <w:rFonts w:ascii="Arial" w:cs="Arial" w:eastAsia="Arial" w:hAnsi="Arial"/>
                <w:sz w:val="14"/>
                <w:szCs w:val="14"/>
                <w:b w:val="1"/>
                <w:bCs w:val="1"/>
                <w:color w:val="auto"/>
              </w:rPr>
              <w:t>LIMIT OF</w:t>
            </w:r>
          </w:p>
        </w:tc>
        <w:tc>
          <w:tcPr>
            <w:tcW w:w="11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auto"/>
            </w:tcBorders>
            <w:vMerge w:val="continue"/>
          </w:tcPr>
          <w:p>
            <w:pPr>
              <w:spacing w:after="0"/>
              <w:rPr>
                <w:sz w:val="13"/>
                <w:szCs w:val="13"/>
                <w:color w:val="auto"/>
              </w:rPr>
            </w:pPr>
          </w:p>
        </w:tc>
        <w:tc>
          <w:tcPr>
            <w:tcW w:w="7560" w:type="dxa"/>
            <w:vAlign w:val="bottom"/>
          </w:tcPr>
          <w:p>
            <w:pPr>
              <w:jc w:val="center"/>
              <w:ind w:left="6068"/>
              <w:spacing w:after="0" w:line="158" w:lineRule="exact"/>
              <w:rPr>
                <w:sz w:val="20"/>
                <w:szCs w:val="20"/>
                <w:color w:val="auto"/>
              </w:rPr>
            </w:pPr>
            <w:r>
              <w:rPr>
                <w:rFonts w:ascii="Arial" w:cs="Arial" w:eastAsia="Arial" w:hAnsi="Arial"/>
                <w:sz w:val="14"/>
                <w:szCs w:val="14"/>
                <w:b w:val="1"/>
                <w:bCs w:val="1"/>
                <w:u w:val="single" w:color="auto"/>
                <w:color w:val="auto"/>
              </w:rPr>
              <w:t>INSURANCE</w:t>
            </w:r>
          </w:p>
        </w:tc>
        <w:tc>
          <w:tcPr>
            <w:tcW w:w="1180" w:type="dxa"/>
            <w:vAlign w:val="bottom"/>
          </w:tcPr>
          <w:p>
            <w:pPr>
              <w:jc w:val="center"/>
              <w:ind w:left="168"/>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1500" w:hanging="574"/>
        <w:spacing w:after="0"/>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Coverage A.1.</w:t>
            </w:r>
          </w:p>
        </w:tc>
        <w:tc>
          <w:tcPr>
            <w:tcW w:w="4860" w:type="dxa"/>
            <w:vAlign w:val="bottom"/>
          </w:tcPr>
          <w:p>
            <w:pPr>
              <w:ind w:left="280"/>
              <w:spacing w:after="0"/>
              <w:rPr>
                <w:sz w:val="20"/>
                <w:szCs w:val="20"/>
                <w:color w:val="auto"/>
              </w:rPr>
            </w:pPr>
            <w:r>
              <w:rPr>
                <w:rFonts w:ascii="Arial" w:cs="Arial" w:eastAsia="Arial" w:hAnsi="Arial"/>
                <w:sz w:val="18"/>
                <w:szCs w:val="18"/>
                <w:color w:val="auto"/>
              </w:rPr>
              <w:t>Larceny or Embezzlement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Coverage A.2.</w:t>
            </w:r>
          </w:p>
        </w:tc>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Restoration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960" w:type="dxa"/>
            <w:vAlign w:val="bottom"/>
          </w:tcPr>
          <w:p>
            <w:pPr>
              <w:ind w:left="200"/>
              <w:spacing w:after="0"/>
              <w:rPr>
                <w:sz w:val="20"/>
                <w:szCs w:val="20"/>
                <w:color w:val="auto"/>
              </w:rPr>
            </w:pPr>
            <w:r>
              <w:rPr>
                <w:rFonts w:ascii="Arial" w:cs="Arial" w:eastAsia="Arial" w:hAnsi="Arial"/>
                <w:sz w:val="18"/>
                <w:szCs w:val="18"/>
                <w:b w:val="1"/>
                <w:bCs w:val="1"/>
                <w:color w:val="auto"/>
              </w:rPr>
              <w:t>ON PREMISES</w:t>
            </w:r>
          </w:p>
        </w:tc>
        <w:tc>
          <w:tcPr>
            <w:tcW w:w="4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08"/>
        </w:trPr>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 TRANSIT</w:t>
            </w:r>
          </w:p>
        </w:tc>
        <w:tc>
          <w:tcPr>
            <w:tcW w:w="4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D.</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FORGERY OR ALTERATION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08"/>
        </w:trPr>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SECURITIES</w:t>
            </w:r>
          </w:p>
        </w:tc>
        <w:tc>
          <w:tcPr>
            <w:tcW w:w="4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F.</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08"/>
        </w:trPr>
        <w:tc>
          <w:tcPr>
            <w:tcW w:w="3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w:t>
            </w:r>
          </w:p>
        </w:tc>
        <w:tc>
          <w:tcPr>
            <w:tcW w:w="1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CLAIM EXPENSE</w:t>
            </w:r>
          </w:p>
        </w:tc>
        <w:tc>
          <w:tcPr>
            <w:tcW w:w="4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H.</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50,000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90" w:lineRule="exact"/>
        <w:rPr>
          <w:sz w:val="20"/>
          <w:szCs w:val="20"/>
          <w:color w:val="auto"/>
        </w:rPr>
      </w:pPr>
    </w:p>
    <w:p>
      <w:pPr>
        <w:ind w:left="1500" w:hanging="574"/>
        <w:spacing w:after="0"/>
        <w:tabs>
          <w:tab w:leader="none" w:pos="1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66369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Coverage I.1.</w:t>
            </w:r>
          </w:p>
        </w:tc>
        <w:tc>
          <w:tcPr>
            <w:tcW w:w="4100" w:type="dxa"/>
            <w:vAlign w:val="bottom"/>
          </w:tcPr>
          <w:p>
            <w:pPr>
              <w:ind w:left="540"/>
              <w:spacing w:after="0"/>
              <w:rPr>
                <w:sz w:val="20"/>
                <w:szCs w:val="20"/>
                <w:color w:val="auto"/>
              </w:rPr>
            </w:pPr>
            <w:r>
              <w:rPr>
                <w:rFonts w:ascii="Arial" w:cs="Arial" w:eastAsia="Arial" w:hAnsi="Arial"/>
                <w:sz w:val="18"/>
                <w:szCs w:val="18"/>
                <w:color w:val="auto"/>
              </w:rPr>
              <w:t>Computer Fraud</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9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Coverage I.2.</w:t>
            </w:r>
          </w:p>
        </w:tc>
        <w:tc>
          <w:tcPr>
            <w:tcW w:w="4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Fraudulent Instructions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5,000,000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Coverage I.3.</w:t>
            </w:r>
          </w:p>
        </w:tc>
        <w:tc>
          <w:tcPr>
            <w:tcW w:w="4100" w:type="dxa"/>
            <w:vAlign w:val="bottom"/>
          </w:tcPr>
          <w:p>
            <w:pPr>
              <w:ind w:left="540"/>
              <w:spacing w:after="0"/>
              <w:rPr>
                <w:sz w:val="20"/>
                <w:szCs w:val="20"/>
                <w:color w:val="auto"/>
              </w:rPr>
            </w:pPr>
            <w:r>
              <w:rPr>
                <w:rFonts w:ascii="Arial" w:cs="Arial" w:eastAsia="Arial" w:hAnsi="Arial"/>
                <w:sz w:val="18"/>
                <w:szCs w:val="18"/>
                <w:color w:val="auto"/>
              </w:rPr>
              <w:t>Restoration Expense</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5,000,000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94"/>
        </w:trPr>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20" w:type="dxa"/>
            <w:vAlign w:val="bottom"/>
            <w:gridSpan w:val="2"/>
          </w:tcPr>
          <w:p>
            <w:pPr>
              <w:spacing w:after="0"/>
              <w:rPr>
                <w:sz w:val="8"/>
                <w:szCs w:val="8"/>
                <w:color w:val="auto"/>
              </w:rPr>
            </w:pPr>
          </w:p>
        </w:tc>
        <w:tc>
          <w:tcPr>
            <w:tcW w:w="2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9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w:t>
            </w: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UNCOLLECTIBLE ITEMS OF DEPOSIT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196"/>
        </w:trPr>
        <w:tc>
          <w:tcPr>
            <w:tcW w:w="3000" w:type="dxa"/>
            <w:vAlign w:val="bottom"/>
            <w:tcBorders>
              <w:bottom w:val="single" w:sz="8" w:color="auto"/>
            </w:tcBorders>
            <w:gridSpan w:val="3"/>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9"/>
        </w:trPr>
        <w:tc>
          <w:tcPr>
            <w:tcW w:w="3000" w:type="dxa"/>
            <w:vAlign w:val="bottom"/>
            <w:gridSpan w:val="3"/>
          </w:tcPr>
          <w:p>
            <w:pPr>
              <w:spacing w:after="0"/>
              <w:rPr>
                <w:sz w:val="20"/>
                <w:szCs w:val="20"/>
                <w:color w:val="auto"/>
              </w:rPr>
            </w:pPr>
            <w:r>
              <w:rPr>
                <w:rFonts w:ascii="Arial" w:cs="Arial" w:eastAsia="Arial" w:hAnsi="Arial"/>
                <w:sz w:val="18"/>
                <w:szCs w:val="18"/>
                <w:color w:val="auto"/>
              </w:rPr>
              <w:t>IVBB-15001 Ed. 01-16</w:t>
            </w:r>
          </w:p>
        </w:tc>
        <w:tc>
          <w:tcPr>
            <w:tcW w:w="4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Page 1 of 3</w:t>
            </w:r>
          </w:p>
        </w:tc>
      </w:tr>
      <w:tr>
        <w:trPr>
          <w:trHeight w:val="230"/>
        </w:trPr>
        <w:tc>
          <w:tcPr>
            <w:tcW w:w="710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ectPr>
          <w:pgSz w:w="11900" w:h="16838" w:orient="portrait"/>
          <w:cols w:equalWidth="0" w:num="1">
            <w:col w:w="11420"/>
          </w:cols>
          <w:pgMar w:left="240" w:top="270" w:right="239" w:bottom="333"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Insured, by acceptance of this bond, gives notice to the Company canceling or terminating prior bond or policy numbers:</w:t>
      </w:r>
    </w:p>
    <w:p>
      <w:pPr>
        <w:spacing w:after="0" w:line="14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DISCOVERY PERIOD:</w:t>
      </w:r>
    </w:p>
    <w:p>
      <w:pPr>
        <w:spacing w:after="0" w:line="121" w:lineRule="exact"/>
        <w:rPr>
          <w:sz w:val="20"/>
          <w:szCs w:val="20"/>
          <w:color w:val="auto"/>
        </w:rPr>
      </w:pPr>
    </w:p>
    <w:p>
      <w:pPr>
        <w:ind w:left="1040"/>
        <w:spacing w:after="0"/>
        <w:tabs>
          <w:tab w:leader="none" w:pos="3560" w:val="left"/>
        </w:tabs>
        <w:rPr>
          <w:sz w:val="20"/>
          <w:szCs w:val="20"/>
          <w:color w:val="auto"/>
        </w:rPr>
      </w:pPr>
      <w:r>
        <w:rPr>
          <w:rFonts w:ascii="Arial" w:cs="Arial" w:eastAsia="Arial" w:hAnsi="Arial"/>
          <w:sz w:val="18"/>
          <w:szCs w:val="18"/>
          <w:color w:val="auto"/>
        </w:rPr>
        <w:t>Additional Premium Percentage:</w:t>
      </w:r>
      <w:r>
        <w:rPr>
          <w:sz w:val="20"/>
          <w:szCs w:val="20"/>
          <w:color w:val="auto"/>
        </w:rPr>
        <w:tab/>
      </w:r>
      <w:r>
        <w:rPr>
          <w:rFonts w:ascii="Arial" w:cs="Arial" w:eastAsia="Arial" w:hAnsi="Arial"/>
          <w:sz w:val="16"/>
          <w:szCs w:val="16"/>
          <w:color w:val="auto"/>
        </w:rPr>
        <w:t>100% of the annualized premium</w:t>
      </w:r>
    </w:p>
    <w:p>
      <w:pPr>
        <w:spacing w:after="0" w:line="117" w:lineRule="exact"/>
        <w:rPr>
          <w:sz w:val="20"/>
          <w:szCs w:val="20"/>
          <w:color w:val="auto"/>
        </w:rPr>
      </w:pPr>
    </w:p>
    <w:p>
      <w:pPr>
        <w:ind w:left="1040"/>
        <w:spacing w:after="0"/>
        <w:tabs>
          <w:tab w:leader="none" w:pos="3560" w:val="left"/>
        </w:tabs>
        <w:rPr>
          <w:sz w:val="20"/>
          <w:szCs w:val="20"/>
          <w:color w:val="auto"/>
        </w:rPr>
      </w:pPr>
      <w:r>
        <w:rPr>
          <w:rFonts w:ascii="Arial" w:cs="Arial" w:eastAsia="Arial" w:hAnsi="Arial"/>
          <w:sz w:val="18"/>
          <w:szCs w:val="18"/>
          <w:color w:val="auto"/>
        </w:rPr>
        <w:t>Additional Months:</w:t>
      </w:r>
      <w:r>
        <w:rPr>
          <w:sz w:val="20"/>
          <w:szCs w:val="20"/>
          <w:color w:val="auto"/>
        </w:rPr>
        <w:tab/>
      </w:r>
      <w:r>
        <w:rPr>
          <w:rFonts w:ascii="Arial" w:cs="Arial" w:eastAsia="Arial" w:hAnsi="Arial"/>
          <w:sz w:val="16"/>
          <w:szCs w:val="16"/>
          <w:color w:val="auto"/>
        </w:rPr>
        <w:t>12 months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IVBB-16001-0116; IVBB-10001-0616; IVBB-19004-0116; IVBB-19010-0116; IVBB-17022-0317; IVBB-18023-1217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WILLIS OF NEW YORK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Page 2 of 3</w:t>
      </w:r>
    </w:p>
    <w:p>
      <w:pPr>
        <w:sectPr>
          <w:pgSz w:w="11900" w:h="16838" w:orient="portrait"/>
          <w:cols w:equalWidth="0" w:num="2">
            <w:col w:w="9880" w:space="720"/>
            <w:col w:w="820"/>
          </w:cols>
          <w:pgMar w:left="240" w:top="378"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1857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7375" cy="8890"/>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920875"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0875" cy="3771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169545</wp:posOffset>
            </wp:positionV>
            <wp:extent cx="195516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President, Bond &amp; Specialty Insurance</w:t>
            </w:r>
          </w:p>
        </w:tc>
        <w:tc>
          <w:tcPr>
            <w:tcW w:w="4940" w:type="dxa"/>
            <w:vAlign w:val="bottom"/>
          </w:tcPr>
          <w:p>
            <w:pPr>
              <w:ind w:left="1880"/>
              <w:spacing w:after="0"/>
              <w:rPr>
                <w:sz w:val="20"/>
                <w:szCs w:val="20"/>
                <w:color w:val="auto"/>
              </w:rPr>
            </w:pPr>
            <w:r>
              <w:rPr>
                <w:rFonts w:ascii="Arial" w:cs="Arial" w:eastAsia="Arial" w:hAnsi="Arial"/>
                <w:sz w:val="18"/>
                <w:szCs w:val="18"/>
                <w:color w:val="auto"/>
              </w:rPr>
              <w:t>Corporate Secretary</w:t>
            </w:r>
          </w:p>
        </w:tc>
      </w:tr>
      <w:tr>
        <w:trPr>
          <w:trHeight w:val="196"/>
        </w:trPr>
        <w:tc>
          <w:tcPr>
            <w:tcW w:w="648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IVBB-15001 Ed. 01-16</w:t>
            </w:r>
          </w:p>
        </w:tc>
        <w:tc>
          <w:tcPr>
            <w:tcW w:w="4940" w:type="dxa"/>
            <w:vAlign w:val="bottom"/>
          </w:tcPr>
          <w:p>
            <w:pPr>
              <w:ind w:left="4120"/>
              <w:spacing w:after="0"/>
              <w:rPr>
                <w:sz w:val="20"/>
                <w:szCs w:val="20"/>
                <w:color w:val="auto"/>
              </w:rPr>
            </w:pPr>
            <w:r>
              <w:rPr>
                <w:rFonts w:ascii="Arial" w:cs="Arial" w:eastAsia="Arial" w:hAnsi="Arial"/>
                <w:sz w:val="18"/>
                <w:szCs w:val="18"/>
                <w:color w:val="auto"/>
                <w:w w:val="86"/>
              </w:rPr>
              <w:t>Page 3 of 3</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4940" w:type="dxa"/>
            <w:vAlign w:val="bottom"/>
          </w:tcPr>
          <w:p>
            <w:pPr>
              <w:spacing w:after="0"/>
              <w:rPr>
                <w:sz w:val="20"/>
                <w:szCs w:val="20"/>
                <w:color w:val="auto"/>
              </w:rPr>
            </w:pPr>
          </w:p>
        </w:tc>
      </w:tr>
    </w:tbl>
    <w:p>
      <w:pPr>
        <w:sectPr>
          <w:pgSz w:w="11900" w:h="16838" w:orient="portrait"/>
          <w:cols w:equalWidth="0" w:num="1">
            <w:col w:w="11420"/>
          </w:cols>
          <w:pgMar w:left="240" w:top="49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3192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3192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0"/>
              </w:rPr>
              <w:t>Investment Company Bond</w:t>
            </w:r>
          </w:p>
        </w:tc>
      </w:tr>
      <w:tr>
        <w:trPr>
          <w:trHeight w:val="230"/>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1"/>
        </w:trPr>
        <w:tc>
          <w:tcPr>
            <w:tcW w:w="580" w:type="dxa"/>
            <w:vAlign w:val="bottom"/>
            <w:tcBorders>
              <w:bottom w:val="single" w:sz="8" w:color="auto"/>
            </w:tcBorders>
          </w:tcPr>
          <w:p>
            <w:pPr>
              <w:spacing w:after="0"/>
              <w:rPr>
                <w:sz w:val="5"/>
                <w:szCs w:val="5"/>
                <w:color w:val="auto"/>
              </w:rPr>
            </w:pPr>
          </w:p>
        </w:tc>
        <w:tc>
          <w:tcPr>
            <w:tcW w:w="8700" w:type="dxa"/>
            <w:vAlign w:val="bottom"/>
            <w:tcBorders>
              <w:bottom w:val="single" w:sz="8" w:color="auto"/>
            </w:tcBorders>
            <w:gridSpan w:val="3"/>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r>
        <w:trPr>
          <w:trHeight w:val="486"/>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8"/>
                <w:szCs w:val="18"/>
                <w:b w:val="1"/>
                <w:bCs w:val="1"/>
                <w:color w:val="auto"/>
              </w:rPr>
              <w:t>.</w:t>
            </w:r>
          </w:p>
        </w:tc>
        <w:tc>
          <w:tcPr>
            <w:tcW w:w="87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CONSIDERATION CLAUSE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87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INSURING AGREEMENTS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FIDELITY</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Coverage A.1.  Larceny or Embezzlement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w w:val="98"/>
              </w:rPr>
              <w:t>Coverage A.2.</w:t>
            </w:r>
          </w:p>
        </w:tc>
        <w:tc>
          <w:tcPr>
            <w:tcW w:w="6660" w:type="dxa"/>
            <w:vAlign w:val="bottom"/>
          </w:tcPr>
          <w:p>
            <w:pPr>
              <w:ind w:left="60"/>
              <w:spacing w:after="0"/>
              <w:rPr>
                <w:sz w:val="20"/>
                <w:szCs w:val="20"/>
                <w:color w:val="auto"/>
              </w:rPr>
            </w:pPr>
            <w:r>
              <w:rPr>
                <w:rFonts w:ascii="Arial" w:cs="Arial" w:eastAsia="Arial" w:hAnsi="Arial"/>
                <w:sz w:val="18"/>
                <w:szCs w:val="18"/>
                <w:b w:val="1"/>
                <w:bCs w:val="1"/>
                <w:color w:val="auto"/>
              </w:rPr>
              <w:t>Restoration Expenses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B.</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ON PREMISES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IN TRANSIT</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D.</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FORGERY OR ALTERATION</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E.</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SECURITIES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F.</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G.</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CLAIM EXPENSE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H.</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I.</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COMPUTER SYSTEMS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Coverage I.1.</w:t>
            </w:r>
          </w:p>
        </w:tc>
        <w:tc>
          <w:tcPr>
            <w:tcW w:w="6660" w:type="dxa"/>
            <w:vAlign w:val="bottom"/>
          </w:tcPr>
          <w:p>
            <w:pPr>
              <w:spacing w:after="0"/>
              <w:rPr>
                <w:sz w:val="20"/>
                <w:szCs w:val="20"/>
                <w:color w:val="auto"/>
              </w:rPr>
            </w:pPr>
            <w:r>
              <w:rPr>
                <w:rFonts w:ascii="Arial" w:cs="Arial" w:eastAsia="Arial" w:hAnsi="Arial"/>
                <w:sz w:val="18"/>
                <w:szCs w:val="18"/>
                <w:b w:val="1"/>
                <w:bCs w:val="1"/>
                <w:color w:val="auto"/>
              </w:rPr>
              <w:t>Computer Fraud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Coverage I.2.</w:t>
            </w:r>
          </w:p>
        </w:tc>
        <w:tc>
          <w:tcPr>
            <w:tcW w:w="6660" w:type="dxa"/>
            <w:vAlign w:val="bottom"/>
          </w:tcPr>
          <w:p>
            <w:pPr>
              <w:spacing w:after="0"/>
              <w:rPr>
                <w:sz w:val="20"/>
                <w:szCs w:val="20"/>
                <w:color w:val="auto"/>
              </w:rPr>
            </w:pPr>
            <w:r>
              <w:rPr>
                <w:rFonts w:ascii="Arial" w:cs="Arial" w:eastAsia="Arial" w:hAnsi="Arial"/>
                <w:sz w:val="18"/>
                <w:szCs w:val="18"/>
                <w:b w:val="1"/>
                <w:bCs w:val="1"/>
                <w:color w:val="auto"/>
              </w:rPr>
              <w:t>Fraudulent Instructions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Coverage I.3.</w:t>
            </w:r>
          </w:p>
        </w:tc>
        <w:tc>
          <w:tcPr>
            <w:tcW w:w="6660" w:type="dxa"/>
            <w:vAlign w:val="bottom"/>
          </w:tcPr>
          <w:p>
            <w:pPr>
              <w:spacing w:after="0"/>
              <w:rPr>
                <w:sz w:val="20"/>
                <w:szCs w:val="20"/>
                <w:color w:val="auto"/>
              </w:rPr>
            </w:pPr>
            <w:r>
              <w:rPr>
                <w:rFonts w:ascii="Arial" w:cs="Arial" w:eastAsia="Arial" w:hAnsi="Arial"/>
                <w:sz w:val="18"/>
                <w:szCs w:val="18"/>
                <w:b w:val="1"/>
                <w:bCs w:val="1"/>
                <w:color w:val="auto"/>
              </w:rPr>
              <w:t>Restoration Expenses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J.</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UNCOLLECTIBLE ITEMS OF DEPOSIT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870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GENERAL AGREEMENTS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ORGANIC GROWTH</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B.</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CONSOLIDATION - MERGER - PURCHASE OR ACQUISITION OF ASSETS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REPRESENTATION OF INSURED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D.</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JOINT INSURED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E.</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COURT COSTS AND ATTORNEY’S FEES - LEGAL PROCEEDINGS - ELECTION TO DEFEND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204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DEFINITIONS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204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EXCLUSIONS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204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CONDITIONS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ADDITIONAL COMPANIES INCLUDED AS INSURED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B.</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DISCOVERY</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C.</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BOND PERIOD</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D.</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w w:val="97"/>
              </w:rPr>
              <w:t>SINGLE LOSS</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E.</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SINGLE LOSS LIMIT OF INSURANCE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F.</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DEDUCTIBLE</w:t>
            </w:r>
          </w:p>
        </w:tc>
        <w:tc>
          <w:tcPr>
            <w:tcW w:w="6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G.</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NON-ACCUMULATION OF LIMITS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b w:val="1"/>
                <w:bCs w:val="1"/>
                <w:color w:val="auto"/>
              </w:rPr>
              <w:t>H.</w:t>
            </w:r>
          </w:p>
        </w:tc>
        <w:tc>
          <w:tcPr>
            <w:tcW w:w="8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NOTICE - PROOF OF LOSS - LEGAL PROCEEDINGS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96"/>
        </w:trPr>
        <w:tc>
          <w:tcPr>
            <w:tcW w:w="2620" w:type="dxa"/>
            <w:vAlign w:val="bottom"/>
            <w:tcBorders>
              <w:bottom w:val="single" w:sz="8" w:color="auto"/>
            </w:tcBorders>
            <w:gridSpan w:val="3"/>
          </w:tcPr>
          <w:p>
            <w:pPr>
              <w:spacing w:after="0"/>
              <w:rPr>
                <w:sz w:val="17"/>
                <w:szCs w:val="17"/>
                <w:color w:val="auto"/>
              </w:rPr>
            </w:pPr>
          </w:p>
        </w:tc>
        <w:tc>
          <w:tcPr>
            <w:tcW w:w="66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r>
      <w:tr>
        <w:trPr>
          <w:trHeight w:val="229"/>
        </w:trPr>
        <w:tc>
          <w:tcPr>
            <w:tcW w:w="2620" w:type="dxa"/>
            <w:vAlign w:val="bottom"/>
            <w:gridSpan w:val="3"/>
          </w:tcPr>
          <w:p>
            <w:pPr>
              <w:spacing w:after="0"/>
              <w:rPr>
                <w:sz w:val="20"/>
                <w:szCs w:val="20"/>
                <w:color w:val="auto"/>
              </w:rPr>
            </w:pPr>
            <w:r>
              <w:rPr>
                <w:rFonts w:ascii="Arial" w:cs="Arial" w:eastAsia="Arial" w:hAnsi="Arial"/>
                <w:sz w:val="18"/>
                <w:szCs w:val="18"/>
                <w:color w:val="auto"/>
              </w:rPr>
              <w:t>IVBB-16001 Ed. 01-16</w:t>
            </w:r>
          </w:p>
        </w:tc>
        <w:tc>
          <w:tcPr>
            <w:tcW w:w="66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Page 1 of 25</w:t>
            </w: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140" w:type="dxa"/>
            <w:vAlign w:val="bottom"/>
          </w:tcPr>
          <w:p>
            <w:pPr>
              <w:spacing w:after="0"/>
              <w:rPr>
                <w:sz w:val="20"/>
                <w:szCs w:val="20"/>
                <w:color w:val="auto"/>
              </w:rPr>
            </w:pPr>
          </w:p>
        </w:tc>
      </w:tr>
    </w:tbl>
    <w:p>
      <w:pPr>
        <w:sectPr>
          <w:pgSz w:w="11900" w:h="16838" w:orient="portrait"/>
          <w:cols w:equalWidth="0" w:num="1">
            <w:col w:w="11420"/>
          </w:cols>
          <w:pgMar w:left="240" w:top="503"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I.</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VALUATION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J.</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ASSIGNMENT</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K.</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SUBROGATION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L.</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RECOVERIES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M.</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COOPERATION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N.</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ANTI-BUNDLING</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O.</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P.</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OTHER INSURANCE OR INDEMNITY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Q.</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COVERED PROPERTY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R.</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S.</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DISCOVERY PERIOD</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280" w:type="dxa"/>
            <w:vAlign w:val="bottom"/>
          </w:tcPr>
          <w:p>
            <w:pPr>
              <w:ind w:left="880"/>
              <w:spacing w:after="0"/>
              <w:rPr>
                <w:sz w:val="20"/>
                <w:szCs w:val="20"/>
                <w:color w:val="auto"/>
              </w:rPr>
            </w:pPr>
            <w:r>
              <w:rPr>
                <w:rFonts w:ascii="Arial" w:cs="Arial" w:eastAsia="Arial" w:hAnsi="Arial"/>
                <w:sz w:val="18"/>
                <w:szCs w:val="18"/>
                <w:b w:val="1"/>
                <w:bCs w:val="1"/>
                <w:color w:val="auto"/>
              </w:rPr>
              <w:t>T.</w:t>
            </w:r>
          </w:p>
        </w:tc>
        <w:tc>
          <w:tcPr>
            <w:tcW w:w="7620" w:type="dxa"/>
            <w:vAlign w:val="bottom"/>
          </w:tcPr>
          <w:p>
            <w:pPr>
              <w:ind w:left="160"/>
              <w:spacing w:after="0"/>
              <w:rPr>
                <w:sz w:val="20"/>
                <w:szCs w:val="20"/>
                <w:color w:val="auto"/>
              </w:rPr>
            </w:pPr>
            <w:r>
              <w:rPr>
                <w:rFonts w:ascii="Arial" w:cs="Arial" w:eastAsia="Arial" w:hAnsi="Arial"/>
                <w:sz w:val="18"/>
                <w:szCs w:val="18"/>
                <w:b w:val="1"/>
                <w:bCs w:val="1"/>
                <w:color w:val="auto"/>
              </w:rPr>
              <w:t>HEADINGS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96"/>
        </w:trPr>
        <w:tc>
          <w:tcPr>
            <w:tcW w:w="8900" w:type="dxa"/>
            <w:vAlign w:val="bottom"/>
            <w:tcBorders>
              <w:bottom w:val="single" w:sz="8" w:color="auto"/>
            </w:tcBorders>
            <w:gridSpan w:val="2"/>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r>
      <w:tr>
        <w:trPr>
          <w:trHeight w:val="229"/>
        </w:trPr>
        <w:tc>
          <w:tcPr>
            <w:tcW w:w="8900" w:type="dxa"/>
            <w:vAlign w:val="bottom"/>
            <w:gridSpan w:val="2"/>
          </w:tcPr>
          <w:p>
            <w:pPr>
              <w:spacing w:after="0"/>
              <w:rPr>
                <w:sz w:val="20"/>
                <w:szCs w:val="20"/>
                <w:color w:val="auto"/>
              </w:rPr>
            </w:pPr>
            <w:r>
              <w:rPr>
                <w:rFonts w:ascii="Arial" w:cs="Arial" w:eastAsia="Arial" w:hAnsi="Arial"/>
                <w:sz w:val="18"/>
                <w:szCs w:val="18"/>
                <w:color w:val="auto"/>
              </w:rPr>
              <w:t>IVBB-16001 Ed. 01-16</w:t>
            </w:r>
          </w:p>
        </w:tc>
        <w:tc>
          <w:tcPr>
            <w:tcW w:w="2520" w:type="dxa"/>
            <w:vAlign w:val="bottom"/>
          </w:tcPr>
          <w:p>
            <w:pPr>
              <w:jc w:val="right"/>
              <w:spacing w:after="0"/>
              <w:rPr>
                <w:sz w:val="20"/>
                <w:szCs w:val="20"/>
                <w:color w:val="auto"/>
              </w:rPr>
            </w:pPr>
            <w:r>
              <w:rPr>
                <w:rFonts w:ascii="Arial" w:cs="Arial" w:eastAsia="Arial" w:hAnsi="Arial"/>
                <w:sz w:val="18"/>
                <w:szCs w:val="18"/>
                <w:color w:val="auto"/>
              </w:rPr>
              <w:t>Page 2 of 25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5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3192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31925" cy="34290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53" w:lineRule="exact"/>
        <w:rPr>
          <w:rFonts w:ascii="Arial" w:cs="Arial" w:eastAsia="Arial" w:hAnsi="Arial"/>
          <w:sz w:val="18"/>
          <w:szCs w:val="18"/>
          <w:b w:val="1"/>
          <w:bCs w:val="1"/>
          <w:i w:val="1"/>
          <w:iCs w:val="1"/>
          <w:color w:val="auto"/>
        </w:rPr>
      </w:pPr>
    </w:p>
    <w:p>
      <w:pPr>
        <w:ind w:left="700" w:right="160"/>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194" w:lineRule="exact"/>
        <w:rPr>
          <w:rFonts w:ascii="Arial" w:cs="Arial" w:eastAsia="Arial" w:hAnsi="Arial"/>
          <w:sz w:val="18"/>
          <w:szCs w:val="18"/>
          <w:b w:val="1"/>
          <w:bCs w:val="1"/>
          <w:i w:val="1"/>
          <w:iCs w:val="1"/>
          <w:color w:val="auto"/>
        </w:rPr>
      </w:pPr>
    </w:p>
    <w:p>
      <w:pPr>
        <w:ind w:left="68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A.FIDELITY</w:t>
      </w:r>
    </w:p>
    <w:p>
      <w:pPr>
        <w:spacing w:after="0" w:line="121" w:lineRule="exact"/>
        <w:rPr>
          <w:rFonts w:ascii="Arial" w:cs="Arial" w:eastAsia="Arial" w:hAnsi="Arial"/>
          <w:sz w:val="18"/>
          <w:szCs w:val="18"/>
          <w:b w:val="1"/>
          <w:bCs w:val="1"/>
          <w:i w:val="1"/>
          <w:iCs w:val="1"/>
          <w:color w:val="auto"/>
        </w:rPr>
      </w:pPr>
    </w:p>
    <w:p>
      <w:pPr>
        <w:ind w:left="15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i w:val="1"/>
          <w:iCs w:val="1"/>
          <w:color w:val="auto"/>
        </w:rPr>
      </w:pPr>
    </w:p>
    <w:p>
      <w:pPr>
        <w:ind w:left="218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Loss resulting directly from </w:t>
      </w:r>
      <w:r>
        <w:rPr>
          <w:rFonts w:ascii="Arial" w:cs="Arial" w:eastAsia="Arial" w:hAnsi="Arial"/>
          <w:sz w:val="16"/>
          <w:szCs w:val="16"/>
          <w:b w:val="1"/>
          <w:bCs w:val="1"/>
          <w:color w:val="auto"/>
        </w:rPr>
        <w:t>Larceny or Embezzlement</w:t>
      </w:r>
      <w:r>
        <w:rPr>
          <w:rFonts w:ascii="Arial" w:cs="Arial" w:eastAsia="Arial" w:hAnsi="Arial"/>
          <w:sz w:val="16"/>
          <w:szCs w:val="16"/>
          <w:color w:val="auto"/>
        </w:rPr>
        <w:t xml:space="preserve"> committed by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acting alone or in collusion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Coverage A.2. Restoration Expenses</w:t>
      </w:r>
    </w:p>
    <w:p>
      <w:pPr>
        <w:spacing w:after="0" w:line="113" w:lineRule="exact"/>
        <w:rPr>
          <w:sz w:val="20"/>
          <w:szCs w:val="20"/>
          <w:color w:val="auto"/>
        </w:rPr>
      </w:pPr>
    </w:p>
    <w:p>
      <w:pPr>
        <w:ind w:left="2180" w:right="22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 xml:space="preserve">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1480" w:hanging="79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2960" w:hanging="791"/>
        <w:spacing w:after="0"/>
        <w:tabs>
          <w:tab w:leader="none" w:pos="2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robbery, burglary, mysterious unexplainable disappearance or misplacement and damage or destruction; or</w:t>
      </w:r>
    </w:p>
    <w:p>
      <w:pPr>
        <w:spacing w:after="0" w:line="142" w:lineRule="exact"/>
        <w:rPr>
          <w:rFonts w:ascii="Arial" w:cs="Arial" w:eastAsia="Arial" w:hAnsi="Arial"/>
          <w:sz w:val="17"/>
          <w:szCs w:val="17"/>
          <w:color w:val="auto"/>
        </w:rPr>
      </w:pPr>
    </w:p>
    <w:p>
      <w:pPr>
        <w:ind w:left="2960" w:right="140" w:hanging="791"/>
        <w:spacing w:after="0" w:line="277" w:lineRule="auto"/>
        <w:tabs>
          <w:tab w:leader="none" w:pos="2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58" w:lineRule="exact"/>
        <w:rPr>
          <w:sz w:val="20"/>
          <w:szCs w:val="20"/>
          <w:color w:val="auto"/>
        </w:rPr>
      </w:pPr>
    </w:p>
    <w:p>
      <w:pPr>
        <w:ind w:left="2180" w:right="40"/>
        <w:spacing w:after="0" w:line="273" w:lineRule="auto"/>
        <w:rPr>
          <w:sz w:val="20"/>
          <w:szCs w:val="20"/>
          <w:color w:val="auto"/>
        </w:rPr>
      </w:pPr>
      <w:r>
        <w:rPr>
          <w:rFonts w:ascii="Arial" w:cs="Arial" w:eastAsia="Arial" w:hAnsi="Arial"/>
          <w:sz w:val="17"/>
          <w:szCs w:val="17"/>
          <w:color w:val="auto"/>
        </w:rPr>
        <w:t xml:space="preserve">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lodged or deposited within offices or premises located anywhere. The premises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will be deemed premises of the Insured, but solely as respects loss of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Coverage for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held by such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is limited to the extent of the Insured’s interest therein as effected by the making of appropriate entries on the books and records of such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unless the amount of such loss exceeds the amount recoverable or recovered under any bond or policy or participants’ fund insuring the </w:t>
      </w:r>
      <w:r>
        <w:rPr>
          <w:rFonts w:ascii="Arial" w:cs="Arial" w:eastAsia="Arial" w:hAnsi="Arial"/>
          <w:sz w:val="17"/>
          <w:szCs w:val="17"/>
          <w:b w:val="1"/>
          <w:bCs w:val="1"/>
          <w:color w:val="auto"/>
        </w:rPr>
        <w:t xml:space="preserve">Depository </w:t>
      </w:r>
      <w:r>
        <w:rPr>
          <w:rFonts w:ascii="Arial" w:cs="Arial" w:eastAsia="Arial" w:hAnsi="Arial"/>
          <w:sz w:val="17"/>
          <w:szCs w:val="17"/>
          <w:color w:val="auto"/>
        </w:rPr>
        <w:t>against such loss.</w:t>
      </w:r>
    </w:p>
    <w:p>
      <w:pPr>
        <w:spacing w:after="0" w:line="64" w:lineRule="exact"/>
        <w:rPr>
          <w:sz w:val="20"/>
          <w:szCs w:val="20"/>
          <w:color w:val="auto"/>
        </w:rPr>
      </w:pPr>
    </w:p>
    <w:p>
      <w:pPr>
        <w:ind w:left="2180" w:right="26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2160" w:right="80" w:hanging="680"/>
        <w:spacing w:after="0" w:line="258" w:lineRule="auto"/>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Page 3 of 25</w:t>
      </w:r>
    </w:p>
    <w:p>
      <w:pPr>
        <w:sectPr>
          <w:pgSz w:w="11900" w:h="16838" w:orient="portrait"/>
          <w:cols w:equalWidth="0" w:num="2">
            <w:col w:w="9800" w:space="720"/>
            <w:col w:w="900"/>
          </w:cols>
          <w:pgMar w:left="240" w:top="503" w:right="239" w:bottom="1440" w:gutter="0" w:footer="0" w:header="0"/>
          <w:type w:val="continuous"/>
        </w:sectPr>
      </w:pPr>
    </w:p>
    <w:bookmarkStart w:id="8" w:name="page9"/>
    <w:bookmarkEnd w:id="8"/>
    <w:p>
      <w:pPr>
        <w:ind w:left="1480" w:hanging="79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15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337" w:lineRule="exact"/>
        <w:rPr>
          <w:rFonts w:ascii="Arial" w:cs="Arial" w:eastAsia="Arial" w:hAnsi="Arial"/>
          <w:sz w:val="18"/>
          <w:szCs w:val="18"/>
          <w:b w:val="1"/>
          <w:bCs w:val="1"/>
          <w:color w:val="auto"/>
        </w:rPr>
      </w:pPr>
    </w:p>
    <w:p>
      <w:pPr>
        <w:ind w:left="1480" w:hanging="79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160" w:right="60" w:hanging="680"/>
        <w:spacing w:after="0" w:line="282" w:lineRule="auto"/>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1500" w:right="256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 xml:space="preserve">Forgery </w:t>
      </w:r>
      <w:r>
        <w:rPr>
          <w:rFonts w:ascii="Arial" w:cs="Arial" w:eastAsia="Arial" w:hAnsi="Arial"/>
          <w:sz w:val="18"/>
          <w:szCs w:val="18"/>
          <w:color w:val="auto"/>
        </w:rPr>
        <w:t>or alteration causes the loss.</w:t>
      </w:r>
    </w:p>
    <w:p>
      <w:pPr>
        <w:spacing w:after="0" w:line="58" w:lineRule="exact"/>
        <w:rPr>
          <w:sz w:val="20"/>
          <w:szCs w:val="20"/>
          <w:color w:val="auto"/>
        </w:rPr>
      </w:pPr>
    </w:p>
    <w:p>
      <w:pPr>
        <w:ind w:left="1500" w:right="6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1480" w:hanging="797"/>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2160" w:right="220" w:hanging="680"/>
        <w:spacing w:after="0" w:line="282" w:lineRule="auto"/>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Page 4 of 25</w:t>
      </w:r>
    </w:p>
    <w:p>
      <w:pPr>
        <w:sectPr>
          <w:pgSz w:w="11900" w:h="16838" w:orient="portrait"/>
          <w:cols w:equalWidth="0" w:num="2">
            <w:col w:w="9800" w:space="720"/>
            <w:col w:w="900"/>
          </w:cols>
          <w:pgMar w:left="240" w:top="270" w:right="239" w:bottom="1440" w:gutter="0" w:footer="0" w:header="0"/>
          <w:type w:val="continuous"/>
        </w:sectPr>
      </w:pPr>
    </w:p>
    <w:bookmarkStart w:id="9" w:name="page10"/>
    <w:bookmarkEnd w:id="9"/>
    <w:p>
      <w:pPr>
        <w:ind w:left="2960" w:hanging="791"/>
        <w:spacing w:after="0"/>
        <w:tabs>
          <w:tab w:leader="none" w:pos="2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3640" w:right="180" w:hanging="674"/>
        <w:spacing w:after="0" w:line="282" w:lineRule="auto"/>
        <w:tabs>
          <w:tab w:leader="none" w:pos="3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causes the loss;</w:t>
      </w:r>
    </w:p>
    <w:p>
      <w:pPr>
        <w:spacing w:after="0" w:line="71" w:lineRule="exact"/>
        <w:rPr>
          <w:rFonts w:ascii="Arial" w:cs="Arial" w:eastAsia="Arial" w:hAnsi="Arial"/>
          <w:sz w:val="18"/>
          <w:szCs w:val="18"/>
          <w:color w:val="auto"/>
        </w:rPr>
      </w:pPr>
    </w:p>
    <w:p>
      <w:pPr>
        <w:ind w:left="3640" w:hanging="674"/>
        <w:spacing w:after="0"/>
        <w:tabs>
          <w:tab w:leader="none" w:pos="3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2160" w:right="420" w:hanging="680"/>
        <w:spacing w:after="0" w:line="277" w:lineRule="auto"/>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2160" w:right="160" w:hanging="680"/>
        <w:spacing w:after="0" w:line="277" w:lineRule="auto"/>
        <w:tabs>
          <w:tab w:leader="none" w:pos="2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1480" w:hanging="79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1500" w:right="1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150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32" w:lineRule="exact"/>
        <w:rPr>
          <w:rFonts w:ascii="Arial" w:cs="Arial" w:eastAsia="Arial" w:hAnsi="Arial"/>
          <w:sz w:val="18"/>
          <w:szCs w:val="18"/>
          <w:b w:val="1"/>
          <w:bCs w:val="1"/>
          <w:color w:val="auto"/>
        </w:rPr>
      </w:pPr>
    </w:p>
    <w:p>
      <w:pPr>
        <w:ind w:left="1480" w:hanging="79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1500" w:right="4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Damages that the Insured becomes legally liable to pay its customers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w:t>
      </w:r>
    </w:p>
    <w:p>
      <w:pPr>
        <w:spacing w:after="0" w:line="71" w:lineRule="exact"/>
        <w:rPr>
          <w:rFonts w:ascii="Arial" w:cs="Arial" w:eastAsia="Arial" w:hAnsi="Arial"/>
          <w:sz w:val="18"/>
          <w:szCs w:val="18"/>
          <w:b w:val="1"/>
          <w:bCs w:val="1"/>
          <w:color w:val="auto"/>
        </w:rPr>
      </w:pPr>
    </w:p>
    <w:p>
      <w:pPr>
        <w:ind w:left="2160" w:right="520" w:hanging="680"/>
        <w:spacing w:after="0" w:line="277" w:lineRule="auto"/>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1500" w:right="1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Page 5 of 25</w:t>
      </w:r>
    </w:p>
    <w:p>
      <w:pPr>
        <w:sectPr>
          <w:pgSz w:w="11900" w:h="16838" w:orient="portrait"/>
          <w:cols w:equalWidth="0" w:num="2">
            <w:col w:w="9800" w:space="720"/>
            <w:col w:w="900"/>
          </w:cols>
          <w:pgMar w:left="240" w:top="270" w:right="239" w:bottom="1440" w:gutter="0" w:footer="0" w:header="0"/>
          <w:type w:val="continuous"/>
        </w:sectPr>
      </w:pPr>
    </w:p>
    <w:bookmarkStart w:id="10" w:name="page11"/>
    <w:bookmarkEnd w:id="10"/>
    <w:p>
      <w:pPr>
        <w:ind w:left="1500" w:right="7580" w:hanging="817"/>
        <w:spacing w:after="0" w:line="397" w:lineRule="auto"/>
        <w:tabs>
          <w:tab w:leader="none" w:pos="1489"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SYSTEMS </w:t>
      </w:r>
      <w:r>
        <w:rPr>
          <w:rFonts w:ascii="Arial" w:cs="Arial" w:eastAsia="Arial" w:hAnsi="Arial"/>
          <w:sz w:val="17"/>
          <w:szCs w:val="17"/>
          <w:color w:val="auto"/>
        </w:rPr>
        <w:t>Coverage I.1 Computer Fraud</w:t>
      </w:r>
    </w:p>
    <w:p>
      <w:pPr>
        <w:spacing w:after="0" w:line="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Coverage I.2.</w:t>
      </w:r>
      <w:r>
        <w:rPr>
          <w:sz w:val="20"/>
          <w:szCs w:val="20"/>
          <w:color w:val="auto"/>
        </w:rPr>
        <w:tab/>
      </w:r>
      <w:r>
        <w:rPr>
          <w:rFonts w:ascii="Arial" w:cs="Arial" w:eastAsia="Arial" w:hAnsi="Arial"/>
          <w:sz w:val="16"/>
          <w:szCs w:val="16"/>
          <w:color w:val="auto"/>
        </w:rPr>
        <w:t>Fraudulent Instructions</w:t>
      </w:r>
    </w:p>
    <w:p>
      <w:pPr>
        <w:spacing w:after="0" w:line="113" w:lineRule="exact"/>
        <w:rPr>
          <w:sz w:val="20"/>
          <w:szCs w:val="20"/>
          <w:color w:val="auto"/>
        </w:rPr>
      </w:pPr>
    </w:p>
    <w:p>
      <w:pPr>
        <w:ind w:left="2180" w:right="18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when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prior to causing the transfer of the funds, used its best efforts 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6" w:lineRule="exact"/>
        <w:rPr>
          <w:sz w:val="20"/>
          <w:szCs w:val="20"/>
          <w:color w:val="auto"/>
        </w:rPr>
      </w:pPr>
    </w:p>
    <w:p>
      <w:pPr>
        <w:ind w:left="3640" w:hanging="674"/>
        <w:spacing w:after="0"/>
        <w:tabs>
          <w:tab w:leader="none" w:pos="3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followed commercially reasonable </w:t>
      </w:r>
      <w:r>
        <w:rPr>
          <w:rFonts w:ascii="Arial" w:cs="Arial" w:eastAsia="Arial" w:hAnsi="Arial"/>
          <w:sz w:val="17"/>
          <w:szCs w:val="17"/>
          <w:b w:val="1"/>
          <w:bCs w:val="1"/>
          <w:color w:val="auto"/>
        </w:rPr>
        <w:t>Security Procedures</w:t>
      </w:r>
      <w:r>
        <w:rPr>
          <w:rFonts w:ascii="Arial" w:cs="Arial" w:eastAsia="Arial" w:hAnsi="Arial"/>
          <w:sz w:val="17"/>
          <w:szCs w:val="17"/>
          <w:color w:val="auto"/>
        </w:rPr>
        <w:t xml:space="preserve"> applicable to the transaction and instruction.</w:t>
      </w:r>
    </w:p>
    <w:p>
      <w:pPr>
        <w:spacing w:after="0" w:line="129" w:lineRule="exact"/>
        <w:rPr>
          <w:sz w:val="20"/>
          <w:szCs w:val="20"/>
          <w:color w:val="auto"/>
        </w:rPr>
      </w:pPr>
    </w:p>
    <w:p>
      <w:pPr>
        <w:ind w:left="2180" w:right="18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Coverage I.3.</w:t>
      </w:r>
      <w:r>
        <w:rPr>
          <w:sz w:val="20"/>
          <w:szCs w:val="20"/>
          <w:color w:val="auto"/>
        </w:rPr>
        <w:tab/>
      </w:r>
      <w:r>
        <w:rPr>
          <w:rFonts w:ascii="Arial" w:cs="Arial" w:eastAsia="Arial" w:hAnsi="Arial"/>
          <w:sz w:val="15"/>
          <w:szCs w:val="15"/>
          <w:color w:val="auto"/>
        </w:rPr>
        <w:t>Restoration Expenses</w:t>
      </w:r>
    </w:p>
    <w:p>
      <w:pPr>
        <w:spacing w:after="0" w:line="113" w:lineRule="exact"/>
        <w:rPr>
          <w:sz w:val="20"/>
          <w:szCs w:val="20"/>
          <w:color w:val="auto"/>
        </w:rPr>
      </w:pPr>
    </w:p>
    <w:p>
      <w:pPr>
        <w:ind w:left="2180" w:right="6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someone 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1480" w:hanging="797"/>
        <w:spacing w:after="0"/>
        <w:tabs>
          <w:tab w:leader="none" w:pos="1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ind w:left="1500" w:right="12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 xml:space="preserve">Items of 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2960" w:hanging="791"/>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150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1500" w:right="4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1500" w:right="1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 Regulation CC begins from the date a deposit was first credited to any fund in the exchange program.</w:t>
      </w:r>
    </w:p>
    <w:p>
      <w:pPr>
        <w:spacing w:after="0" w:line="314"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234" w:lineRule="exact"/>
        <w:rPr>
          <w:rFonts w:ascii="Arial" w:cs="Arial" w:eastAsia="Arial" w:hAnsi="Arial"/>
          <w:sz w:val="18"/>
          <w:szCs w:val="18"/>
          <w:b w:val="1"/>
          <w:bCs w:val="1"/>
          <w:i w:val="1"/>
          <w:iCs w:val="1"/>
          <w:color w:val="auto"/>
        </w:rPr>
      </w:pPr>
    </w:p>
    <w:p>
      <w:pPr>
        <w:ind w:left="68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1500" w:right="8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6 of 25</w:t>
      </w:r>
    </w:p>
    <w:p>
      <w:pPr>
        <w:sectPr>
          <w:pgSz w:w="11900" w:h="16838" w:orient="portrait"/>
          <w:cols w:equalWidth="0" w:num="2">
            <w:col w:w="9800" w:space="720"/>
            <w:col w:w="900"/>
          </w:cols>
          <w:pgMar w:left="240" w:top="270" w:right="239" w:bottom="1440" w:gutter="0" w:footer="0" w:header="0"/>
          <w:type w:val="continuous"/>
        </w:sectPr>
      </w:pPr>
    </w:p>
    <w:bookmarkStart w:id="11" w:name="page12"/>
    <w:bookmarkEnd w:id="11"/>
    <w:p>
      <w:pPr>
        <w:ind w:left="1500" w:right="1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5" w:lineRule="exact"/>
        <w:rPr>
          <w:sz w:val="20"/>
          <w:szCs w:val="20"/>
          <w:color w:val="auto"/>
        </w:rPr>
      </w:pPr>
    </w:p>
    <w:p>
      <w:pPr>
        <w:ind w:left="1480" w:hanging="797"/>
        <w:spacing w:after="0"/>
        <w:tabs>
          <w:tab w:leader="none" w:pos="1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1500" w:right="1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2160" w:hanging="680"/>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2160" w:right="540" w:hanging="680"/>
        <w:spacing w:after="0" w:line="277" w:lineRule="auto"/>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2960" w:hanging="791"/>
        <w:spacing w:after="0"/>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2980" w:right="20"/>
        <w:spacing w:after="0" w:line="254" w:lineRule="auto"/>
        <w:rPr>
          <w:rFonts w:ascii="Arial" w:cs="Arial" w:eastAsia="Arial" w:hAnsi="Arial"/>
          <w:sz w:val="18"/>
          <w:szCs w:val="18"/>
          <w:color w:val="auto"/>
        </w:rPr>
      </w:pPr>
      <w:r>
        <w:rPr>
          <w:rFonts w:ascii="Arial" w:cs="Arial" w:eastAsia="Arial" w:hAnsi="Arial"/>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7" w:lineRule="exact"/>
        <w:rPr>
          <w:rFonts w:ascii="Arial" w:cs="Arial" w:eastAsia="Arial" w:hAnsi="Arial"/>
          <w:sz w:val="18"/>
          <w:szCs w:val="18"/>
          <w:color w:val="auto"/>
        </w:rPr>
      </w:pPr>
    </w:p>
    <w:p>
      <w:pPr>
        <w:ind w:left="2960" w:hanging="791"/>
        <w:spacing w:after="0"/>
        <w:tabs>
          <w:tab w:leader="none" w:pos="2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2980" w:right="20"/>
        <w:spacing w:after="0" w:line="297" w:lineRule="auto"/>
        <w:rPr>
          <w:rFonts w:ascii="Arial" w:cs="Arial" w:eastAsia="Arial" w:hAnsi="Arial"/>
          <w:sz w:val="18"/>
          <w:szCs w:val="18"/>
          <w:color w:val="auto"/>
        </w:rPr>
      </w:pPr>
      <w:r>
        <w:rPr>
          <w:rFonts w:ascii="Arial" w:cs="Arial" w:eastAsia="Arial" w:hAnsi="Arial"/>
          <w:sz w:val="16"/>
          <w:szCs w:val="16"/>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02" w:lineRule="exact"/>
        <w:rPr>
          <w:rFonts w:ascii="Arial" w:cs="Arial" w:eastAsia="Arial" w:hAnsi="Arial"/>
          <w:sz w:val="18"/>
          <w:szCs w:val="18"/>
          <w:color w:val="auto"/>
        </w:rPr>
      </w:pPr>
    </w:p>
    <w:p>
      <w:pPr>
        <w:ind w:left="1480" w:hanging="797"/>
        <w:spacing w:after="0"/>
        <w:tabs>
          <w:tab w:leader="none" w:pos="1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15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150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ind w:left="15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Page 7 of 25</w:t>
      </w:r>
    </w:p>
    <w:p>
      <w:pPr>
        <w:sectPr>
          <w:pgSz w:w="11900" w:h="16838" w:orient="portrait"/>
          <w:cols w:equalWidth="0" w:num="2">
            <w:col w:w="9800" w:space="720"/>
            <w:col w:w="900"/>
          </w:cols>
          <w:pgMar w:left="240" w:top="270" w:right="239" w:bottom="1440" w:gutter="0" w:footer="0" w:header="0"/>
          <w:type w:val="continuous"/>
        </w:sectPr>
      </w:pPr>
    </w:p>
    <w:bookmarkStart w:id="12" w:name="page13"/>
    <w:bookmarkEnd w:id="12"/>
    <w:p>
      <w:pPr>
        <w:ind w:left="1500"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299" w:lineRule="exact"/>
        <w:rPr>
          <w:sz w:val="20"/>
          <w:szCs w:val="20"/>
          <w:color w:val="auto"/>
        </w:rPr>
      </w:pPr>
    </w:p>
    <w:p>
      <w:pPr>
        <w:ind w:left="1480" w:hanging="797"/>
        <w:spacing w:after="0"/>
        <w:tabs>
          <w:tab w:leader="none" w:pos="1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1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5" w:lineRule="exact"/>
        <w:rPr>
          <w:rFonts w:ascii="Arial" w:cs="Arial" w:eastAsia="Arial" w:hAnsi="Arial"/>
          <w:sz w:val="18"/>
          <w:szCs w:val="18"/>
          <w:b w:val="1"/>
          <w:bCs w:val="1"/>
          <w:color w:val="auto"/>
        </w:rPr>
      </w:pPr>
    </w:p>
    <w:p>
      <w:pPr>
        <w:ind w:left="2960" w:hanging="791"/>
        <w:spacing w:after="0"/>
        <w:tabs>
          <w:tab w:leader="none" w:pos="2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2960" w:right="320" w:hanging="791"/>
        <w:spacing w:after="0" w:line="308" w:lineRule="auto"/>
        <w:tabs>
          <w:tab w:leader="none" w:pos="2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in the absence of 1. or 2. above, an arbitration panel agrees, after a review of an agreed statement of facts, that an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would be found guilty of</w:t>
      </w:r>
      <w:r>
        <w:rPr>
          <w:rFonts w:ascii="Arial" w:cs="Arial" w:eastAsia="Arial" w:hAnsi="Arial"/>
          <w:sz w:val="17"/>
          <w:szCs w:val="17"/>
          <w:b w:val="1"/>
          <w:bCs w:val="1"/>
          <w:color w:val="auto"/>
        </w:rPr>
        <w:t xml:space="preserve"> Larceny or Embezzlement </w:t>
      </w:r>
      <w:r>
        <w:rPr>
          <w:rFonts w:ascii="Arial" w:cs="Arial" w:eastAsia="Arial" w:hAnsi="Arial"/>
          <w:sz w:val="17"/>
          <w:szCs w:val="17"/>
          <w:color w:val="auto"/>
        </w:rPr>
        <w:t>if such</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were prosecuted.</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500" w:right="8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1500" w:right="4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1500" w:right="12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i w:val="1"/>
          <w:iCs w:val="1"/>
          <w:color w:val="auto"/>
        </w:rPr>
        <w:t>IV.</w:t>
      </w:r>
      <w:r>
        <w:rPr>
          <w:sz w:val="20"/>
          <w:szCs w:val="20"/>
          <w:color w:val="auto"/>
        </w:rPr>
        <w:tab/>
      </w: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1480" w:hanging="797"/>
        <w:spacing w:after="0"/>
        <w:tabs>
          <w:tab w:leader="none" w:pos="1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1480" w:right="460" w:hanging="797"/>
        <w:spacing w:after="0" w:line="282" w:lineRule="auto"/>
        <w:tabs>
          <w:tab w:leader="none" w:pos="1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verify 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8 of 25</w:t>
      </w:r>
    </w:p>
    <w:p>
      <w:pPr>
        <w:sectPr>
          <w:pgSz w:w="11900" w:h="16838" w:orient="portrait"/>
          <w:cols w:equalWidth="0" w:num="2">
            <w:col w:w="9800" w:space="720"/>
            <w:col w:w="900"/>
          </w:cols>
          <w:pgMar w:left="240" w:top="274" w:right="239" w:bottom="1440" w:gutter="0" w:footer="0" w:header="0"/>
          <w:type w:val="continuous"/>
        </w:sectPr>
      </w:pPr>
    </w:p>
    <w:bookmarkStart w:id="13" w:name="page14"/>
    <w:bookmarkEnd w:id="13"/>
    <w:p>
      <w:pPr>
        <w:ind w:left="1480" w:right="760" w:hanging="797"/>
        <w:spacing w:after="0" w:line="282"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1480" w:right="540" w:hanging="797"/>
        <w:spacing w:after="0" w:line="282"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1480" w:right="320" w:hanging="797"/>
        <w:spacing w:after="0" w:line="277"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2160" w:right="340" w:hanging="680"/>
        <w:spacing w:after="0" w:line="277" w:lineRule="auto"/>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53" w:lineRule="exact"/>
        <w:rPr>
          <w:rFonts w:ascii="Arial" w:cs="Arial" w:eastAsia="Arial" w:hAnsi="Arial"/>
          <w:sz w:val="16"/>
          <w:szCs w:val="16"/>
          <w:color w:val="auto"/>
        </w:rPr>
      </w:pPr>
    </w:p>
    <w:p>
      <w:pPr>
        <w:ind w:left="1480" w:hanging="797"/>
        <w:spacing w:after="0" w:line="264" w:lineRule="auto"/>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data 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2"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2160" w:right="620" w:hanging="680"/>
        <w:spacing w:after="0" w:line="277" w:lineRule="auto"/>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that is rented by, owned by, leased by, licensed to, or under the direct operational control of,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46" w:lineRule="exact"/>
        <w:rPr>
          <w:sz w:val="20"/>
          <w:szCs w:val="20"/>
          <w:color w:val="auto"/>
        </w:rPr>
      </w:pPr>
    </w:p>
    <w:p>
      <w:pPr>
        <w:ind w:left="1480" w:hanging="797"/>
        <w:spacing w:after="0"/>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160" w:right="440" w:hanging="680"/>
        <w:spacing w:after="0" w:line="282" w:lineRule="auto"/>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2960" w:hanging="791"/>
        <w:spacing w:after="0"/>
        <w:tabs>
          <w:tab w:leader="none" w:pos="2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25"/>
        </w:numPr>
        <w:rPr>
          <w:rFonts w:ascii="Arial" w:cs="Arial" w:eastAsia="Arial" w:hAnsi="Arial"/>
          <w:sz w:val="17"/>
          <w:szCs w:val="17"/>
          <w:color w:val="auto"/>
        </w:rPr>
      </w:pPr>
      <w:r>
        <w:rPr>
          <w:rFonts w:ascii="Arial" w:cs="Arial" w:eastAsia="Arial" w:hAnsi="Arial"/>
          <w:sz w:val="17"/>
          <w:szCs w:val="17"/>
          <w:color w:val="auto"/>
        </w:rPr>
        <w:t xml:space="preserve">authorized access to such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but uses such access to cause such damage or destruction.</w:t>
      </w:r>
    </w:p>
    <w:p>
      <w:pPr>
        <w:spacing w:after="0" w:line="146" w:lineRule="exact"/>
        <w:rPr>
          <w:rFonts w:ascii="Arial" w:cs="Arial" w:eastAsia="Arial" w:hAnsi="Arial"/>
          <w:sz w:val="17"/>
          <w:szCs w:val="17"/>
          <w:color w:val="auto"/>
        </w:rPr>
      </w:pPr>
    </w:p>
    <w:p>
      <w:pPr>
        <w:ind w:left="1480" w:hanging="797"/>
        <w:spacing w:after="0"/>
        <w:tabs>
          <w:tab w:leader="none" w:pos="14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2160" w:hanging="6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1480" w:right="580" w:hanging="797"/>
        <w:spacing w:after="0" w:line="282" w:lineRule="auto"/>
        <w:tabs>
          <w:tab w:leader="none" w:pos="1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9 of 25</w:t>
      </w:r>
    </w:p>
    <w:p>
      <w:pPr>
        <w:sectPr>
          <w:pgSz w:w="11900" w:h="16838" w:orient="portrait"/>
          <w:cols w:equalWidth="0" w:num="2">
            <w:col w:w="9800" w:space="720"/>
            <w:col w:w="900"/>
          </w:cols>
          <w:pgMar w:left="240" w:top="270" w:right="239" w:bottom="1440" w:gutter="0" w:footer="0" w:header="0"/>
          <w:type w:val="continuous"/>
        </w:sectPr>
      </w:pPr>
    </w:p>
    <w:bookmarkStart w:id="14" w:name="page15"/>
    <w:bookmarkEnd w:id="14"/>
    <w:p>
      <w:pPr>
        <w:ind w:left="1480" w:right="180" w:hanging="797"/>
        <w:spacing w:after="0" w:line="282"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1480" w:right="220" w:hanging="797"/>
        <w:spacing w:after="0" w:line="282"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2160" w:right="120" w:hanging="680"/>
        <w:spacing w:after="0" w:line="277"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ind w:left="2160" w:right="480" w:hanging="680"/>
        <w:spacing w:after="0" w:line="264"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2" w:lineRule="exact"/>
        <w:rPr>
          <w:rFonts w:ascii="Arial" w:cs="Arial" w:eastAsia="Arial" w:hAnsi="Arial"/>
          <w:sz w:val="18"/>
          <w:szCs w:val="18"/>
          <w:color w:val="auto"/>
        </w:rPr>
      </w:pPr>
    </w:p>
    <w:p>
      <w:pPr>
        <w:ind w:left="1480" w:right="280" w:hanging="797"/>
        <w:spacing w:after="0" w:line="258"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9" w:lineRule="exact"/>
        <w:rPr>
          <w:rFonts w:ascii="Arial" w:cs="Arial" w:eastAsia="Arial" w:hAnsi="Arial"/>
          <w:sz w:val="18"/>
          <w:szCs w:val="18"/>
          <w:b w:val="1"/>
          <w:bCs w:val="1"/>
          <w:color w:val="auto"/>
        </w:rPr>
      </w:pPr>
    </w:p>
    <w:p>
      <w:pPr>
        <w:ind w:left="1480" w:right="60" w:hanging="797"/>
        <w:spacing w:after="0" w:line="281" w:lineRule="auto"/>
        <w:tabs>
          <w:tab w:leader="none" w:pos="14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1480" w:right="400" w:hanging="797"/>
        <w:spacing w:after="0" w:line="277" w:lineRule="auto"/>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160" w:right="120" w:hanging="680"/>
        <w:spacing w:after="0" w:line="264"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2" w:lineRule="exact"/>
        <w:rPr>
          <w:rFonts w:ascii="Arial" w:cs="Arial" w:eastAsia="Arial" w:hAnsi="Arial"/>
          <w:sz w:val="18"/>
          <w:szCs w:val="18"/>
          <w:color w:val="auto"/>
        </w:rPr>
      </w:pPr>
    </w:p>
    <w:p>
      <w:pPr>
        <w:ind w:left="2160" w:right="500" w:hanging="680"/>
        <w:spacing w:after="0" w:line="282"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2160" w:right="140" w:hanging="680"/>
        <w:spacing w:after="0" w:line="282"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2160" w:right="180" w:hanging="680"/>
        <w:spacing w:after="0" w:line="273" w:lineRule="auto"/>
        <w:tabs>
          <w:tab w:leader="none" w:pos="21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any natural person assigned to perform the usual duties of an employee within the premises of the Insured or an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and under the Insured’s supervision, by contract, including such persons provided by any employment agency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furnishing temporary personnel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on a contingent or part-time basis, and including a natural person who is leased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81" w:lineRule="exact"/>
        <w:rPr>
          <w:rFonts w:ascii="Arial" w:cs="Arial" w:eastAsia="Arial" w:hAnsi="Arial"/>
          <w:sz w:val="17"/>
          <w:szCs w:val="17"/>
          <w:color w:val="auto"/>
        </w:rPr>
      </w:pPr>
    </w:p>
    <w:p>
      <w:pPr>
        <w:ind w:left="2160" w:right="180" w:hanging="680"/>
        <w:spacing w:after="0" w:line="259"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10 of 25</w:t>
      </w:r>
    </w:p>
    <w:p>
      <w:pPr>
        <w:sectPr>
          <w:pgSz w:w="11900" w:h="16838" w:orient="portrait"/>
          <w:cols w:equalWidth="0" w:num="2">
            <w:col w:w="9700" w:space="720"/>
            <w:col w:w="1000"/>
          </w:cols>
          <w:pgMar w:left="240" w:top="270" w:right="239" w:bottom="1440" w:gutter="0" w:footer="0" w:header="0"/>
          <w:type w:val="continuous"/>
        </w:sectPr>
      </w:pPr>
    </w:p>
    <w:bookmarkStart w:id="15" w:name="page16"/>
    <w:bookmarkEnd w:id="15"/>
    <w:p>
      <w:pPr>
        <w:ind w:left="2160" w:right="20" w:hanging="680"/>
        <w:spacing w:after="0" w:line="261" w:lineRule="auto"/>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R.2.);</w:t>
      </w:r>
    </w:p>
    <w:p>
      <w:pPr>
        <w:spacing w:after="0" w:line="85" w:lineRule="exact"/>
        <w:rPr>
          <w:rFonts w:ascii="Arial" w:cs="Arial" w:eastAsia="Arial" w:hAnsi="Arial"/>
          <w:sz w:val="18"/>
          <w:szCs w:val="18"/>
          <w:color w:val="auto"/>
        </w:rPr>
      </w:pPr>
    </w:p>
    <w:p>
      <w:pPr>
        <w:ind w:left="2160" w:right="240" w:hanging="680"/>
        <w:spacing w:after="0" w:line="258" w:lineRule="auto"/>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director or trustee of an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underwriter (distributor), transfer agent, shareholder accounting record keeper, or administrator authorized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w:t>
      </w:r>
    </w:p>
    <w:p>
      <w:pPr>
        <w:spacing w:after="0" w:line="93" w:lineRule="exact"/>
        <w:rPr>
          <w:rFonts w:ascii="Arial" w:cs="Arial" w:eastAsia="Arial" w:hAnsi="Arial"/>
          <w:sz w:val="18"/>
          <w:szCs w:val="18"/>
          <w:color w:val="auto"/>
        </w:rPr>
      </w:pPr>
    </w:p>
    <w:p>
      <w:pPr>
        <w:ind w:left="2160" w:right="440" w:hanging="680"/>
        <w:spacing w:after="0" w:line="277" w:lineRule="auto"/>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2160" w:right="200" w:hanging="680"/>
        <w:spacing w:after="0" w:line="308" w:lineRule="auto"/>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2180" w:right="8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1" w:lineRule="exact"/>
        <w:rPr>
          <w:sz w:val="20"/>
          <w:szCs w:val="20"/>
          <w:color w:val="auto"/>
        </w:rPr>
      </w:pPr>
    </w:p>
    <w:p>
      <w:pPr>
        <w:ind w:left="1500" w:right="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1500" w:right="2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1480" w:right="60" w:hanging="797"/>
        <w:spacing w:after="0" w:line="266" w:lineRule="auto"/>
        <w:tabs>
          <w:tab w:leader="none" w:pos="1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Page 11 of 25</w:t>
      </w:r>
    </w:p>
    <w:p>
      <w:pPr>
        <w:sectPr>
          <w:pgSz w:w="11900" w:h="16838" w:orient="portrait"/>
          <w:cols w:equalWidth="0" w:num="2">
            <w:col w:w="9720" w:space="720"/>
            <w:col w:w="980"/>
          </w:cols>
          <w:pgMar w:left="240" w:top="270" w:right="239" w:bottom="1440" w:gutter="0" w:footer="0" w:header="0"/>
          <w:type w:val="continuous"/>
        </w:sectPr>
      </w:pPr>
    </w:p>
    <w:bookmarkStart w:id="16" w:name="page17"/>
    <w:bookmarkEnd w:id="16"/>
    <w:p>
      <w:pPr>
        <w:ind w:left="1500"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1480" w:right="140" w:hanging="797"/>
        <w:spacing w:after="0" w:line="282" w:lineRule="auto"/>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150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9" w:lineRule="exact"/>
        <w:rPr>
          <w:rFonts w:ascii="Arial" w:cs="Arial" w:eastAsia="Arial" w:hAnsi="Arial"/>
          <w:sz w:val="18"/>
          <w:szCs w:val="18"/>
          <w:b w:val="1"/>
          <w:bCs w:val="1"/>
          <w:color w:val="auto"/>
        </w:rPr>
      </w:pPr>
    </w:p>
    <w:p>
      <w:pPr>
        <w:ind w:left="1500" w:right="1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1480" w:right="80" w:hanging="797"/>
        <w:spacing w:after="0" w:line="282" w:lineRule="auto"/>
        <w:tabs>
          <w:tab w:leader="none" w:pos="1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2160" w:hanging="680"/>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2960" w:hanging="791"/>
        <w:spacing w:after="0"/>
        <w:tabs>
          <w:tab w:leader="none" w:pos="29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purports and reasonably appears to be from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w:t>
      </w:r>
    </w:p>
    <w:p>
      <w:pPr>
        <w:spacing w:after="0" w:line="153" w:lineRule="exact"/>
        <w:rPr>
          <w:rFonts w:ascii="Arial" w:cs="Arial" w:eastAsia="Arial" w:hAnsi="Arial"/>
          <w:sz w:val="16"/>
          <w:szCs w:val="16"/>
          <w:color w:val="auto"/>
        </w:rPr>
      </w:pPr>
    </w:p>
    <w:p>
      <w:pPr>
        <w:ind w:left="2960" w:right="40" w:hanging="791"/>
        <w:spacing w:after="0" w:line="282"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was in fact transmitted by someone other than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another office of the Insured; and</w:t>
      </w:r>
    </w:p>
    <w:p>
      <w:pPr>
        <w:spacing w:after="0" w:line="71" w:lineRule="exact"/>
        <w:rPr>
          <w:rFonts w:ascii="Arial" w:cs="Arial" w:eastAsia="Arial" w:hAnsi="Arial"/>
          <w:sz w:val="18"/>
          <w:szCs w:val="18"/>
          <w:color w:val="auto"/>
        </w:rPr>
      </w:pPr>
    </w:p>
    <w:p>
      <w:pPr>
        <w:ind w:left="2960" w:right="140" w:hanging="791"/>
        <w:spacing w:after="0" w:line="277"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2960" w:right="180" w:hanging="791"/>
        <w:spacing w:after="0" w:line="282"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make such a transfer;</w:t>
      </w:r>
    </w:p>
    <w:p>
      <w:pPr>
        <w:spacing w:after="0" w:line="67" w:lineRule="exact"/>
        <w:rPr>
          <w:rFonts w:ascii="Arial" w:cs="Arial" w:eastAsia="Arial" w:hAnsi="Arial"/>
          <w:sz w:val="18"/>
          <w:szCs w:val="18"/>
          <w:color w:val="auto"/>
        </w:rPr>
      </w:pPr>
    </w:p>
    <w:p>
      <w:pPr>
        <w:ind w:left="2960" w:hanging="791"/>
        <w:spacing w:after="0"/>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jc w:val="both"/>
        <w:ind w:left="2960" w:right="380" w:hanging="791"/>
        <w:spacing w:after="0" w:line="266" w:lineRule="auto"/>
        <w:tabs>
          <w:tab w:leader="none" w:pos="2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2160" w:right="480" w:hanging="680"/>
        <w:spacing w:after="0" w:line="282" w:lineRule="auto"/>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1500" w:right="18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1480" w:hanging="797"/>
        <w:spacing w:after="0"/>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2160" w:right="160" w:hanging="680"/>
        <w:spacing w:after="0" w:line="282" w:lineRule="auto"/>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2160" w:hanging="680"/>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12 of 25</w:t>
      </w:r>
    </w:p>
    <w:p>
      <w:pPr>
        <w:sectPr>
          <w:pgSz w:w="11900" w:h="16838" w:orient="portrait"/>
          <w:cols w:equalWidth="0" w:num="2">
            <w:col w:w="9700" w:space="720"/>
            <w:col w:w="1000"/>
          </w:cols>
          <w:pgMar w:left="240" w:top="270" w:right="239" w:bottom="1440" w:gutter="0" w:footer="0" w:header="0"/>
          <w:type w:val="continuous"/>
        </w:sectPr>
      </w:pPr>
    </w:p>
    <w:bookmarkStart w:id="17" w:name="page18"/>
    <w:bookmarkEnd w:id="17"/>
    <w:p>
      <w:pPr>
        <w:ind w:left="1480" w:right="180" w:hanging="797"/>
        <w:spacing w:after="0" w:line="347" w:lineRule="auto"/>
        <w:tabs>
          <w:tab w:leader="none" w:pos="14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1480" w:right="20" w:hanging="797"/>
        <w:spacing w:after="0" w:line="282" w:lineRule="auto"/>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1480" w:right="120" w:hanging="797"/>
        <w:spacing w:after="0" w:line="277" w:lineRule="auto"/>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1480" w:hanging="797"/>
        <w:spacing w:after="0"/>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1480" w:hanging="797"/>
        <w:spacing w:after="0"/>
        <w:tabs>
          <w:tab w:leader="none" w:pos="14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1480" w:right="180" w:hanging="797"/>
        <w:spacing w:after="0" w:line="266"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80" w:right="420" w:hanging="797"/>
        <w:spacing w:after="0" w:line="277"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jc w:val="both"/>
        <w:ind w:left="1480" w:right="600" w:hanging="797"/>
        <w:spacing w:after="0" w:line="266"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premises 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1480" w:hanging="797"/>
        <w:spacing w:after="0"/>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2160" w:right="380" w:hanging="680"/>
        <w:spacing w:after="0" w:line="282" w:lineRule="auto"/>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1480" w:right="60" w:hanging="797"/>
        <w:spacing w:after="0" w:line="297" w:lineRule="auto"/>
        <w:tabs>
          <w:tab w:leader="none" w:pos="14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r>
        <w:rPr>
          <w:rFonts w:ascii="Arial" w:cs="Arial" w:eastAsia="Arial" w:hAnsi="Arial"/>
          <w:sz w:val="16"/>
          <w:szCs w:val="16"/>
          <w:color w:val="auto"/>
        </w:rPr>
        <w:t>.</w:t>
      </w:r>
    </w:p>
    <w:p>
      <w:pPr>
        <w:spacing w:after="0" w:line="63" w:lineRule="exact"/>
        <w:rPr>
          <w:rFonts w:ascii="Arial" w:cs="Arial" w:eastAsia="Arial" w:hAnsi="Arial"/>
          <w:sz w:val="16"/>
          <w:szCs w:val="16"/>
          <w:b w:val="1"/>
          <w:bCs w:val="1"/>
          <w:color w:val="auto"/>
        </w:rPr>
      </w:pPr>
    </w:p>
    <w:p>
      <w:pPr>
        <w:ind w:left="1480" w:hanging="797"/>
        <w:spacing w:after="0"/>
        <w:tabs>
          <w:tab w:leader="none" w:pos="14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1480" w:hanging="797"/>
        <w:spacing w:after="0"/>
        <w:tabs>
          <w:tab w:leader="none" w:pos="1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80"/>
        <w:spacing w:after="0"/>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 xml:space="preserve">was provided by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when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opened the account with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13 of 25</w:t>
      </w:r>
    </w:p>
    <w:p>
      <w:pPr>
        <w:sectPr>
          <w:pgSz w:w="11900" w:h="16838" w:orient="portrait"/>
          <w:cols w:equalWidth="0" w:num="2">
            <w:col w:w="9700" w:space="720"/>
            <w:col w:w="1000"/>
          </w:cols>
          <w:pgMar w:left="240" w:top="270" w:right="239" w:bottom="1440" w:gutter="0" w:footer="0" w:header="0"/>
          <w:type w:val="continuous"/>
        </w:sectPr>
      </w:pPr>
    </w:p>
    <w:bookmarkStart w:id="18" w:name="page19"/>
    <w:bookmarkEnd w:id="18"/>
    <w:p>
      <w:pPr>
        <w:jc w:val="both"/>
        <w:ind w:left="2160" w:right="200" w:hanging="680"/>
        <w:spacing w:after="0" w:line="266"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2160" w:right="120" w:hanging="680"/>
        <w:spacing w:after="0" w:line="266"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2160" w:right="820" w:hanging="680"/>
        <w:spacing w:after="0" w:line="282"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1480" w:right="20" w:hanging="797"/>
        <w:spacing w:after="0" w:line="295" w:lineRule="auto"/>
        <w:tabs>
          <w:tab w:leader="none" w:pos="14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47" w:lineRule="exact"/>
        <w:rPr>
          <w:rFonts w:ascii="Arial" w:cs="Arial" w:eastAsia="Arial" w:hAnsi="Arial"/>
          <w:sz w:val="16"/>
          <w:szCs w:val="16"/>
          <w:b w:val="1"/>
          <w:bCs w:val="1"/>
          <w:color w:val="auto"/>
        </w:rPr>
      </w:pPr>
    </w:p>
    <w:p>
      <w:pPr>
        <w:ind w:left="15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2160" w:right="120" w:hanging="680"/>
        <w:spacing w:after="0" w:line="277"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2160" w:right="40" w:hanging="680"/>
        <w:spacing w:after="0" w:line="264"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6" w:lineRule="exact"/>
        <w:rPr>
          <w:rFonts w:ascii="Arial" w:cs="Arial" w:eastAsia="Arial" w:hAnsi="Arial"/>
          <w:sz w:val="18"/>
          <w:szCs w:val="18"/>
          <w:color w:val="auto"/>
        </w:rPr>
      </w:pPr>
    </w:p>
    <w:p>
      <w:pPr>
        <w:ind w:left="2160" w:right="80" w:hanging="680"/>
        <w:spacing w:after="0" w:line="277"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1480" w:right="420" w:hanging="797"/>
        <w:spacing w:after="0" w:line="282" w:lineRule="auto"/>
        <w:tabs>
          <w:tab w:leader="none" w:pos="1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1480" w:right="200" w:hanging="797"/>
        <w:spacing w:after="0" w:line="266" w:lineRule="auto"/>
        <w:tabs>
          <w:tab w:leader="none" w:pos="1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2160" w:hanging="680"/>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14 of 25</w:t>
      </w:r>
    </w:p>
    <w:p>
      <w:pPr>
        <w:sectPr>
          <w:pgSz w:w="11900" w:h="16838" w:orient="portrait"/>
          <w:cols w:equalWidth="0" w:num="2">
            <w:col w:w="9700" w:space="720"/>
            <w:col w:w="1000"/>
          </w:cols>
          <w:pgMar w:left="240" w:top="270" w:right="239" w:bottom="1440" w:gutter="0" w:footer="0" w:header="0"/>
          <w:type w:val="continuous"/>
        </w:sectPr>
      </w:pPr>
    </w:p>
    <w:bookmarkStart w:id="19" w:name="page20"/>
    <w:bookmarkEnd w:id="19"/>
    <w:p>
      <w:pPr>
        <w:ind w:left="1480" w:hanging="797"/>
        <w:spacing w:after="0"/>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1480" w:hanging="797"/>
        <w:spacing w:after="0"/>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2960" w:right="140" w:hanging="791"/>
        <w:spacing w:after="0" w:line="277" w:lineRule="auto"/>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 e. subject to pledge on the date of the statement;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2160" w:right="180" w:hanging="680"/>
        <w:spacing w:after="0" w:line="282"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1480" w:right="60" w:hanging="797"/>
        <w:spacing w:after="0" w:line="282"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as amended.</w:t>
      </w:r>
    </w:p>
    <w:p>
      <w:pPr>
        <w:spacing w:after="0" w:line="71" w:lineRule="exact"/>
        <w:rPr>
          <w:rFonts w:ascii="Arial" w:cs="Arial" w:eastAsia="Arial" w:hAnsi="Arial"/>
          <w:sz w:val="18"/>
          <w:szCs w:val="18"/>
          <w:b w:val="1"/>
          <w:bCs w:val="1"/>
          <w:color w:val="auto"/>
        </w:rPr>
      </w:pPr>
    </w:p>
    <w:p>
      <w:pPr>
        <w:ind w:left="1480" w:right="440" w:hanging="797"/>
        <w:spacing w:after="0" w:line="277"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1480" w:right="120" w:hanging="797"/>
        <w:spacing w:after="0" w:line="277"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2160" w:right="180" w:hanging="680"/>
        <w:spacing w:after="0" w:line="282"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49" w:lineRule="exact"/>
        <w:rPr>
          <w:rFonts w:ascii="Arial" w:cs="Arial" w:eastAsia="Arial" w:hAnsi="Arial"/>
          <w:sz w:val="16"/>
          <w:szCs w:val="16"/>
          <w:color w:val="auto"/>
        </w:rPr>
      </w:pPr>
    </w:p>
    <w:p>
      <w:pPr>
        <w:ind w:left="1480" w:right="780" w:hanging="797"/>
        <w:spacing w:after="0" w:line="282" w:lineRule="auto"/>
        <w:tabs>
          <w:tab w:leader="none" w:pos="1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1480" w:right="180" w:hanging="797"/>
        <w:spacing w:after="0" w:line="308" w:lineRule="auto"/>
        <w:tabs>
          <w:tab w:leader="none" w:pos="14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Page 15 of 25</w:t>
      </w:r>
    </w:p>
    <w:p>
      <w:pPr>
        <w:sectPr>
          <w:pgSz w:w="11900" w:h="16838" w:orient="portrait"/>
          <w:cols w:equalWidth="0" w:num="2">
            <w:col w:w="9700" w:space="720"/>
            <w:col w:w="1000"/>
          </w:cols>
          <w:pgMar w:left="240" w:top="274" w:right="239" w:bottom="1440" w:gutter="0" w:footer="0" w:header="0"/>
          <w:type w:val="continuous"/>
        </w:sectPr>
      </w:pPr>
    </w:p>
    <w:bookmarkStart w:id="20" w:name="page21"/>
    <w:bookmarkEnd w:id="20"/>
    <w:p>
      <w:pPr>
        <w:ind w:left="680" w:hanging="672"/>
        <w:spacing w:after="0"/>
        <w:tabs>
          <w:tab w:leader="none" w:pos="6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1480" w:right="160" w:hanging="797"/>
        <w:spacing w:after="0" w:line="277" w:lineRule="auto"/>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1480" w:right="60" w:hanging="797"/>
        <w:spacing w:after="0" w:line="276" w:lineRule="auto"/>
        <w:tabs>
          <w:tab w:leader="none" w:pos="1480"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77" w:lineRule="exact"/>
        <w:rPr>
          <w:rFonts w:ascii="Arial" w:cs="Arial" w:eastAsia="Arial" w:hAnsi="Arial"/>
          <w:sz w:val="17"/>
          <w:szCs w:val="17"/>
          <w:b w:val="1"/>
          <w:bCs w:val="1"/>
          <w:color w:val="auto"/>
        </w:rPr>
      </w:pPr>
    </w:p>
    <w:p>
      <w:pPr>
        <w:ind w:left="1480" w:right="680" w:hanging="797"/>
        <w:spacing w:after="0" w:line="277" w:lineRule="auto"/>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1480" w:right="200" w:hanging="797"/>
        <w:spacing w:after="0" w:line="302" w:lineRule="auto"/>
        <w:tabs>
          <w:tab w:leader="none" w:pos="1480"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5" w:lineRule="exact"/>
        <w:rPr>
          <w:rFonts w:ascii="Arial" w:cs="Arial" w:eastAsia="Arial" w:hAnsi="Arial"/>
          <w:sz w:val="16"/>
          <w:szCs w:val="16"/>
          <w:b w:val="1"/>
          <w:bCs w:val="1"/>
          <w:color w:val="auto"/>
        </w:rPr>
      </w:pPr>
    </w:p>
    <w:p>
      <w:pPr>
        <w:ind w:left="1480" w:right="140" w:hanging="797"/>
        <w:spacing w:after="0" w:line="303" w:lineRule="auto"/>
        <w:tabs>
          <w:tab w:leader="none" w:pos="1480"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1480" w:hanging="797"/>
        <w:spacing w:after="0"/>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2160" w:right="580" w:hanging="680"/>
        <w:spacing w:after="0" w:line="277"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180" w:hanging="797"/>
        <w:spacing w:after="0" w:line="277" w:lineRule="auto"/>
        <w:tabs>
          <w:tab w:leader="none" w:pos="148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2160" w:hanging="680"/>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2160" w:right="320" w:hanging="680"/>
        <w:spacing w:after="0" w:line="277" w:lineRule="auto"/>
        <w:tabs>
          <w:tab w:leader="none" w:pos="2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-4684395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ind w:left="1500" w:right="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1480" w:hanging="797"/>
        <w:spacing w:after="0" w:line="282" w:lineRule="auto"/>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2160" w:right="420" w:hanging="680"/>
        <w:spacing w:after="0" w:line="282" w:lineRule="auto"/>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16 of 25</w:t>
      </w:r>
    </w:p>
    <w:p>
      <w:pPr>
        <w:sectPr>
          <w:pgSz w:w="11900" w:h="16838" w:orient="portrait"/>
          <w:cols w:equalWidth="0" w:num="2">
            <w:col w:w="9700" w:space="720"/>
            <w:col w:w="1000"/>
          </w:cols>
          <w:pgMar w:left="240" w:top="274" w:right="239" w:bottom="1440" w:gutter="0" w:footer="0" w:header="0"/>
          <w:type w:val="continuous"/>
        </w:sectPr>
      </w:pPr>
    </w:p>
    <w:bookmarkStart w:id="21" w:name="page22"/>
    <w:bookmarkEnd w:id="21"/>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1480" w:right="220" w:hanging="797"/>
        <w:spacing w:after="0" w:line="259" w:lineRule="auto"/>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1480" w:right="160" w:hanging="797"/>
        <w:spacing w:after="0" w:line="257" w:lineRule="auto"/>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1480" w:right="160" w:hanging="797"/>
        <w:spacing w:after="0" w:line="308" w:lineRule="auto"/>
        <w:tabs>
          <w:tab w:leader="none" w:pos="1480"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1480" w:hanging="797"/>
        <w:spacing w:after="0"/>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2160" w:right="20" w:hanging="680"/>
        <w:spacing w:after="0" w:line="266" w:lineRule="auto"/>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2160" w:hanging="680"/>
        <w:spacing w:after="0"/>
        <w:tabs>
          <w:tab w:leader="none" w:pos="2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1480" w:hanging="797"/>
        <w:spacing w:after="0"/>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1480" w:right="520" w:hanging="797"/>
        <w:spacing w:after="0" w:line="277" w:lineRule="auto"/>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1480" w:right="400" w:hanging="797"/>
        <w:spacing w:after="0" w:line="277" w:lineRule="auto"/>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2160" w:right="100" w:hanging="680"/>
        <w:spacing w:after="0" w:line="277" w:lineRule="auto"/>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1500" w:right="20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1480" w:right="380" w:hanging="797"/>
        <w:spacing w:after="0" w:line="264"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2" w:lineRule="exact"/>
        <w:rPr>
          <w:rFonts w:ascii="Arial" w:cs="Arial" w:eastAsia="Arial" w:hAnsi="Arial"/>
          <w:sz w:val="18"/>
          <w:szCs w:val="18"/>
          <w:b w:val="1"/>
          <w:bCs w:val="1"/>
          <w:color w:val="auto"/>
        </w:rPr>
      </w:pPr>
    </w:p>
    <w:p>
      <w:pPr>
        <w:ind w:left="1480" w:right="40" w:hanging="797"/>
        <w:spacing w:after="0" w:line="282"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17 of 25</w:t>
      </w:r>
    </w:p>
    <w:p>
      <w:pPr>
        <w:sectPr>
          <w:pgSz w:w="11900" w:h="16838" w:orient="portrait"/>
          <w:cols w:equalWidth="0" w:num="2">
            <w:col w:w="9700" w:space="720"/>
            <w:col w:w="1000"/>
          </w:cols>
          <w:pgMar w:left="240" w:top="274" w:right="239" w:bottom="1440" w:gutter="0" w:footer="0" w:header="0"/>
          <w:type w:val="continuous"/>
        </w:sectPr>
      </w:pPr>
    </w:p>
    <w:bookmarkStart w:id="22" w:name="page23"/>
    <w:bookmarkEnd w:id="22"/>
    <w:p>
      <w:pPr>
        <w:ind w:left="1480" w:hanging="797"/>
        <w:spacing w:after="0"/>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2160" w:right="60" w:hanging="680"/>
        <w:spacing w:after="0" w:line="298" w:lineRule="auto"/>
        <w:tabs>
          <w:tab w:leader="none" w:pos="2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resulting directly or indirectly from entries or changes made by an individual authorized to have access to a </w:t>
      </w:r>
      <w:r>
        <w:rPr>
          <w:rFonts w:ascii="Arial" w:cs="Arial" w:eastAsia="Arial" w:hAnsi="Arial"/>
          <w:sz w:val="16"/>
          <w:szCs w:val="16"/>
          <w:b w:val="1"/>
          <w:bCs w:val="1"/>
          <w:color w:val="auto"/>
        </w:rPr>
        <w:t>Computer System</w:t>
      </w:r>
      <w:r>
        <w:rPr>
          <w:rFonts w:ascii="Arial" w:cs="Arial" w:eastAsia="Arial" w:hAnsi="Arial"/>
          <w:sz w:val="16"/>
          <w:szCs w:val="16"/>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to design, develop, prepare, supply, service, write, or implement programs for the </w:t>
      </w:r>
      <w:r>
        <w:rPr>
          <w:rFonts w:ascii="Arial" w:cs="Arial" w:eastAsia="Arial" w:hAnsi="Arial"/>
          <w:sz w:val="16"/>
          <w:szCs w:val="16"/>
          <w:b w:val="1"/>
          <w:bCs w:val="1"/>
          <w:color w:val="auto"/>
        </w:rPr>
        <w:t>Computer System</w:t>
      </w:r>
      <w:r>
        <w:rPr>
          <w:rFonts w:ascii="Arial" w:cs="Arial" w:eastAsia="Arial" w:hAnsi="Arial"/>
          <w:sz w:val="16"/>
          <w:szCs w:val="16"/>
          <w:color w:val="auto"/>
        </w:rPr>
        <w:t>, except when covered under Insuring Agreement I.2.;</w:t>
      </w:r>
    </w:p>
    <w:p>
      <w:pPr>
        <w:spacing w:after="0" w:line="63" w:lineRule="exact"/>
        <w:rPr>
          <w:rFonts w:ascii="Arial" w:cs="Arial" w:eastAsia="Arial" w:hAnsi="Arial"/>
          <w:sz w:val="16"/>
          <w:szCs w:val="16"/>
          <w:color w:val="auto"/>
        </w:rPr>
      </w:pPr>
    </w:p>
    <w:p>
      <w:pPr>
        <w:ind w:left="2160" w:hanging="680"/>
        <w:spacing w:after="0" w:line="264" w:lineRule="auto"/>
        <w:tabs>
          <w:tab w:leader="none" w:pos="2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2" w:lineRule="exact"/>
        <w:rPr>
          <w:rFonts w:ascii="Arial" w:cs="Arial" w:eastAsia="Arial" w:hAnsi="Arial"/>
          <w:sz w:val="18"/>
          <w:szCs w:val="18"/>
          <w:color w:val="auto"/>
        </w:rPr>
      </w:pPr>
    </w:p>
    <w:p>
      <w:pPr>
        <w:ind w:left="2160" w:right="480" w:hanging="680"/>
        <w:spacing w:after="0" w:line="266" w:lineRule="auto"/>
        <w:tabs>
          <w:tab w:leader="none" w:pos="2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1480" w:right="400" w:hanging="797"/>
        <w:spacing w:after="0" w:line="282"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1480" w:right="360" w:hanging="797"/>
        <w:spacing w:after="0" w:line="286" w:lineRule="auto"/>
        <w:tabs>
          <w:tab w:leader="none" w:pos="148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under Insuring Agreement I.2., in addition to all of the other exclusions, loss resulting directly or indirectly from the Insured’s or an </w:t>
      </w:r>
      <w:r>
        <w:rPr>
          <w:rFonts w:ascii="Arial" w:cs="Arial" w:eastAsia="Arial" w:hAnsi="Arial"/>
          <w:sz w:val="17"/>
          <w:szCs w:val="17"/>
          <w:b w:val="1"/>
          <w:bCs w:val="1"/>
          <w:color w:val="auto"/>
        </w:rPr>
        <w:t>Investment Adviser’s</w:t>
      </w:r>
      <w:r>
        <w:rPr>
          <w:rFonts w:ascii="Arial" w:cs="Arial" w:eastAsia="Arial" w:hAnsi="Arial"/>
          <w:sz w:val="17"/>
          <w:szCs w:val="17"/>
          <w:color w:val="auto"/>
        </w:rPr>
        <w:t xml:space="preserve"> assumption of liability by contract unless the liability arises from a loss covered by Insuring Agreement I.2. and would be imposed on the Insured regardless of the existence of the contract.</w:t>
      </w:r>
    </w:p>
    <w:p>
      <w:pPr>
        <w:spacing w:after="0" w:line="70" w:lineRule="exact"/>
        <w:rPr>
          <w:rFonts w:ascii="Arial" w:cs="Arial" w:eastAsia="Arial" w:hAnsi="Arial"/>
          <w:sz w:val="17"/>
          <w:szCs w:val="17"/>
          <w:b w:val="1"/>
          <w:bCs w:val="1"/>
          <w:color w:val="auto"/>
        </w:rPr>
      </w:pPr>
    </w:p>
    <w:p>
      <w:pPr>
        <w:ind w:left="1480" w:hanging="797"/>
        <w:spacing w:after="0" w:line="257"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1480" w:right="360" w:hanging="797"/>
        <w:spacing w:after="0" w:line="279" w:lineRule="auto"/>
        <w:tabs>
          <w:tab w:leader="none" w:pos="148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76" w:lineRule="exact"/>
        <w:rPr>
          <w:rFonts w:ascii="Arial" w:cs="Arial" w:eastAsia="Arial" w:hAnsi="Arial"/>
          <w:sz w:val="17"/>
          <w:szCs w:val="17"/>
          <w:b w:val="1"/>
          <w:bCs w:val="1"/>
          <w:color w:val="auto"/>
        </w:rPr>
      </w:pPr>
    </w:p>
    <w:p>
      <w:pPr>
        <w:ind w:left="1480" w:right="300" w:hanging="797"/>
        <w:spacing w:after="0" w:line="277"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480" w:right="180" w:hanging="797"/>
        <w:spacing w:after="0" w:line="261" w:lineRule="auto"/>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6" w:lineRule="exact"/>
        <w:rPr>
          <w:sz w:val="20"/>
          <w:szCs w:val="20"/>
          <w:color w:val="auto"/>
        </w:rPr>
      </w:pPr>
    </w:p>
    <w:p>
      <w:pPr>
        <w:jc w:val="both"/>
        <w:ind w:left="1480" w:right="140" w:hanging="797"/>
        <w:spacing w:after="0" w:line="281" w:lineRule="auto"/>
        <w:tabs>
          <w:tab w:leader="none" w:pos="148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1480" w:right="240" w:hanging="797"/>
        <w:spacing w:after="0" w:line="281" w:lineRule="auto"/>
        <w:tabs>
          <w:tab w:leader="none" w:pos="148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Page 18 of 25</w:t>
      </w:r>
    </w:p>
    <w:p>
      <w:pPr>
        <w:sectPr>
          <w:pgSz w:w="11900" w:h="16838" w:orient="portrait"/>
          <w:cols w:equalWidth="0" w:num="2">
            <w:col w:w="9700" w:space="720"/>
            <w:col w:w="1000"/>
          </w:cols>
          <w:pgMar w:left="240" w:top="274" w:right="239" w:bottom="1440" w:gutter="0" w:footer="0" w:header="0"/>
          <w:type w:val="continuous"/>
        </w:sectPr>
      </w:pPr>
    </w:p>
    <w:bookmarkStart w:id="23" w:name="page24"/>
    <w:bookmarkEnd w:id="23"/>
    <w:p>
      <w:pPr>
        <w:ind w:left="1480" w:hanging="797"/>
        <w:spacing w:after="0" w:line="281" w:lineRule="auto"/>
        <w:tabs>
          <w:tab w:leader="none" w:pos="148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1480" w:right="280" w:hanging="797"/>
        <w:spacing w:after="0" w:line="282"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1480" w:right="200" w:hanging="797"/>
        <w:spacing w:after="0" w:line="264"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2" w:lineRule="exact"/>
        <w:rPr>
          <w:rFonts w:ascii="Arial" w:cs="Arial" w:eastAsia="Arial" w:hAnsi="Arial"/>
          <w:sz w:val="18"/>
          <w:szCs w:val="18"/>
          <w:b w:val="1"/>
          <w:bCs w:val="1"/>
          <w:color w:val="auto"/>
        </w:rPr>
      </w:pPr>
    </w:p>
    <w:p>
      <w:pPr>
        <w:ind w:left="1480" w:right="80" w:hanging="797"/>
        <w:spacing w:after="0" w:line="266"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either on the premises of a customer of the Insured or under the control of such a customer, by a customer or other person who had authorized access to the customer’s authentication mechanism.</w:t>
      </w:r>
    </w:p>
    <w:p>
      <w:pPr>
        <w:spacing w:after="0" w:line="3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i w:val="1"/>
          <w:iCs w:val="1"/>
          <w:color w:val="auto"/>
        </w:rPr>
        <w:t>VI.</w:t>
      </w:r>
      <w:r>
        <w:rPr>
          <w:sz w:val="20"/>
          <w:szCs w:val="20"/>
          <w:color w:val="auto"/>
        </w:rPr>
        <w:tab/>
      </w:r>
      <w:r>
        <w:rPr>
          <w:rFonts w:ascii="Arial" w:cs="Arial" w:eastAsia="Arial" w:hAnsi="Arial"/>
          <w:sz w:val="18"/>
          <w:szCs w:val="18"/>
          <w:b w:val="1"/>
          <w:bCs w:val="1"/>
          <w:i w:val="1"/>
          <w:iCs w:val="1"/>
          <w:color w:val="auto"/>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1480" w:hanging="797"/>
        <w:spacing w:after="0"/>
        <w:tabs>
          <w:tab w:leader="none" w:pos="1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2160" w:right="400" w:hanging="680"/>
        <w:spacing w:after="0" w:line="277"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2160" w:right="20" w:hanging="680"/>
        <w:spacing w:after="0" w:line="276" w:lineRule="auto"/>
        <w:tabs>
          <w:tab w:leader="none" w:pos="21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77" w:lineRule="exact"/>
        <w:rPr>
          <w:rFonts w:ascii="Arial" w:cs="Arial" w:eastAsia="Arial" w:hAnsi="Arial"/>
          <w:sz w:val="17"/>
          <w:szCs w:val="17"/>
          <w:color w:val="auto"/>
        </w:rPr>
      </w:pPr>
    </w:p>
    <w:p>
      <w:pPr>
        <w:ind w:left="2160" w:hanging="680"/>
        <w:spacing w:after="0"/>
        <w:tabs>
          <w:tab w:leader="none" w:pos="2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Company will not be responsible for the proper application of any payment made hereunder to the first named Insured; and</w:t>
      </w:r>
    </w:p>
    <w:p>
      <w:pPr>
        <w:spacing w:after="0" w:line="149" w:lineRule="exact"/>
        <w:rPr>
          <w:rFonts w:ascii="Arial" w:cs="Arial" w:eastAsia="Arial" w:hAnsi="Arial"/>
          <w:sz w:val="16"/>
          <w:szCs w:val="16"/>
          <w:color w:val="auto"/>
        </w:rPr>
      </w:pPr>
    </w:p>
    <w:p>
      <w:pPr>
        <w:ind w:left="2160" w:hanging="680"/>
        <w:spacing w:after="0" w:line="313" w:lineRule="auto"/>
        <w:tabs>
          <w:tab w:leader="none" w:pos="21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286" w:lineRule="exact"/>
        <w:rPr>
          <w:rFonts w:ascii="Arial" w:cs="Arial" w:eastAsia="Arial" w:hAnsi="Arial"/>
          <w:sz w:val="17"/>
          <w:szCs w:val="17"/>
          <w:color w:val="auto"/>
        </w:rPr>
      </w:pPr>
    </w:p>
    <w:p>
      <w:pPr>
        <w:ind w:left="1480" w:hanging="797"/>
        <w:spacing w:after="0"/>
        <w:tabs>
          <w:tab w:leader="none" w:pos="1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150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1500" w:right="4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Page 19 of 25</w:t>
      </w:r>
    </w:p>
    <w:p>
      <w:pPr>
        <w:sectPr>
          <w:pgSz w:w="11900" w:h="16838" w:orient="portrait"/>
          <w:cols w:equalWidth="0" w:num="2">
            <w:col w:w="9700" w:space="720"/>
            <w:col w:w="1000"/>
          </w:cols>
          <w:pgMar w:left="240" w:top="270" w:right="239" w:bottom="1440" w:gutter="0" w:footer="0" w:header="0"/>
          <w:type w:val="continuous"/>
        </w:sectPr>
      </w:pPr>
    </w:p>
    <w:bookmarkStart w:id="24" w:name="page25"/>
    <w:bookmarkEnd w:id="24"/>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1500" w:right="3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1500" w:right="3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2160" w:hanging="680"/>
        <w:spacing w:after="0"/>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2160" w:right="140" w:hanging="680"/>
        <w:spacing w:after="0" w:line="282"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160" w:right="340" w:hanging="680"/>
        <w:spacing w:after="0" w:line="282"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1500" w:right="1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Company’s liability for each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applicable Single Loss Limit of Insurance set forth in ITEM 4 of the Declarations. 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largest applicable Single Loss Limit of Insurance.</w:t>
      </w:r>
    </w:p>
    <w:p>
      <w:pPr>
        <w:spacing w:after="0" w:line="332"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1500" w:right="380"/>
        <w:spacing w:after="0" w:line="313"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0" w:lineRule="exact"/>
        <w:rPr>
          <w:rFonts w:ascii="Arial" w:cs="Arial" w:eastAsia="Arial" w:hAnsi="Arial"/>
          <w:sz w:val="18"/>
          <w:szCs w:val="18"/>
          <w:b w:val="1"/>
          <w:bCs w:val="1"/>
          <w:color w:val="auto"/>
        </w:rPr>
      </w:pPr>
    </w:p>
    <w:p>
      <w:pPr>
        <w:ind w:left="1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150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1"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150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2160" w:right="160" w:hanging="680"/>
        <w:spacing w:after="0" w:line="282"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20 of 25</w:t>
      </w:r>
    </w:p>
    <w:p>
      <w:pPr>
        <w:sectPr>
          <w:pgSz w:w="11900" w:h="16838" w:orient="portrait"/>
          <w:cols w:equalWidth="0" w:num="2">
            <w:col w:w="9700" w:space="720"/>
            <w:col w:w="1000"/>
          </w:cols>
          <w:pgMar w:left="240" w:top="270" w:right="239" w:bottom="1440" w:gutter="0" w:footer="0" w:header="0"/>
          <w:type w:val="continuous"/>
        </w:sectPr>
      </w:pPr>
    </w:p>
    <w:bookmarkStart w:id="25" w:name="page26"/>
    <w:bookmarkEnd w:id="25"/>
    <w:p>
      <w:pPr>
        <w:ind w:left="2160" w:right="300" w:hanging="680"/>
        <w:spacing w:after="0" w:line="282"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2160" w:right="300" w:hanging="680"/>
        <w:spacing w:after="0" w:line="282"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2160" w:right="80" w:hanging="680"/>
        <w:spacing w:after="0" w:line="257"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2160" w:right="420" w:hanging="680"/>
        <w:spacing w:after="0" w:line="277" w:lineRule="auto"/>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2160" w:right="120" w:hanging="680"/>
        <w:spacing w:after="0" w:line="342" w:lineRule="auto"/>
        <w:tabs>
          <w:tab w:leader="none" w:pos="2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68"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b w:val="1"/>
          <w:bCs w:val="1"/>
          <w:color w:val="auto"/>
        </w:rPr>
        <w:t>I.VALUATION</w:t>
      </w:r>
    </w:p>
    <w:p>
      <w:pPr>
        <w:spacing w:after="0" w:line="134" w:lineRule="exact"/>
        <w:rPr>
          <w:rFonts w:ascii="Arial" w:cs="Arial" w:eastAsia="Arial" w:hAnsi="Arial"/>
          <w:sz w:val="16"/>
          <w:szCs w:val="16"/>
          <w:color w:val="auto"/>
        </w:rPr>
      </w:pPr>
    </w:p>
    <w:p>
      <w:pPr>
        <w:ind w:left="2160" w:hanging="680"/>
        <w:spacing w:after="0"/>
        <w:tabs>
          <w:tab w:leader="none" w:pos="2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sz w:val="20"/>
          <w:szCs w:val="20"/>
          <w:color w:val="auto"/>
        </w:rPr>
      </w:pPr>
    </w:p>
    <w:p>
      <w:pPr>
        <w:jc w:val="both"/>
        <w:ind w:left="2180" w:right="80"/>
        <w:spacing w:after="0" w:line="266" w:lineRule="auto"/>
        <w:rPr>
          <w:sz w:val="20"/>
          <w:szCs w:val="20"/>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will be paid, at the option of the Insured,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country in which the loss was sustained or in the U.S. dollar equivalent thereof determined at the rate of exchange at the time of payment of such loss.</w:t>
      </w:r>
    </w:p>
    <w:p>
      <w:pPr>
        <w:spacing w:after="0" w:line="86" w:lineRule="exact"/>
        <w:rPr>
          <w:sz w:val="20"/>
          <w:szCs w:val="20"/>
          <w:color w:val="auto"/>
        </w:rPr>
      </w:pPr>
    </w:p>
    <w:p>
      <w:pPr>
        <w:ind w:left="2160" w:hanging="680"/>
        <w:spacing w:after="0"/>
        <w:tabs>
          <w:tab w:leader="none" w:pos="2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sz w:val="20"/>
          <w:szCs w:val="20"/>
          <w:color w:val="auto"/>
        </w:rPr>
      </w:pPr>
    </w:p>
    <w:p>
      <w:pPr>
        <w:ind w:left="2180" w:right="180"/>
        <w:spacing w:after="0" w:line="272" w:lineRule="auto"/>
        <w:rPr>
          <w:sz w:val="20"/>
          <w:szCs w:val="20"/>
          <w:color w:val="auto"/>
        </w:rPr>
      </w:pPr>
      <w:r>
        <w:rPr>
          <w:rFonts w:ascii="Arial" w:cs="Arial" w:eastAsia="Arial" w:hAnsi="Arial"/>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70" w:lineRule="exact"/>
        <w:rPr>
          <w:sz w:val="20"/>
          <w:szCs w:val="20"/>
          <w:color w:val="auto"/>
        </w:rPr>
      </w:pPr>
    </w:p>
    <w:p>
      <w:pPr>
        <w:ind w:left="2180" w:right="240"/>
        <w:spacing w:after="0" w:line="259" w:lineRule="auto"/>
        <w:rPr>
          <w:sz w:val="20"/>
          <w:szCs w:val="20"/>
          <w:color w:val="auto"/>
        </w:rPr>
      </w:pPr>
      <w:r>
        <w:rPr>
          <w:rFonts w:ascii="Arial" w:cs="Arial" w:eastAsia="Arial" w:hAnsi="Arial"/>
          <w:sz w:val="18"/>
          <w:szCs w:val="18"/>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79" w:lineRule="exact"/>
        <w:rPr>
          <w:sz w:val="20"/>
          <w:szCs w:val="20"/>
          <w:color w:val="auto"/>
        </w:rPr>
      </w:pPr>
    </w:p>
    <w:p>
      <w:pPr>
        <w:ind w:left="2180" w:right="160"/>
        <w:spacing w:after="0" w:line="293" w:lineRule="auto"/>
        <w:rPr>
          <w:sz w:val="20"/>
          <w:szCs w:val="20"/>
          <w:color w:val="auto"/>
        </w:rPr>
      </w:pPr>
      <w:r>
        <w:rPr>
          <w:rFonts w:ascii="Arial" w:cs="Arial" w:eastAsia="Arial" w:hAnsi="Arial"/>
          <w:sz w:val="16"/>
          <w:szCs w:val="16"/>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70" w:lineRule="exact"/>
        <w:rPr>
          <w:sz w:val="20"/>
          <w:szCs w:val="20"/>
          <w:color w:val="auto"/>
        </w:rPr>
      </w:pPr>
    </w:p>
    <w:p>
      <w:pPr>
        <w:ind w:left="2160" w:hanging="680"/>
        <w:spacing w:after="0"/>
        <w:tabs>
          <w:tab w:leader="none" w:pos="2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sz w:val="20"/>
          <w:szCs w:val="20"/>
          <w:color w:val="auto"/>
        </w:rPr>
      </w:pPr>
    </w:p>
    <w:p>
      <w:pPr>
        <w:ind w:left="2180" w:right="80"/>
        <w:spacing w:after="0" w:line="259"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21 of 25</w:t>
      </w:r>
    </w:p>
    <w:p>
      <w:pPr>
        <w:sectPr>
          <w:pgSz w:w="11900" w:h="16838" w:orient="portrait"/>
          <w:cols w:equalWidth="0" w:num="2">
            <w:col w:w="9700" w:space="720"/>
            <w:col w:w="1000"/>
          </w:cols>
          <w:pgMar w:left="240" w:top="270" w:right="239" w:bottom="1440" w:gutter="0" w:footer="0" w:header="0"/>
          <w:type w:val="continuous"/>
        </w:sectPr>
      </w:pPr>
    </w:p>
    <w:bookmarkStart w:id="26" w:name="page27"/>
    <w:bookmarkEnd w:id="26"/>
    <w:p>
      <w:pPr>
        <w:ind w:left="2160" w:hanging="680"/>
        <w:spacing w:after="0"/>
        <w:tabs>
          <w:tab w:leader="none" w:pos="2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other than Money, Securities, Books of Account or Other Records</w:t>
      </w:r>
    </w:p>
    <w:p>
      <w:pPr>
        <w:spacing w:after="0" w:line="113" w:lineRule="exact"/>
        <w:rPr>
          <w:sz w:val="20"/>
          <w:szCs w:val="20"/>
          <w:color w:val="auto"/>
        </w:rPr>
      </w:pPr>
    </w:p>
    <w:p>
      <w:pPr>
        <w:ind w:left="2180" w:right="140"/>
        <w:spacing w:after="0" w:line="289" w:lineRule="auto"/>
        <w:rPr>
          <w:sz w:val="20"/>
          <w:szCs w:val="20"/>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50" w:lineRule="exact"/>
        <w:rPr>
          <w:sz w:val="20"/>
          <w:szCs w:val="20"/>
          <w:color w:val="auto"/>
        </w:rPr>
      </w:pPr>
    </w:p>
    <w:p>
      <w:pPr>
        <w:ind w:left="2180" w:right="340"/>
        <w:spacing w:after="0" w:line="282" w:lineRule="auto"/>
        <w:rPr>
          <w:sz w:val="20"/>
          <w:szCs w:val="20"/>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8" w:lineRule="exact"/>
        <w:rPr>
          <w:sz w:val="20"/>
          <w:szCs w:val="20"/>
          <w:color w:val="auto"/>
        </w:rPr>
      </w:pPr>
    </w:p>
    <w:p>
      <w:pPr>
        <w:ind w:left="2180" w:right="160"/>
        <w:spacing w:after="0" w:line="277" w:lineRule="auto"/>
        <w:rPr>
          <w:sz w:val="20"/>
          <w:szCs w:val="20"/>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5" w:lineRule="exact"/>
        <w:rPr>
          <w:sz w:val="20"/>
          <w:szCs w:val="20"/>
          <w:color w:val="auto"/>
        </w:rPr>
      </w:pPr>
    </w:p>
    <w:p>
      <w:pPr>
        <w:ind w:left="1480" w:hanging="79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1500" w:right="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324"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150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17"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2160" w:right="160" w:hanging="680"/>
        <w:spacing w:after="0" w:line="277" w:lineRule="auto"/>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2960" w:right="60" w:hanging="791"/>
        <w:spacing w:after="0" w:line="302" w:lineRule="auto"/>
        <w:tabs>
          <w:tab w:leader="none" w:pos="2960" w:val="left"/>
        </w:tabs>
        <w:numPr>
          <w:ilvl w:val="2"/>
          <w:numId w:val="53"/>
        </w:numPr>
        <w:rPr>
          <w:rFonts w:ascii="Arial" w:cs="Arial" w:eastAsia="Arial" w:hAnsi="Arial"/>
          <w:sz w:val="16"/>
          <w:szCs w:val="16"/>
          <w:color w:val="auto"/>
        </w:rPr>
      </w:pPr>
      <w:r>
        <w:rPr>
          <w:rFonts w:ascii="Arial" w:cs="Arial" w:eastAsia="Arial" w:hAnsi="Arial"/>
          <w:sz w:val="16"/>
          <w:szCs w:val="16"/>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59" w:lineRule="exact"/>
        <w:rPr>
          <w:rFonts w:ascii="Arial" w:cs="Arial" w:eastAsia="Arial" w:hAnsi="Arial"/>
          <w:sz w:val="16"/>
          <w:szCs w:val="16"/>
          <w:color w:val="auto"/>
        </w:rPr>
      </w:pPr>
    </w:p>
    <w:p>
      <w:pPr>
        <w:ind w:left="2960" w:right="340" w:hanging="791"/>
        <w:spacing w:after="0" w:line="277" w:lineRule="auto"/>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or to be paid to the Insured in settlement of the Insured’s claim;</w:t>
      </w:r>
    </w:p>
    <w:p>
      <w:pPr>
        <w:spacing w:after="0" w:line="75" w:lineRule="exact"/>
        <w:rPr>
          <w:rFonts w:ascii="Arial" w:cs="Arial" w:eastAsia="Arial" w:hAnsi="Arial"/>
          <w:sz w:val="18"/>
          <w:szCs w:val="18"/>
          <w:color w:val="auto"/>
        </w:rPr>
      </w:pPr>
    </w:p>
    <w:p>
      <w:pPr>
        <w:ind w:left="2960" w:hanging="791"/>
        <w:spacing w:after="0"/>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2160" w:right="620" w:hanging="680"/>
        <w:spacing w:after="0" w:line="277" w:lineRule="auto"/>
        <w:tabs>
          <w:tab w:leader="none" w:pos="2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1500" w:right="4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Page 22 of 25</w:t>
      </w:r>
    </w:p>
    <w:p>
      <w:pPr>
        <w:sectPr>
          <w:pgSz w:w="11900" w:h="16838" w:orient="portrait"/>
          <w:cols w:equalWidth="0" w:num="2">
            <w:col w:w="9700" w:space="720"/>
            <w:col w:w="1000"/>
          </w:cols>
          <w:pgMar w:left="240" w:top="274" w:right="239" w:bottom="1440" w:gutter="0" w:footer="0" w:header="0"/>
          <w:type w:val="continuous"/>
        </w:sectPr>
      </w:pPr>
    </w:p>
    <w:bookmarkStart w:id="27" w:name="page28"/>
    <w:bookmarkEnd w:id="27"/>
    <w:p>
      <w:pPr>
        <w:ind w:left="1480" w:hanging="797"/>
        <w:spacing w:after="0"/>
        <w:tabs>
          <w:tab w:leader="none" w:pos="1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1500" w:right="60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1480" w:hanging="79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150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1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150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37" w:lineRule="exact"/>
        <w:rPr>
          <w:rFonts w:ascii="Arial" w:cs="Arial" w:eastAsia="Arial" w:hAnsi="Arial"/>
          <w:sz w:val="18"/>
          <w:szCs w:val="18"/>
          <w:b w:val="1"/>
          <w:bCs w:val="1"/>
          <w:color w:val="auto"/>
        </w:rPr>
      </w:pPr>
    </w:p>
    <w:p>
      <w:pPr>
        <w:ind w:left="1480" w:hanging="79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2160" w:hanging="680"/>
        <w:spacing w:after="0"/>
        <w:tabs>
          <w:tab w:leader="none" w:pos="2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23 of 25</w:t>
      </w:r>
    </w:p>
    <w:p>
      <w:pPr>
        <w:sectPr>
          <w:pgSz w:w="11900" w:h="16838" w:orient="portrait"/>
          <w:cols w:equalWidth="0" w:num="2">
            <w:col w:w="9700" w:space="720"/>
            <w:col w:w="1000"/>
          </w:cols>
          <w:pgMar w:left="240" w:top="270" w:right="239" w:bottom="1440" w:gutter="0" w:footer="0" w:header="0"/>
          <w:type w:val="continuous"/>
        </w:sectPr>
      </w:pPr>
    </w:p>
    <w:bookmarkStart w:id="28" w:name="page29"/>
    <w:bookmarkEnd w:id="28"/>
    <w:p>
      <w:pPr>
        <w:ind w:left="1480" w:hanging="797"/>
        <w:spacing w:after="0"/>
        <w:tabs>
          <w:tab w:leader="none" w:pos="1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1480" w:hanging="797"/>
        <w:spacing w:after="0"/>
        <w:tabs>
          <w:tab w:leader="none" w:pos="14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2160" w:hanging="680"/>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2960" w:right="80" w:hanging="791"/>
        <w:spacing w:after="0" w:line="256" w:lineRule="auto"/>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immediately upon receipt by the Company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of its desire to cancel this bond, provided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has provided at least 60 days’ advance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 however the cancelation will not be effective until 60 days after receipt of</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notice by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Insureds.</w:t>
      </w:r>
    </w:p>
    <w:p>
      <w:pPr>
        <w:spacing w:after="0" w:line="93" w:lineRule="exact"/>
        <w:rPr>
          <w:rFonts w:ascii="Arial" w:cs="Arial" w:eastAsia="Arial" w:hAnsi="Arial"/>
          <w:sz w:val="18"/>
          <w:szCs w:val="18"/>
          <w:color w:val="auto"/>
        </w:rPr>
      </w:pPr>
    </w:p>
    <w:p>
      <w:pPr>
        <w:ind w:left="2960" w:right="100" w:hanging="791"/>
        <w:spacing w:after="0" w:line="282" w:lineRule="auto"/>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2960" w:right="40" w:hanging="791"/>
        <w:spacing w:after="0" w:line="266" w:lineRule="auto"/>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Processor </w:t>
      </w:r>
      <w:r>
        <w:rPr>
          <w:rFonts w:ascii="Arial" w:cs="Arial" w:eastAsia="Arial" w:hAnsi="Arial"/>
          <w:sz w:val="18"/>
          <w:szCs w:val="18"/>
          <w:color w:val="auto"/>
        </w:rPr>
        <w:t>60 days after the receipt by the Insured and the SEC, of a written notice from the Company of its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cancel coverage under this bond as to such person.</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This bond terminates in its entirety immediately upon the Expiration Date set forth in ITEM 2 of the Declarations.</w:t>
      </w:r>
    </w:p>
    <w:p>
      <w:pPr>
        <w:spacing w:after="0" w:line="142" w:lineRule="exact"/>
        <w:rPr>
          <w:rFonts w:ascii="Arial" w:cs="Arial" w:eastAsia="Arial" w:hAnsi="Arial"/>
          <w:sz w:val="17"/>
          <w:szCs w:val="17"/>
          <w:color w:val="auto"/>
        </w:rPr>
      </w:pPr>
    </w:p>
    <w:p>
      <w:pPr>
        <w:ind w:left="2960" w:hanging="791"/>
        <w:spacing w:after="0"/>
        <w:tabs>
          <w:tab w:leader="none" w:pos="2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3640" w:right="540" w:hanging="674"/>
        <w:spacing w:after="0" w:line="277" w:lineRule="auto"/>
        <w:tabs>
          <w:tab w:leader="none" w:pos="364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immediately upon the taking over of such Insured by a receiver or other liquidator or by any State or Federal official,</w:t>
      </w:r>
    </w:p>
    <w:p>
      <w:pPr>
        <w:spacing w:after="0" w:line="6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2980" w:right="7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2960" w:right="720" w:hanging="791"/>
        <w:spacing w:after="0" w:line="282" w:lineRule="auto"/>
        <w:tabs>
          <w:tab w:leader="none" w:pos="2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Coverage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Processor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3640" w:right="200" w:hanging="674"/>
        <w:spacing w:after="0" w:line="277" w:lineRule="auto"/>
        <w:tabs>
          <w:tab w:leader="none" w:pos="3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3640" w:hanging="674"/>
        <w:spacing w:after="0" w:line="264" w:lineRule="auto"/>
        <w:tabs>
          <w:tab w:leader="none" w:pos="3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Page 24 of 25</w:t>
      </w:r>
    </w:p>
    <w:p>
      <w:pPr>
        <w:sectPr>
          <w:pgSz w:w="11900" w:h="16838" w:orient="portrait"/>
          <w:cols w:equalWidth="0" w:num="2">
            <w:col w:w="9700" w:space="720"/>
            <w:col w:w="1000"/>
          </w:cols>
          <w:pgMar w:left="240" w:top="270" w:right="239" w:bottom="1440" w:gutter="0" w:footer="0" w:header="0"/>
          <w:type w:val="continuous"/>
        </w:sectPr>
      </w:pPr>
    </w:p>
    <w:bookmarkStart w:id="29" w:name="page30"/>
    <w:bookmarkEnd w:id="29"/>
    <w:p>
      <w:pPr>
        <w:ind w:left="2980"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then in transit in the custody of such person.</w:t>
      </w:r>
    </w:p>
    <w:p>
      <w:pPr>
        <w:spacing w:after="0" w:line="53" w:lineRule="exact"/>
        <w:rPr>
          <w:sz w:val="20"/>
          <w:szCs w:val="20"/>
          <w:color w:val="auto"/>
        </w:rPr>
      </w:pPr>
    </w:p>
    <w:p>
      <w:pPr>
        <w:ind w:left="2980" w:right="4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90" w:lineRule="exact"/>
        <w:rPr>
          <w:sz w:val="20"/>
          <w:szCs w:val="20"/>
          <w:color w:val="auto"/>
        </w:rPr>
      </w:pPr>
    </w:p>
    <w:p>
      <w:pPr>
        <w:ind w:left="2160" w:hanging="680"/>
        <w:spacing w:after="0"/>
        <w:tabs>
          <w:tab w:leader="none" w:pos="2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sz w:val="20"/>
          <w:szCs w:val="20"/>
          <w:color w:val="auto"/>
        </w:rPr>
      </w:pPr>
    </w:p>
    <w:p>
      <w:pPr>
        <w:ind w:left="2180" w:right="20"/>
        <w:spacing w:after="0" w:line="272" w:lineRule="auto"/>
        <w:rPr>
          <w:sz w:val="20"/>
          <w:szCs w:val="20"/>
          <w:color w:val="auto"/>
        </w:rPr>
      </w:pPr>
      <w:r>
        <w:rPr>
          <w:rFonts w:ascii="Arial" w:cs="Arial" w:eastAsia="Arial" w:hAnsi="Arial"/>
          <w:sz w:val="17"/>
          <w:szCs w:val="17"/>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notification has been furnished to the SEC by the Insured,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or the Company. If more than one Insured is named under this bond, the Company will give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each Insured and to the SEC not less than 60 days prior to the effective date of any change or modification that would adversely affect the rights of such Insured.</w:t>
      </w:r>
    </w:p>
    <w:p>
      <w:pPr>
        <w:spacing w:after="0" w:line="322" w:lineRule="exact"/>
        <w:rPr>
          <w:sz w:val="20"/>
          <w:szCs w:val="20"/>
          <w:color w:val="auto"/>
        </w:rPr>
      </w:pPr>
    </w:p>
    <w:p>
      <w:pPr>
        <w:ind w:left="1480" w:hanging="797"/>
        <w:spacing w:after="0"/>
        <w:tabs>
          <w:tab w:leader="none" w:pos="1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150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1500" w:right="3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2160" w:right="220" w:hanging="680"/>
        <w:spacing w:after="0" w:line="264" w:lineRule="auto"/>
        <w:tabs>
          <w:tab w:leader="none" w:pos="2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6"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1500" w:right="38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ind w:left="1500" w:right="100"/>
        <w:spacing w:after="0" w:line="264"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3" w:lineRule="exact"/>
        <w:rPr>
          <w:sz w:val="20"/>
          <w:szCs w:val="20"/>
          <w:color w:val="auto"/>
        </w:rPr>
      </w:pPr>
    </w:p>
    <w:p>
      <w:pPr>
        <w:ind w:left="1500" w:right="2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68" w:lineRule="exact"/>
        <w:rPr>
          <w:sz w:val="20"/>
          <w:szCs w:val="20"/>
          <w:color w:val="auto"/>
        </w:rPr>
      </w:pPr>
    </w:p>
    <w:p>
      <w:pPr>
        <w:ind w:left="1480" w:hanging="797"/>
        <w:spacing w:after="0"/>
        <w:tabs>
          <w:tab w:leader="none" w:pos="1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15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25 of 25</w:t>
      </w:r>
    </w:p>
    <w:p>
      <w:pPr>
        <w:sectPr>
          <w:pgSz w:w="11900" w:h="16838" w:orient="portrait"/>
          <w:cols w:equalWidth="0" w:num="2">
            <w:col w:w="9700" w:space="720"/>
            <w:col w:w="1000"/>
          </w:cols>
          <w:pgMar w:left="240" w:top="274" w:right="23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335280</wp:posOffset>
            </wp:positionV>
            <wp:extent cx="7250430" cy="218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BOND. PLEASE READ IT CAREFULLY.</w:t>
      </w:r>
    </w:p>
    <w:p>
      <w:pPr>
        <w:spacing w:after="0" w:line="29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E. SINGLE LOSS LIMIT OF INSURANCE:</w:t>
      </w:r>
    </w:p>
    <w:p>
      <w:pPr>
        <w:spacing w:after="0" w:line="229"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1480" w:right="60" w:hanging="567"/>
        <w:spacing w:after="0" w:line="277"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1480" w:right="600" w:hanging="567"/>
        <w:spacing w:after="0" w:line="277" w:lineRule="auto"/>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IVBB-10001 Ed. 06-16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880" w:space="720"/>
            <w:col w:w="820"/>
          </w:cols>
          <w:pgMar w:left="240" w:top="567"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ectPr>
          <w:pgSz w:w="11900" w:h="16838" w:orient="portrait"/>
          <w:cols w:equalWidth="0" w:num="1">
            <w:col w:w="11420"/>
          </w:cols>
          <w:pgMar w:left="240" w:top="324"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IVBB-19004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420"/>
          </w:cols>
          <w:pgMar w:left="240" w:top="324"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ectPr>
          <w:pgSz w:w="11900" w:h="16838" w:orient="portrait"/>
          <w:cols w:equalWidth="0" w:num="1">
            <w:col w:w="11420"/>
          </w:cols>
          <w:pgMar w:left="240" w:top="324"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460" w:right="4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7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sz w:val="20"/>
          <w:szCs w:val="20"/>
          <w:color w:val="auto"/>
        </w:rPr>
      </w:pPr>
    </w:p>
    <w:p>
      <w:pPr>
        <w:ind w:left="920" w:right="80"/>
        <w:spacing w:after="0" w:line="261" w:lineRule="auto"/>
        <w:rPr>
          <w:sz w:val="20"/>
          <w:szCs w:val="20"/>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signature, or endorsement must be on or of the enumerated document itself, not on or of some other document submitted 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IVBB-19010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420"/>
          </w:cols>
          <w:pgMar w:left="240" w:top="324"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INSURANCE REGULATION 209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Termination of coverage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as set forth in c.(1) and c.(2) above will also not apply to any such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if: (a) the dishonest act was committed by that</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prior to becoming employed by the Insured, (b) the dishonest act resulted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conviction of that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(c) the Insured made a determination to hire or retain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However, such termination of coverage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IVBB-17022 Ed. 03-17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880" w:space="720"/>
            <w:col w:w="820"/>
          </w:cols>
          <w:pgMar w:left="240" w:top="324"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50430" cy="218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8440"/>
                    </a:xfrm>
                    <a:prstGeom prst="rect">
                      <a:avLst/>
                    </a:prstGeom>
                    <a:noFill/>
                  </pic:spPr>
                </pic:pic>
              </a:graphicData>
            </a:graphic>
          </wp:anchor>
        </w:drawing>
        <w:t>THIS ENDORSEMENT CHANGES THE POLICY. PLEASE READ IT CAREFULLY.</w:t>
      </w:r>
    </w:p>
    <w:p>
      <w:pPr>
        <w:sectPr>
          <w:pgSz w:w="11900" w:h="16838" w:orient="portrait"/>
          <w:cols w:equalWidth="0" w:num="1">
            <w:col w:w="11420"/>
          </w:cols>
          <w:pgMar w:left="240" w:top="324" w:right="239" w:bottom="1440" w:gutter="0" w:footer="0" w:header="0"/>
        </w:sectPr>
      </w:pPr>
    </w:p>
    <w:p>
      <w:pPr>
        <w:spacing w:after="0" w:line="29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1" w:lineRule="exact"/>
        <w:rPr>
          <w:sz w:val="20"/>
          <w:szCs w:val="20"/>
          <w:color w:val="auto"/>
        </w:rPr>
      </w:pPr>
    </w:p>
    <w:p>
      <w:pPr>
        <w:ind w:left="900" w:right="20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73"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7" w:lineRule="exact"/>
        <w:rPr>
          <w:sz w:val="20"/>
          <w:szCs w:val="20"/>
          <w:color w:val="auto"/>
        </w:rPr>
      </w:pPr>
    </w:p>
    <w:p>
      <w:pPr>
        <w:ind w:left="1480" w:right="106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80" w:right="14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80" w:right="480" w:hanging="567"/>
        <w:spacing w:after="0" w:line="264"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6"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80" w:right="200" w:hanging="567"/>
        <w:spacing w:after="0" w:line="308" w:lineRule="auto"/>
        <w:tabs>
          <w:tab w:leader="none" w:pos="14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51" w:lineRule="exact"/>
        <w:rPr>
          <w:rFonts w:ascii="Arial" w:cs="Arial" w:eastAsia="Arial" w:hAnsi="Arial"/>
          <w:sz w:val="17"/>
          <w:szCs w:val="17"/>
          <w:color w:val="auto"/>
        </w:rPr>
      </w:pPr>
    </w:p>
    <w:p>
      <w:pPr>
        <w:ind w:left="1920" w:right="220" w:hanging="440"/>
        <w:spacing w:after="0" w:line="308" w:lineRule="auto"/>
        <w:tabs>
          <w:tab w:leader="none" w:pos="1920" w:val="left"/>
        </w:tabs>
        <w:numPr>
          <w:ilvl w:val="3"/>
          <w:numId w:val="68"/>
        </w:numPr>
        <w:rPr>
          <w:rFonts w:ascii="Arial" w:cs="Arial" w:eastAsia="Arial" w:hAnsi="Arial"/>
          <w:sz w:val="17"/>
          <w:szCs w:val="17"/>
          <w:color w:val="auto"/>
        </w:rPr>
      </w:pPr>
      <w:r>
        <w:rPr>
          <w:rFonts w:ascii="Arial" w:cs="Arial" w:eastAsia="Arial" w:hAnsi="Arial"/>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51" w:lineRule="exact"/>
        <w:rPr>
          <w:rFonts w:ascii="Arial" w:cs="Arial" w:eastAsia="Arial" w:hAnsi="Arial"/>
          <w:sz w:val="17"/>
          <w:szCs w:val="17"/>
          <w:color w:val="auto"/>
        </w:rPr>
      </w:pPr>
    </w:p>
    <w:p>
      <w:pPr>
        <w:ind w:left="1920" w:right="320" w:hanging="440"/>
        <w:spacing w:after="0" w:line="277" w:lineRule="auto"/>
        <w:tabs>
          <w:tab w:leader="none" w:pos="1920" w:val="left"/>
        </w:tabs>
        <w:numPr>
          <w:ilvl w:val="3"/>
          <w:numId w:val="68"/>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IVBB-18023 Rev. 12-17</w:t>
      </w:r>
      <w:r>
        <w:rPr>
          <w:sz w:val="20"/>
          <w:szCs w:val="20"/>
          <w:color w:val="auto"/>
        </w:rPr>
        <w:tab/>
      </w:r>
      <w:r>
        <w:rPr>
          <w:rFonts w:ascii="Arial" w:cs="Arial" w:eastAsia="Arial" w:hAnsi="Arial"/>
          <w:sz w:val="16"/>
          <w:szCs w:val="16"/>
          <w:color w:val="auto"/>
        </w:rPr>
        <w:t>Page 1 of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2017 The Travelers Indemnity Company. All rights reserved.</w:t>
      </w:r>
    </w:p>
    <w:p>
      <w:pPr>
        <w:sectPr>
          <w:pgSz w:w="11900" w:h="16838" w:orient="portrait"/>
          <w:cols w:equalWidth="0" w:num="1">
            <w:col w:w="11420"/>
          </w:cols>
          <w:pgMar w:left="240" w:top="324" w:right="239" w:bottom="1440" w:gutter="0" w:footer="0" w:header="0"/>
          <w:type w:val="continuous"/>
        </w:sectPr>
      </w:pPr>
    </w:p>
    <w:bookmarkStart w:id="35" w:name="page36"/>
    <w:bookmarkEnd w:id="35"/>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Renewal with Altered Terms:</w:t>
      </w:r>
    </w:p>
    <w:p>
      <w:pPr>
        <w:spacing w:after="0" w:line="117"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ectPr>
          <w:pgSz w:w="11900" w:h="16838" w:orient="portrait"/>
          <w:cols w:equalWidth="0" w:num="2">
            <w:col w:w="9880" w:space="720"/>
            <w:col w:w="820"/>
          </w:cols>
          <w:pgMar w:left="240" w:top="274"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Investment Corporation , a Maryland corporation (the “Corporation”), an externally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8, 2018 at a meeting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 a meeting of the Board of the Corporation (the “Meeting”), the Board of the Corporation reviewed the materials presented at the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Board of the Corporation determined that the Corporation, PennantPark Investment Advisers, LLC (the “Adviser”) and PennantPark</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1940 Act;</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 consideration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payment by the Corporation of the premium for coverage under the Bond, in the amount described at the meeting,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0" w:right="239" w:bottom="1440" w:gutter="0" w:footer="0" w:header="0"/>
        </w:sectPr>
      </w:pPr>
    </w:p>
    <w:bookmarkStart w:id="37" w:name="page38"/>
    <w:bookmarkEnd w:id="37"/>
    <w:p>
      <w:pPr>
        <w:ind w:right="2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7"/>
          <w:szCs w:val="17"/>
          <w:color w:val="auto"/>
        </w:rPr>
        <w:t>, that the proposed Joint Fidelity Bond Agreement among the Corporation, the Adviser and the Administrator providing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to obtain and enter into a joint liability insurance policy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6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of the Corporation, including the Independent Directors of the Corporation, hereby find that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above-referenced joint liability insurance policy is in the best interest of the Corporation; and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share of the premium to be allocated 60% to the PennantPark Floating Rate Capital Ltd. and to the Corporation and 40%</w:t>
      </w:r>
      <w:r>
        <w:rPr>
          <w:rFonts w:ascii="Arial" w:cs="Arial" w:eastAsia="Arial" w:hAnsi="Arial"/>
          <w:sz w:val="17"/>
          <w:szCs w:val="17"/>
          <w:b w:val="1"/>
          <w:bCs w:val="1"/>
          <w:color w:val="auto"/>
        </w:rPr>
        <w:t xml:space="preserve"> </w:t>
      </w:r>
      <w:r>
        <w:rPr>
          <w:rFonts w:ascii="Arial" w:cs="Arial" w:eastAsia="Arial" w:hAnsi="Arial"/>
          <w:sz w:val="17"/>
          <w:szCs w:val="17"/>
          <w:color w:val="auto"/>
        </w:rPr>
        <w:t>to the Adviser/Administrator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of the Corporation, including the Independent Directors of the Corporation and that the appropriate allocation between each of Pennant Park Floating Rate Capital Ltd. and the Corporation, with respect to the joint liability insurance policy, is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such officer of the Corporation this 8th day of June, 2018.</w:t>
      </w: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60"/>
          </w:cols>
          <w:pgMar w:left="240" w:top="270"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This JOINT FIDELITY BOND AGREEMENT is dated as of March 10, 2011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the Adviser, and the Administrator are joint named insureds (each, an “Insured” and collectively, the “Insureds”) under a bond</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Aon (the “Bond”);</w:t>
      </w:r>
    </w:p>
    <w:p>
      <w:pPr>
        <w:spacing w:after="0" w:line="1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required to provide and maintain a fidelity bond pursuant to Rule 17g-1 under the Investment Company Act of 1940,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“1940 Act”);</w:t>
      </w:r>
    </w:p>
    <w:p>
      <w:pPr>
        <w:spacing w:after="0" w:line="1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amounts to be received by them in the event recovery is received under the Bond as a result of a loss sustained by them; and</w:t>
      </w:r>
    </w:p>
    <w:p>
      <w:pPr>
        <w:spacing w:after="0" w:line="1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the Corporation, including a majority of the directors who are not “interested persons”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(as defined in the 1940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right="18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right="240"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81" w:lineRule="exact"/>
        <w:rPr>
          <w:rFonts w:ascii="Arial" w:cs="Arial" w:eastAsia="Arial" w:hAnsi="Arial"/>
          <w:sz w:val="18"/>
          <w:szCs w:val="18"/>
          <w:color w:val="auto"/>
        </w:rPr>
      </w:pPr>
    </w:p>
    <w:p>
      <w:pPr>
        <w:jc w:val="both"/>
        <w:ind w:right="440"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225" w:lineRule="exact"/>
        <w:rPr>
          <w:rFonts w:ascii="Arial" w:cs="Arial" w:eastAsia="Arial" w:hAnsi="Arial"/>
          <w:sz w:val="18"/>
          <w:szCs w:val="18"/>
          <w:color w:val="auto"/>
        </w:rPr>
      </w:pPr>
    </w:p>
    <w:p>
      <w:pPr>
        <w:ind w:right="70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Aviv Efrat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1"/>
      <w:numFmt w:val="decimal"/>
      <w:start w:val="590"/>
    </w:lvl>
  </w:abstractNum>
  <w:abstractNum w:abstractNumId="3">
    <w:nsid w:val="7724C67E"/>
    <w:multiLevelType w:val="hybridMultilevel"/>
    <w:lvl w:ilvl="0">
      <w:lvlJc w:val="left"/>
      <w:lvlText w:val="%1."/>
      <w:numFmt w:val="upperLetter"/>
      <w:start w:val="1"/>
    </w:lvl>
  </w:abstractNum>
  <w:abstractNum w:abstractNumId="4">
    <w:nsid w:val="5C482A97"/>
    <w:multiLevelType w:val="hybridMultilevel"/>
    <w:lvl w:ilvl="0">
      <w:lvlJc w:val="left"/>
      <w:lvlText w:val="%1."/>
      <w:numFmt w:val="upperLetter"/>
      <w:start w:val="9"/>
    </w:lvl>
  </w:abstractNum>
  <w:abstractNum w:abstractNumId="5">
    <w:nsid w:val="2463B9EA"/>
    <w:multiLevelType w:val="hybridMultilevel"/>
    <w:lvl w:ilvl="0">
      <w:lvlJc w:val="left"/>
      <w:lvlText w:val="%1."/>
      <w:numFmt w:val="upperLetter"/>
      <w:start w:val="9"/>
    </w:lvl>
  </w:abstractNum>
  <w:abstractNum w:abstractNumId="6">
    <w:nsid w:val="5E884ADC"/>
    <w:multiLevelType w:val="hybridMultilevel"/>
    <w:lvl w:ilvl="0">
      <w:lvlJc w:val="left"/>
      <w:lvlText w:val="%1."/>
      <w:numFmt w:val="upperLetter"/>
      <w:start w:val="35"/>
    </w:lvl>
    <w:lvl w:ilvl="1">
      <w:lvlJc w:val="left"/>
      <w:lvlText w:val="%2"/>
      <w:numFmt w:val="upperLetter"/>
      <w:start w:val="1"/>
    </w:lvl>
  </w:abstractNum>
  <w:abstractNum w:abstractNumId="7">
    <w:nsid w:val="51EAD36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8">
    <w:nsid w:val="2D517796"/>
    <w:multiLevelType w:val="hybridMultilevel"/>
    <w:lvl w:ilvl="0">
      <w:lvlJc w:val="left"/>
      <w:lvlText w:val="%1."/>
      <w:numFmt w:val="decimal"/>
      <w:start w:val="2"/>
    </w:lvl>
  </w:abstractNum>
  <w:abstractNum w:abstractNumId="9">
    <w:nsid w:val="580BD78F"/>
    <w:multiLevelType w:val="hybridMultilevel"/>
    <w:lvl w:ilvl="0">
      <w:lvlJc w:val="left"/>
      <w:lvlText w:val="%1."/>
      <w:numFmt w:val="upperLetter"/>
      <w:start w:val="3"/>
    </w:lvl>
    <w:lvl w:ilvl="1">
      <w:lvlJc w:val="left"/>
      <w:lvlText w:val="%2."/>
      <w:numFmt w:val="decimal"/>
      <w:start w:val="1"/>
    </w:lvl>
  </w:abstractNum>
  <w:abstractNum w:abstractNumId="10">
    <w:nsid w:val="153EA438"/>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1">
    <w:nsid w:val="3855585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2">
    <w:nsid w:val="70A64E2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
    <w:nsid w:val="6A2342EC"/>
    <w:multiLevelType w:val="hybridMultilevel"/>
    <w:lvl w:ilvl="0">
      <w:lvlJc w:val="left"/>
      <w:lvlText w:val="%1."/>
      <w:numFmt w:val="upperLetter"/>
      <w:start w:val="6"/>
    </w:lvl>
    <w:lvl w:ilvl="1">
      <w:lvlJc w:val="left"/>
      <w:lvlText w:val="%2."/>
      <w:numFmt w:val="decimal"/>
      <w:start w:val="1"/>
    </w:lvl>
  </w:abstractNum>
  <w:abstractNum w:abstractNumId="14">
    <w:nsid w:val="2A487CB0"/>
    <w:multiLevelType w:val="hybridMultilevel"/>
    <w:lvl w:ilvl="0">
      <w:lvlJc w:val="left"/>
      <w:lvlText w:val="%1."/>
      <w:numFmt w:val="upperLetter"/>
      <w:start w:val="9"/>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upperLetter"/>
      <w:start w:val="10"/>
    </w:lvl>
    <w:lvl w:ilvl="1">
      <w:lvlJc w:val="left"/>
      <w:lvlText w:val="%2."/>
      <w:numFmt w:val="decimal"/>
      <w:start w:val="1"/>
    </w:lvl>
  </w:abstractNum>
  <w:abstractNum w:abstractNumId="17">
    <w:nsid w:val="2CD89A32"/>
    <w:multiLevelType w:val="hybridMultilevel"/>
    <w:lvl w:ilvl="0">
      <w:lvlJc w:val="left"/>
      <w:lvlText w:val="%1."/>
      <w:numFmt w:val="upperLetter"/>
      <w:start w:val="61"/>
    </w:lvl>
    <w:lvl w:ilvl="1">
      <w:lvlJc w:val="left"/>
      <w:lvlText w:val="%2"/>
      <w:numFmt w:val="upperLetter"/>
      <w:start w:val="1"/>
    </w:lvl>
  </w:abstractNum>
  <w:abstractNum w:abstractNumId="18">
    <w:nsid w:val="57E4CCAF"/>
    <w:multiLevelType w:val="hybridMultilevel"/>
    <w:lvl w:ilvl="0">
      <w:lvlJc w:val="left"/>
      <w:lvlText w:val="%1."/>
      <w:numFmt w:val="upperLetter"/>
      <w:start w:val="2"/>
    </w:lvl>
    <w:lvl w:ilvl="1">
      <w:lvlJc w:val="left"/>
      <w:lvlText w:val="%2."/>
      <w:numFmt w:val="decimal"/>
      <w:start w:val="1"/>
    </w:lvl>
  </w:abstractNum>
  <w:abstractNum w:abstractNumId="19">
    <w:nsid w:val="7A6D8D3C"/>
    <w:multiLevelType w:val="hybridMultilevel"/>
    <w:lvl w:ilvl="0">
      <w:lvlJc w:val="left"/>
      <w:lvlText w:val="%1"/>
      <w:numFmt w:val="upperLetter"/>
      <w:start w:val="1"/>
    </w:lvl>
    <w:lvl w:ilvl="1">
      <w:lvlJc w:val="left"/>
      <w:lvlText w:val="%2."/>
      <w:numFmt w:val="lowerLetter"/>
      <w:start w:val="1"/>
    </w:lvl>
  </w:abstractNum>
  <w:abstractNum w:abstractNumId="20">
    <w:nsid w:val="4B588F54"/>
    <w:multiLevelType w:val="hybridMultilevel"/>
    <w:lvl w:ilvl="0">
      <w:lvlJc w:val="left"/>
      <w:lvlText w:val="%1."/>
      <w:numFmt w:val="upperLetter"/>
      <w:start w:val="3"/>
    </w:lvl>
    <w:lvl w:ilvl="1">
      <w:lvlJc w:val="left"/>
      <w:lvlText w:val="%2"/>
      <w:numFmt w:val="lowerLetter"/>
      <w:start w:val="1"/>
    </w:lvl>
  </w:abstractNum>
  <w:abstractNum w:abstractNumId="21">
    <w:nsid w:val="542289EC"/>
    <w:multiLevelType w:val="hybridMultilevel"/>
    <w:lvl w:ilvl="0">
      <w:lvlJc w:val="left"/>
      <w:lvlText w:val="%1."/>
      <w:numFmt w:val="upperLetter"/>
      <w:start w:val="5"/>
    </w:lvl>
    <w:lvl w:ilvl="1">
      <w:lvlJc w:val="left"/>
      <w:lvlText w:val="%2."/>
      <w:numFmt w:val="decimal"/>
      <w:start w:val="1"/>
    </w:lvl>
  </w:abstractNum>
  <w:abstractNum w:abstractNumId="22">
    <w:nsid w:val="6DE91B18"/>
    <w:multiLevelType w:val="hybridMultilevel"/>
    <w:lvl w:ilvl="0">
      <w:lvlJc w:val="left"/>
      <w:lvlText w:val="%1."/>
      <w:numFmt w:val="upperLetter"/>
      <w:start w:val="1"/>
    </w:lvl>
  </w:abstractNum>
  <w:abstractNum w:abstractNumId="23">
    <w:nsid w:val="38437FDB"/>
    <w:multiLevelType w:val="hybridMultilevel"/>
    <w:lvl w:ilvl="0">
      <w:lvlJc w:val="left"/>
      <w:lvlText w:val="%1."/>
      <w:numFmt w:val="upperLetter"/>
      <w:start w:val="4"/>
    </w:lvl>
    <w:lvl w:ilvl="1">
      <w:lvlJc w:val="left"/>
      <w:lvlText w:val="%2."/>
      <w:numFmt w:val="decimal"/>
      <w:start w:val="1"/>
    </w:lvl>
  </w:abstractNum>
  <w:abstractNum w:abstractNumId="24">
    <w:nsid w:val="7644A45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5">
    <w:nsid w:val="32FFF902"/>
    <w:multiLevelType w:val="hybridMultilevel"/>
    <w:lvl w:ilvl="0">
      <w:lvlJc w:val="left"/>
      <w:lvlText w:val="%1."/>
      <w:numFmt w:val="upperLetter"/>
      <w:start w:val="12"/>
    </w:lvl>
    <w:lvl w:ilvl="1">
      <w:lvlJc w:val="left"/>
      <w:lvlText w:val="%2."/>
      <w:numFmt w:val="decimal"/>
      <w:start w:val="1"/>
    </w:lvl>
  </w:abstractNum>
  <w:abstractNum w:abstractNumId="26">
    <w:nsid w:val="684A481A"/>
    <w:multiLevelType w:val="hybridMultilevel"/>
    <w:lvl w:ilvl="0">
      <w:lvlJc w:val="left"/>
      <w:lvlText w:val="%1."/>
      <w:numFmt w:val="decimal"/>
      <w:start w:val="6"/>
    </w:lvl>
    <w:lvl w:ilvl="1">
      <w:lvlJc w:val="left"/>
      <w:lvlText w:val="%2."/>
      <w:numFmt w:val="lowerLetter"/>
      <w:start w:val="1"/>
    </w:lvl>
  </w:abstractNum>
  <w:abstractNum w:abstractNumId="27">
    <w:nsid w:val="579478FE"/>
    <w:multiLevelType w:val="hybridMultilevel"/>
    <w:lvl w:ilvl="0">
      <w:lvlJc w:val="left"/>
      <w:lvlText w:val="%1."/>
      <w:numFmt w:val="upperLetter"/>
      <w:start w:val="19"/>
    </w:lvl>
    <w:lvl w:ilvl="1">
      <w:lvlJc w:val="left"/>
      <w:lvlText w:val="%2."/>
      <w:numFmt w:val="decimal"/>
      <w:start w:val="1"/>
    </w:lvl>
  </w:abstractNum>
  <w:abstractNum w:abstractNumId="28">
    <w:nsid w:val="749ABB43"/>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9">
    <w:nsid w:val="3DC240FB"/>
    <w:multiLevelType w:val="hybridMultilevel"/>
    <w:lvl w:ilvl="0">
      <w:lvlJc w:val="left"/>
      <w:lvlText w:val="%1."/>
      <w:numFmt w:val="decimal"/>
      <w:start w:val="3"/>
    </w:lvl>
  </w:abstractNum>
  <w:abstractNum w:abstractNumId="30">
    <w:nsid w:val="1BA026FA"/>
    <w:multiLevelType w:val="hybridMultilevel"/>
    <w:lvl w:ilvl="0">
      <w:lvlJc w:val="left"/>
      <w:lvlText w:val="%1."/>
      <w:numFmt w:val="upperLetter"/>
      <w:start w:val="23"/>
    </w:lvl>
    <w:lvl w:ilvl="1">
      <w:lvlJc w:val="left"/>
      <w:lvlText w:val="%2."/>
      <w:numFmt w:val="lowerLetter"/>
      <w:start w:val="1"/>
    </w:lvl>
  </w:abstractNum>
  <w:abstractNum w:abstractNumId="31">
    <w:nsid w:val="79A1DEAA"/>
    <w:multiLevelType w:val="hybridMultilevel"/>
    <w:lvl w:ilvl="0">
      <w:lvlJc w:val="left"/>
      <w:lvlText w:val="%1."/>
      <w:numFmt w:val="upperLetter"/>
      <w:start w:val="24"/>
    </w:lvl>
  </w:abstractNum>
  <w:abstractNum w:abstractNumId="32">
    <w:nsid w:val="75C6C33A"/>
    <w:multiLevelType w:val="hybridMultilevel"/>
    <w:lvl w:ilvl="0">
      <w:lvlJc w:val="left"/>
      <w:lvlText w:val="%1."/>
      <w:numFmt w:val="upperLetter"/>
      <w:start w:val="27"/>
    </w:lvl>
    <w:lvl w:ilvl="1">
      <w:lvlJc w:val="left"/>
      <w:lvlText w:val="%2."/>
      <w:numFmt w:val="decimal"/>
      <w:start w:val="1"/>
    </w:lvl>
  </w:abstractNum>
  <w:abstractNum w:abstractNumId="33">
    <w:nsid w:val="12E685FB"/>
    <w:multiLevelType w:val="hybridMultilevel"/>
    <w:lvl w:ilvl="0">
      <w:lvlJc w:val="left"/>
      <w:lvlText w:val="%1."/>
      <w:numFmt w:val="upperLetter"/>
      <w:start w:val="34"/>
    </w:lvl>
  </w:abstractNum>
  <w:abstractNum w:abstractNumId="34">
    <w:nsid w:val="70C6A529"/>
    <w:multiLevelType w:val="hybridMultilevel"/>
    <w:lvl w:ilvl="0">
      <w:lvlJc w:val="left"/>
      <w:lvlText w:val="%1"/>
      <w:numFmt w:val="upperLetter"/>
      <w:start w:val="1"/>
    </w:lvl>
    <w:lvl w:ilvl="1">
      <w:lvlJc w:val="left"/>
      <w:lvlText w:val="%2."/>
      <w:numFmt w:val="decimal"/>
      <w:start w:val="2"/>
    </w:lvl>
  </w:abstractNum>
  <w:abstractNum w:abstractNumId="35">
    <w:nsid w:val="520EEDD1"/>
    <w:multiLevelType w:val="hybridMultilevel"/>
    <w:lvl w:ilvl="0">
      <w:lvlJc w:val="left"/>
      <w:lvlText w:val="%1."/>
      <w:numFmt w:val="upperLetter"/>
      <w:start w:val="37"/>
    </w:lvl>
    <w:lvl w:ilvl="1">
      <w:lvlJc w:val="left"/>
      <w:lvlText w:val="%2."/>
      <w:numFmt w:val="decimal"/>
      <w:start w:val="1"/>
    </w:lvl>
  </w:abstractNum>
  <w:abstractNum w:abstractNumId="36">
    <w:nsid w:val="374A3FE6"/>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7">
    <w:nsid w:val="4F4EF005"/>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8">
    <w:nsid w:val="23F9C13C"/>
    <w:multiLevelType w:val="hybridMultilevel"/>
    <w:lvl w:ilvl="0">
      <w:lvlJc w:val="left"/>
      <w:lvlText w:val="%1."/>
      <w:numFmt w:val="upperLetter"/>
      <w:start w:val="8"/>
    </w:lvl>
    <w:lvl w:ilvl="1">
      <w:lvlJc w:val="left"/>
      <w:lvlText w:val="%2."/>
      <w:numFmt w:val="decimal"/>
      <w:start w:val="1"/>
    </w:lvl>
  </w:abstractNum>
  <w:abstractNum w:abstractNumId="39">
    <w:nsid w:val="649BB77C"/>
    <w:multiLevelType w:val="hybridMultilevel"/>
    <w:lvl w:ilvl="0">
      <w:lvlJc w:val="left"/>
      <w:lvlText w:val="%1."/>
      <w:numFmt w:val="upperLetter"/>
      <w:start w:val="9"/>
    </w:lvl>
    <w:lvl w:ilvl="1">
      <w:lvlJc w:val="left"/>
      <w:lvlText w:val="%2."/>
      <w:numFmt w:val="decimal"/>
      <w:start w:val="1"/>
    </w:lvl>
  </w:abstractNum>
  <w:abstractNum w:abstractNumId="40">
    <w:nsid w:val="275AC794"/>
    <w:multiLevelType w:val="hybridMultilevel"/>
    <w:lvl w:ilvl="0">
      <w:lvlJc w:val="left"/>
      <w:lvlText w:val="%1."/>
      <w:numFmt w:val="upperLetter"/>
      <w:start w:val="13"/>
    </w:lvl>
    <w:lvl w:ilvl="1">
      <w:lvlJc w:val="left"/>
      <w:lvlText w:val="%2."/>
      <w:numFmt w:val="decimal"/>
      <w:start w:val="1"/>
    </w:lvl>
  </w:abstractNum>
  <w:abstractNum w:abstractNumId="41">
    <w:nsid w:val="39386575"/>
    <w:multiLevelType w:val="hybridMultilevel"/>
    <w:lvl w:ilvl="0">
      <w:lvlJc w:val="left"/>
      <w:lvlText w:val="%1."/>
      <w:numFmt w:val="upperLetter"/>
      <w:start w:val="18"/>
    </w:lvl>
  </w:abstractNum>
  <w:abstractNum w:abstractNumId="42">
    <w:nsid w:val="1CF10FD8"/>
    <w:multiLevelType w:val="hybridMultilevel"/>
    <w:lvl w:ilvl="0">
      <w:lvlJc w:val="left"/>
      <w:lvlText w:val="%1."/>
      <w:numFmt w:val="upperLetter"/>
      <w:start w:val="20"/>
    </w:lvl>
    <w:lvl w:ilvl="1">
      <w:lvlJc w:val="left"/>
      <w:lvlText w:val="%2."/>
      <w:numFmt w:val="decimal"/>
      <w:start w:val="1"/>
    </w:lvl>
  </w:abstractNum>
  <w:abstractNum w:abstractNumId="43">
    <w:nsid w:val="180115BE"/>
    <w:multiLevelType w:val="hybridMultilevel"/>
    <w:lvl w:ilvl="0">
      <w:lvlJc w:val="left"/>
      <w:lvlText w:val="%1."/>
      <w:numFmt w:val="upperLetter"/>
      <w:start w:val="27"/>
    </w:lvl>
  </w:abstractNum>
  <w:abstractNum w:abstractNumId="44">
    <w:nsid w:val="235BA861"/>
    <w:multiLevelType w:val="hybridMultilevel"/>
    <w:lvl w:ilvl="0">
      <w:lvlJc w:val="left"/>
      <w:lvlText w:val="%1."/>
      <w:numFmt w:val="upperLetter"/>
      <w:start w:val="29"/>
    </w:lvl>
  </w:abstractNum>
  <w:abstractNum w:abstractNumId="45">
    <w:nsid w:val="47398C89"/>
    <w:multiLevelType w:val="hybridMultilevel"/>
    <w:lvl w:ilvl="0">
      <w:lvlJc w:val="left"/>
      <w:lvlText w:val="%1."/>
      <w:numFmt w:val="upperLetter"/>
      <w:start w:val="1"/>
    </w:lvl>
    <w:lvl w:ilvl="1">
      <w:lvlJc w:val="left"/>
      <w:lvlText w:val="%2."/>
      <w:numFmt w:val="decimal"/>
      <w:start w:val="1"/>
    </w:lvl>
  </w:abstractNum>
  <w:abstractNum w:abstractNumId="46">
    <w:nsid w:val="354FE9F9"/>
    <w:multiLevelType w:val="hybridMultilevel"/>
    <w:lvl w:ilvl="0">
      <w:lvlJc w:val="left"/>
      <w:lvlText w:val="%1."/>
      <w:numFmt w:val="upperLetter"/>
      <w:start w:val="3"/>
    </w:lvl>
    <w:lvl w:ilvl="1">
      <w:lvlJc w:val="left"/>
      <w:lvlText w:val="%2."/>
      <w:numFmt w:val="decimal"/>
      <w:start w:val="1"/>
    </w:lvl>
  </w:abstractNum>
  <w:abstractNum w:abstractNumId="47">
    <w:nsid w:val="15B5AF5C"/>
    <w:multiLevelType w:val="hybridMultilevel"/>
    <w:lvl w:ilvl="0">
      <w:lvlJc w:val="left"/>
      <w:lvlText w:val="%1"/>
      <w:numFmt w:val="upperLetter"/>
      <w:start w:val="1"/>
    </w:lvl>
    <w:lvl w:ilvl="1">
      <w:lvlJc w:val="left"/>
      <w:lvlText w:val="%2."/>
      <w:numFmt w:val="decimal"/>
      <w:start w:val="2"/>
    </w:lvl>
  </w:abstractNum>
  <w:abstractNum w:abstractNumId="48">
    <w:nsid w:val="741226BB"/>
    <w:multiLevelType w:val="hybridMultilevel"/>
    <w:lvl w:ilvl="0">
      <w:lvlJc w:val="left"/>
      <w:lvlText w:val="%1"/>
      <w:numFmt w:val="upperLetter"/>
      <w:start w:val="1"/>
    </w:lvl>
    <w:lvl w:ilvl="1">
      <w:lvlJc w:val="left"/>
      <w:lvlText w:val="%2."/>
      <w:numFmt w:val="decimal"/>
      <w:start w:val="1"/>
    </w:lvl>
  </w:abstractNum>
  <w:abstractNum w:abstractNumId="49">
    <w:nsid w:val="D34B6A8"/>
    <w:multiLevelType w:val="hybridMultilevel"/>
    <w:lvl w:ilvl="0">
      <w:lvlJc w:val="left"/>
      <w:lvlText w:val="%1."/>
      <w:numFmt w:val="decimal"/>
      <w:start w:val="2"/>
    </w:lvl>
  </w:abstractNum>
  <w:abstractNum w:abstractNumId="50">
    <w:nsid w:val="10233C99"/>
    <w:multiLevelType w:val="hybridMultilevel"/>
    <w:lvl w:ilvl="0">
      <w:lvlJc w:val="left"/>
      <w:lvlText w:val="%1."/>
      <w:numFmt w:val="decimal"/>
      <w:start w:val="3"/>
    </w:lvl>
  </w:abstractNum>
  <w:abstractNum w:abstractNumId="51">
    <w:nsid w:val="3F6AB60F"/>
    <w:multiLevelType w:val="hybridMultilevel"/>
    <w:lvl w:ilvl="0">
      <w:lvlJc w:val="left"/>
      <w:lvlText w:val="%1."/>
      <w:numFmt w:val="decimal"/>
      <w:start w:val="4"/>
    </w:lvl>
  </w:abstractNum>
  <w:abstractNum w:abstractNumId="52">
    <w:nsid w:val="61574095"/>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3">
    <w:nsid w:val="7E0C57B1"/>
    <w:multiLevelType w:val="hybridMultilevel"/>
    <w:lvl w:ilvl="0">
      <w:lvlJc w:val="left"/>
      <w:lvlText w:val="%1."/>
      <w:numFmt w:val="upperLetter"/>
      <w:start w:val="13"/>
    </w:lvl>
    <w:lvl w:ilvl="1">
      <w:lvlJc w:val="left"/>
      <w:lvlText w:val="%2."/>
      <w:numFmt w:val="decimal"/>
      <w:start w:val="1"/>
    </w:lvl>
  </w:abstractNum>
  <w:abstractNum w:abstractNumId="54">
    <w:nsid w:val="77AE35EB"/>
    <w:multiLevelType w:val="hybridMultilevel"/>
    <w:lvl w:ilvl="0">
      <w:lvlJc w:val="left"/>
      <w:lvlText w:val="%1."/>
      <w:numFmt w:val="upperLetter"/>
      <w:start w:val="14"/>
    </w:lvl>
    <w:lvl w:ilvl="1">
      <w:lvlJc w:val="left"/>
      <w:lvlText w:val="%2."/>
      <w:numFmt w:val="decimal"/>
      <w:start w:val="1"/>
    </w:lvl>
  </w:abstractNum>
  <w:abstractNum w:abstractNumId="55">
    <w:nsid w:val="579BE4F1"/>
    <w:multiLevelType w:val="hybridMultilevel"/>
    <w:lvl w:ilvl="0">
      <w:lvlJc w:val="left"/>
      <w:lvlText w:val="%1."/>
      <w:numFmt w:val="upperLetter"/>
      <w:start w:val="17"/>
    </w:lvl>
    <w:lvl w:ilvl="1">
      <w:lvlJc w:val="left"/>
      <w:lvlText w:val="%2."/>
      <w:numFmt w:val="decimal"/>
      <w:start w:val="1"/>
    </w:lvl>
  </w:abstractNum>
  <w:abstractNum w:abstractNumId="56">
    <w:nsid w:val="310C50B3"/>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7">
    <w:nsid w:val="5FF87E05"/>
    <w:multiLevelType w:val="hybridMultilevel"/>
    <w:lvl w:ilvl="0">
      <w:lvlJc w:val="left"/>
      <w:lvlText w:val="%1."/>
      <w:numFmt w:val="lowerLetter"/>
      <w:start w:val="3"/>
    </w:lvl>
    <w:lvl w:ilvl="1">
      <w:lvlJc w:val="left"/>
      <w:lvlText w:val="(%2)"/>
      <w:numFmt w:val="decimal"/>
      <w:start w:val="1"/>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1."/>
      <w:numFmt w:val="upperLetter"/>
      <w:start w:val="19"/>
    </w:lvl>
    <w:lvl w:ilvl="1">
      <w:lvlJc w:val="left"/>
      <w:lvlText w:val="%2."/>
      <w:numFmt w:val="decimal"/>
      <w:start w:val="1"/>
    </w:lvl>
  </w:abstractNum>
  <w:abstractNum w:abstractNumId="60">
    <w:nsid w:val="1DBABF00"/>
    <w:multiLevelType w:val="hybridMultilevel"/>
    <w:lvl w:ilvl="0">
      <w:lvlJc w:val="left"/>
      <w:lvlText w:val="%1."/>
      <w:numFmt w:val="upperLetter"/>
      <w:start w:val="20"/>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upperLetter"/>
      <w:start w:val="14"/>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2"/>
    </w:lvl>
  </w:abstractNum>
  <w:abstractNum w:abstractNumId="67">
    <w:nsid w:val="15014AC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68">
    <w:nsid w:val="5F5E7FD0"/>
    <w:multiLevelType w:val="hybridMultilevel"/>
    <w:lvl w:ilvl="0">
      <w:lvlJc w:val="left"/>
      <w:lvlText w:val="%1."/>
      <w:numFmt w:val="decimal"/>
      <w:start w:val="2"/>
    </w:lvl>
    <w:lvl w:ilvl="1">
      <w:lvlJc w:val="left"/>
      <w:lvlText w:val="%2."/>
      <w:numFmt w:val="decimal"/>
      <w:start w:val="4"/>
    </w:lvl>
    <w:lvl w:ilvl="2">
      <w:lvlJc w:val="left"/>
      <w:lvlText w:val="%3"/>
      <w:numFmt w:val="decimal"/>
      <w:start w:val="1"/>
    </w:lvl>
    <w:lvl w:ilvl="3">
      <w:lvlJc w:val="left"/>
      <w:lvlText w:val="%4"/>
      <w:numFmt w:val="lowerLetter"/>
      <w:start w:val="1"/>
    </w:lvl>
  </w:abstractNum>
  <w:abstractNum w:abstractNumId="69">
    <w:nsid w:val="98A3148"/>
    <w:multiLevelType w:val="hybridMultilevel"/>
    <w:lvl w:ilvl="0">
      <w:lvlJc w:val="left"/>
      <w:lvlText w:val="%1."/>
      <w:numFmt w:val="decimal"/>
      <w:start w:val="5"/>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2019-12-07T07:48:10Z</dcterms:created>
  <dcterms:modified xsi:type="dcterms:W3CDTF">2019-12-07T07:48:10Z</dcterms:modified>
</cp:coreProperties>
</file>