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1026.htm"/>
      <w:bookmarkStart w:id="1" w:name="ksf8k_0810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10,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On August 10, 2026, PennanrPark Investment Corporation issued a press release announcing its financial results for the third fiscal quarter ended June 30, 2026. A copy of the press release is furnished as Exhibit 99.1 to this report pursuant to Item 2.02 on Form 8-K and Regulation FD.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rStyle w:val="StrongEmphasis"/>
          <w:sz w:val="20"/>
        </w:rPr>
        <w:t>Forward-Looking Statements</w:t>
      </w:r>
    </w:p>
    <w:p>
      <w:pPr>
        <w:pStyle w:val="TextBody"/>
        <w:bidi w:val="0"/>
        <w:spacing w:before="0" w:after="0"/>
        <w:ind w:left="0" w:right="0" w:hanging="0"/>
        <w:jc w:val="left"/>
        <w:rPr/>
      </w:pPr>
      <w:r>
        <w:rPr>
          <w:rStyle w:val="StrongEmphasis"/>
        </w:rPr>
        <w:t> </w:t>
      </w:r>
    </w:p>
    <w:p>
      <w:pPr>
        <w:pStyle w:val="TextBody"/>
        <w:bidi w:val="0"/>
        <w:spacing w:before="0" w:after="0"/>
        <w:ind w:left="0" w:right="0" w:firstLine="720"/>
        <w:jc w:val="both"/>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0" w:after="0"/>
        <w:ind w:left="0" w:right="0" w:firstLine="720"/>
        <w:jc w:val="both"/>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ind w:left="0" w:right="0" w:hanging="0"/>
        <w:jc w:val="both"/>
        <w:rPr/>
      </w:pPr>
      <w:r>
        <w:rPr>
          <w:rStyle w:val="StrongEmphasis"/>
        </w:rPr>
        <w:t> </w:t>
      </w:r>
    </w:p>
    <w:p>
      <w:pPr>
        <w:pStyle w:val="TextBody"/>
        <w:bidi w:val="0"/>
        <w:spacing w:before="0" w:after="0"/>
        <w:ind w:left="0" w:right="0" w:hanging="0"/>
        <w:jc w:val="both"/>
        <w:rPr/>
      </w:pPr>
      <w:r>
        <w:rPr>
          <w:rStyle w:val="StrongEmphasis"/>
          <w:sz w:val="20"/>
        </w:rPr>
        <w:t>(a) Financial statements:</w:t>
      </w:r>
    </w:p>
    <w:p>
      <w:pPr>
        <w:pStyle w:val="TextBody"/>
        <w:bidi w:val="0"/>
        <w:spacing w:before="0" w:after="0"/>
        <w:ind w:left="0" w:right="0" w:hanging="0"/>
        <w:jc w:val="both"/>
        <w:rPr/>
      </w:pPr>
      <w:r>
        <w:rPr>
          <w:rStyle w:val="StrongEmphasis"/>
        </w:rPr>
        <w:t> </w:t>
      </w:r>
    </w:p>
    <w:p>
      <w:pPr>
        <w:pStyle w:val="TextBody"/>
        <w:bidi w:val="0"/>
        <w:spacing w:before="0" w:after="0"/>
        <w:ind w:left="0" w:right="0" w:hanging="0"/>
        <w:jc w:val="both"/>
        <w:rPr>
          <w:sz w:val="20"/>
        </w:rPr>
      </w:pPr>
      <w:r>
        <w:rPr>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sz w:val="20"/>
        </w:rPr>
        <w:t>(b) Pro forma financial information:</w:t>
      </w:r>
    </w:p>
    <w:p>
      <w:pPr>
        <w:pStyle w:val="TextBody"/>
        <w:bidi w:val="0"/>
        <w:spacing w:before="0" w:after="0"/>
        <w:ind w:left="0" w:right="0" w:hanging="0"/>
        <w:jc w:val="both"/>
        <w:rPr/>
      </w:pPr>
      <w:r>
        <w:rPr>
          <w:rStyle w:val="StrongEmphasis"/>
        </w:rPr>
        <w:t> </w:t>
      </w:r>
    </w:p>
    <w:p>
      <w:pPr>
        <w:pStyle w:val="TextBody"/>
        <w:bidi w:val="0"/>
        <w:spacing w:before="0" w:after="0"/>
        <w:ind w:left="0" w:right="0" w:hanging="0"/>
        <w:jc w:val="both"/>
        <w:rPr>
          <w:sz w:val="20"/>
        </w:rPr>
      </w:pPr>
      <w:r>
        <w:rPr>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sz w:val="20"/>
        </w:rPr>
        <w:t>(c) Shell company transactions:</w:t>
      </w:r>
    </w:p>
    <w:p>
      <w:pPr>
        <w:pStyle w:val="TextBody"/>
        <w:bidi w:val="0"/>
        <w:spacing w:before="0" w:after="0"/>
        <w:ind w:left="0" w:right="0" w:hanging="0"/>
        <w:jc w:val="both"/>
        <w:rPr/>
      </w:pPr>
      <w:r>
        <w:rPr>
          <w:rStyle w:val="StrongEmphasis"/>
        </w:rPr>
        <w:t> </w:t>
      </w:r>
    </w:p>
    <w:p>
      <w:pPr>
        <w:pStyle w:val="TextBody"/>
        <w:bidi w:val="0"/>
        <w:spacing w:before="0" w:after="0"/>
        <w:ind w:left="0" w:right="0" w:hanging="0"/>
        <w:jc w:val="both"/>
        <w:rPr>
          <w:sz w:val="20"/>
        </w:rPr>
      </w:pPr>
      <w:r>
        <w:rPr>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sz w:val="20"/>
        </w:rPr>
        <w:t>(d) Exhibits</w:t>
      </w:r>
    </w:p>
    <w:p>
      <w:pPr>
        <w:pStyle w:val="TextBody"/>
        <w:bidi w:val="0"/>
        <w:spacing w:before="0" w:after="0"/>
        <w:ind w:left="0" w:right="0" w:hanging="0"/>
        <w:jc w:val="both"/>
        <w:rPr/>
      </w:pPr>
      <w:r>
        <w:rPr>
          <w:rStyle w:val="StrongEmphasis"/>
        </w:rPr>
        <w:t> </w:t>
      </w:r>
    </w:p>
    <w:tbl>
      <w:tblPr>
        <w:tblW w:w="6925" w:type="dxa"/>
        <w:jc w:val="left"/>
        <w:tblInd w:w="0" w:type="dxa"/>
        <w:tblLayout w:type="fixed"/>
        <w:tblCellMar>
          <w:top w:w="0" w:type="dxa"/>
          <w:left w:w="0" w:type="dxa"/>
          <w:bottom w:w="0" w:type="dxa"/>
          <w:right w:w="0" w:type="dxa"/>
        </w:tblCellMar>
      </w:tblPr>
      <w:tblGrid>
        <w:gridCol w:w="395"/>
        <w:gridCol w:w="6530"/>
      </w:tblGrid>
      <w:tr>
        <w:trPr/>
        <w:tc>
          <w:tcPr>
            <w:tcW w:w="395" w:type="dxa"/>
            <w:tcBorders/>
            <w:vAlign w:val="center"/>
          </w:tcPr>
          <w:p>
            <w:pPr>
              <w:pStyle w:val="TableContents"/>
              <w:bidi w:val="0"/>
              <w:spacing w:before="0" w:after="283"/>
              <w:jc w:val="both"/>
              <w:rPr/>
            </w:pPr>
            <w:hyperlink w:anchor="exh_991.htm">
              <w:r>
                <w:rPr>
                  <w:rStyle w:val="InternetLink"/>
                  <w:sz w:val="20"/>
                </w:rPr>
                <w:t>99.1</w:t>
              </w:r>
            </w:hyperlink>
          </w:p>
        </w:tc>
        <w:tc>
          <w:tcPr>
            <w:tcW w:w="6530" w:type="dxa"/>
            <w:tcBorders/>
            <w:vAlign w:val="center"/>
          </w:tcPr>
          <w:p>
            <w:pPr>
              <w:pStyle w:val="TableContents"/>
              <w:bidi w:val="0"/>
              <w:spacing w:before="0" w:after="283"/>
              <w:jc w:val="both"/>
              <w:rPr/>
            </w:pPr>
            <w:hyperlink w:anchor="exh_991.htm">
              <w:r>
                <w:rPr>
                  <w:rStyle w:val="InternetLink"/>
                  <w:sz w:val="20"/>
                </w:rPr>
                <w:t>Press Release of PennantPark Investment Corporation dated August 10, 2026</w:t>
              </w:r>
            </w:hyperlink>
          </w:p>
        </w:tc>
      </w:tr>
      <w:tr>
        <w:trPr/>
        <w:tc>
          <w:tcPr>
            <w:tcW w:w="395" w:type="dxa"/>
            <w:tcBorders/>
            <w:vAlign w:val="center"/>
          </w:tcPr>
          <w:p>
            <w:pPr>
              <w:pStyle w:val="TableContents"/>
              <w:bidi w:val="0"/>
              <w:spacing w:before="0" w:after="283"/>
              <w:jc w:val="both"/>
              <w:rPr>
                <w:sz w:val="20"/>
              </w:rPr>
            </w:pPr>
            <w:r>
              <w:rPr>
                <w:sz w:val="20"/>
              </w:rPr>
              <w:t>104</w:t>
            </w:r>
          </w:p>
        </w:tc>
        <w:tc>
          <w:tcPr>
            <w:tcW w:w="6530" w:type="dxa"/>
            <w:tcBorders/>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pPr>
      <w:r>
        <w:rPr>
          <w:rStyle w:val="StrongEmphasis"/>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085" w:type="dxa"/>
        <w:jc w:val="left"/>
        <w:tblInd w:w="0" w:type="dxa"/>
        <w:tblLayout w:type="fixed"/>
        <w:tblCellMar>
          <w:top w:w="0" w:type="dxa"/>
          <w:left w:w="0" w:type="dxa"/>
          <w:bottom w:w="0" w:type="dxa"/>
          <w:right w:w="0" w:type="dxa"/>
        </w:tblCellMar>
      </w:tblPr>
      <w:tblGrid>
        <w:gridCol w:w="1850"/>
        <w:gridCol w:w="365"/>
        <w:gridCol w:w="2870"/>
      </w:tblGrid>
      <w:tr>
        <w:trPr/>
        <w:tc>
          <w:tcPr>
            <w:tcW w:w="1850"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20"/>
              </w:rPr>
            </w:pPr>
            <w:r>
              <w:rPr>
                <w:sz w:val="20"/>
              </w:rPr>
              <w:t>Date: August 10, 2026</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Financial Results for the Third Quarter Ended June 30, 2026</w:t>
      </w:r>
    </w:p>
    <w:p>
      <w:pPr>
        <w:pStyle w:val="TextBody"/>
        <w:bidi w:val="0"/>
        <w:jc w:val="both"/>
        <w:rPr/>
      </w:pPr>
      <w:r>
        <w:rPr/>
        <w:t>MIAMI, Aug. 10, 2026 (GLOBE NEWSWIRE) -- PennantPark Investment Corporation (NYSE: PNNT) (the "Company") announced today financial results for the third quarter ended June 30, 2026.</w:t>
      </w:r>
    </w:p>
    <w:p>
      <w:pPr>
        <w:pStyle w:val="TextBody"/>
        <w:bidi w:val="0"/>
        <w:jc w:val="both"/>
        <w:rPr/>
      </w:pPr>
      <w:r>
        <w:rPr>
          <w:rStyle w:val="StrongEmphasis"/>
        </w:rPr>
        <w:t>HIGHLIGHTS</w:t>
      </w:r>
      <w:r>
        <w:rPr/>
        <w:br/>
        <w:t>Quarter ended June 30, 2026 (unaudited)</w:t>
        <w:br/>
        <w:t>($ in millions, except per share amounts)</w:t>
      </w:r>
    </w:p>
    <w:tbl>
      <w:tblPr>
        <w:tblW w:w="10205" w:type="dxa"/>
        <w:jc w:val="center"/>
        <w:tblInd w:w="0" w:type="dxa"/>
        <w:tblLayout w:type="fixed"/>
        <w:tblCellMar>
          <w:top w:w="28" w:type="dxa"/>
          <w:left w:w="28" w:type="dxa"/>
          <w:bottom w:w="28" w:type="dxa"/>
          <w:right w:w="28" w:type="dxa"/>
        </w:tblCellMar>
      </w:tblPr>
      <w:tblGrid>
        <w:gridCol w:w="7210"/>
        <w:gridCol w:w="275"/>
        <w:gridCol w:w="426"/>
        <w:gridCol w:w="1559"/>
        <w:gridCol w:w="735"/>
      </w:tblGrid>
      <w:tr>
        <w:trPr/>
        <w:tc>
          <w:tcPr>
            <w:tcW w:w="7210" w:type="dxa"/>
            <w:tcBorders/>
            <w:vAlign w:val="center"/>
          </w:tcPr>
          <w:p>
            <w:pPr>
              <w:pStyle w:val="TableContents"/>
              <w:bidi w:val="0"/>
              <w:spacing w:before="0" w:after="283"/>
              <w:jc w:val="left"/>
              <w:rPr/>
            </w:pPr>
            <w:r>
              <w:rPr/>
              <w:t>Assets and Liabilities:</w:t>
            </w:r>
          </w:p>
        </w:tc>
        <w:tc>
          <w:tcPr>
            <w:tcW w:w="275"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right"/>
              <w:rPr/>
            </w:pPr>
            <w:r>
              <w:rPr/>
              <w:t> </w:t>
            </w:r>
          </w:p>
        </w:tc>
        <w:tc>
          <w:tcPr>
            <w:tcW w:w="735" w:type="dxa"/>
            <w:tcBorders/>
            <w:vAlign w:val="center"/>
          </w:tcPr>
          <w:p>
            <w:pPr>
              <w:pStyle w:val="TableContents"/>
              <w:bidi w:val="0"/>
              <w:spacing w:before="0" w:after="283"/>
              <w:jc w:val="righ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 xml:space="preserve">Investment portfolio </w:t>
            </w:r>
            <w:r>
              <w:rPr>
                <w:position w:val="8"/>
                <w:sz w:val="19"/>
              </w:rPr>
              <w:t>(1)</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1,193.2</w:t>
            </w:r>
          </w:p>
        </w:tc>
        <w:tc>
          <w:tcPr>
            <w:tcW w:w="735" w:type="dxa"/>
            <w:tcBorders/>
            <w:vAlign w:val="center"/>
          </w:tcPr>
          <w:p>
            <w:pPr>
              <w:pStyle w:val="TableContents"/>
              <w:bidi w:val="0"/>
              <w:spacing w:before="0" w:after="283"/>
              <w:jc w:val="lef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428.0</w:t>
            </w:r>
          </w:p>
        </w:tc>
        <w:tc>
          <w:tcPr>
            <w:tcW w:w="735" w:type="dxa"/>
            <w:tcBorders/>
            <w:vAlign w:val="center"/>
          </w:tcPr>
          <w:p>
            <w:pPr>
              <w:pStyle w:val="TableContents"/>
              <w:bidi w:val="0"/>
              <w:spacing w:before="0" w:after="283"/>
              <w:jc w:val="lef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Net asset value per share</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6.56</w:t>
            </w:r>
          </w:p>
        </w:tc>
        <w:tc>
          <w:tcPr>
            <w:tcW w:w="735" w:type="dxa"/>
            <w:tcBorders/>
            <w:vAlign w:val="center"/>
          </w:tcPr>
          <w:p>
            <w:pPr>
              <w:pStyle w:val="TableContents"/>
              <w:bidi w:val="0"/>
              <w:spacing w:before="0" w:after="283"/>
              <w:jc w:val="lef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Quarterly change in net asset value per share</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(2.5</w:t>
            </w:r>
          </w:p>
        </w:tc>
        <w:tc>
          <w:tcPr>
            <w:tcW w:w="735" w:type="dxa"/>
            <w:tcBorders/>
            <w:vAlign w:val="center"/>
          </w:tcPr>
          <w:p>
            <w:pPr>
              <w:pStyle w:val="TableContents"/>
              <w:bidi w:val="0"/>
              <w:spacing w:before="0" w:after="283"/>
              <w:jc w:val="left"/>
              <w:rPr/>
            </w:pPr>
            <w:r>
              <w:rPr/>
              <w:t>)%</w:t>
            </w:r>
          </w:p>
        </w:tc>
      </w:tr>
      <w:tr>
        <w:trPr/>
        <w:tc>
          <w:tcPr>
            <w:tcW w:w="72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right"/>
              <w:rPr/>
            </w:pPr>
            <w:r>
              <w:rPr/>
              <w:t> </w:t>
            </w:r>
          </w:p>
        </w:tc>
        <w:tc>
          <w:tcPr>
            <w:tcW w:w="735" w:type="dxa"/>
            <w:tcBorders/>
            <w:vAlign w:val="center"/>
          </w:tcPr>
          <w:p>
            <w:pPr>
              <w:pStyle w:val="TableContents"/>
              <w:bidi w:val="0"/>
              <w:spacing w:before="0" w:after="283"/>
              <w:jc w:val="right"/>
              <w:rPr/>
            </w:pPr>
            <w:r>
              <w:rPr/>
              <w:t> </w:t>
            </w:r>
          </w:p>
        </w:tc>
      </w:tr>
      <w:tr>
        <w:trPr/>
        <w:tc>
          <w:tcPr>
            <w:tcW w:w="7210" w:type="dxa"/>
            <w:tcBorders/>
            <w:vAlign w:val="center"/>
          </w:tcPr>
          <w:p>
            <w:pPr>
              <w:pStyle w:val="TableContents"/>
              <w:bidi w:val="0"/>
              <w:spacing w:before="0" w:after="283"/>
              <w:jc w:val="left"/>
              <w:rPr/>
            </w:pPr>
            <w:r>
              <w:rPr/>
              <w:t>Credit Facility</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309.8</w:t>
            </w:r>
          </w:p>
        </w:tc>
        <w:tc>
          <w:tcPr>
            <w:tcW w:w="735"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pPr>
            <w:r>
              <w:rPr/>
              <w:t>2026-2 Notes, net of unamortized deferred financing costs</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164.6</w:t>
            </w:r>
          </w:p>
        </w:tc>
        <w:tc>
          <w:tcPr>
            <w:tcW w:w="735"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pPr>
            <w:r>
              <w:rPr/>
              <w:t>2029 Notes, net of unamortized deferred financing costs</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73.6</w:t>
            </w:r>
          </w:p>
        </w:tc>
        <w:tc>
          <w:tcPr>
            <w:tcW w:w="735"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pPr>
            <w:r>
              <w:rPr/>
              <w:t>Regulatory debt to equity</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1.29</w:t>
            </w:r>
          </w:p>
        </w:tc>
        <w:tc>
          <w:tcPr>
            <w:tcW w:w="735" w:type="dxa"/>
            <w:tcBorders/>
            <w:vAlign w:val="center"/>
          </w:tcPr>
          <w:p>
            <w:pPr>
              <w:pStyle w:val="TableContents"/>
              <w:bidi w:val="0"/>
              <w:spacing w:before="0" w:after="283"/>
              <w:jc w:val="left"/>
              <w:rPr/>
            </w:pPr>
            <w:r>
              <w:rPr/>
              <w:t>x</w:t>
            </w:r>
          </w:p>
        </w:tc>
      </w:tr>
      <w:tr>
        <w:trPr/>
        <w:tc>
          <w:tcPr>
            <w:tcW w:w="7210" w:type="dxa"/>
            <w:tcBorders/>
            <w:vAlign w:val="center"/>
          </w:tcPr>
          <w:p>
            <w:pPr>
              <w:pStyle w:val="TableContents"/>
              <w:bidi w:val="0"/>
              <w:spacing w:before="0" w:after="283"/>
              <w:jc w:val="left"/>
              <w:rPr/>
            </w:pPr>
            <w:r>
              <w:rPr/>
              <w:t>Weighted average yield on debt investments</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11.0</w:t>
            </w:r>
          </w:p>
        </w:tc>
        <w:tc>
          <w:tcPr>
            <w:tcW w:w="735" w:type="dxa"/>
            <w:tcBorders/>
            <w:vAlign w:val="center"/>
          </w:tcPr>
          <w:p>
            <w:pPr>
              <w:pStyle w:val="TableContents"/>
              <w:bidi w:val="0"/>
              <w:spacing w:before="0" w:after="283"/>
              <w:jc w:val="left"/>
              <w:rPr/>
            </w:pPr>
            <w:r>
              <w:rPr/>
              <w:t>%</w:t>
            </w:r>
          </w:p>
        </w:tc>
      </w:tr>
      <w:tr>
        <w:trPr/>
        <w:tc>
          <w:tcPr>
            <w:tcW w:w="72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right"/>
              <w:rPr/>
            </w:pPr>
            <w:r>
              <w:rPr/>
              <w:t> </w:t>
            </w:r>
          </w:p>
        </w:tc>
        <w:tc>
          <w:tcPr>
            <w:tcW w:w="735" w:type="dxa"/>
            <w:tcBorders/>
            <w:vAlign w:val="center"/>
          </w:tcPr>
          <w:p>
            <w:pPr>
              <w:pStyle w:val="TableContents"/>
              <w:bidi w:val="0"/>
              <w:spacing w:before="0" w:after="283"/>
              <w:jc w:val="right"/>
              <w:rPr/>
            </w:pPr>
            <w:r>
              <w:rPr/>
              <w:t> </w:t>
            </w:r>
          </w:p>
        </w:tc>
      </w:tr>
      <w:tr>
        <w:trPr/>
        <w:tc>
          <w:tcPr>
            <w:tcW w:w="7210" w:type="dxa"/>
            <w:tcBorders/>
            <w:vAlign w:val="center"/>
          </w:tcPr>
          <w:p>
            <w:pPr>
              <w:pStyle w:val="TableContents"/>
              <w:bidi w:val="0"/>
              <w:spacing w:before="0" w:after="283"/>
              <w:jc w:val="left"/>
              <w:rPr/>
            </w:pPr>
            <w:r>
              <w:rPr/>
              <w:t>Operating Results:</w:t>
            </w:r>
          </w:p>
        </w:tc>
        <w:tc>
          <w:tcPr>
            <w:tcW w:w="275"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right"/>
              <w:rPr/>
            </w:pPr>
            <w:r>
              <w:rPr/>
              <w:t> </w:t>
            </w:r>
          </w:p>
        </w:tc>
        <w:tc>
          <w:tcPr>
            <w:tcW w:w="735" w:type="dxa"/>
            <w:tcBorders/>
            <w:vAlign w:val="center"/>
          </w:tcPr>
          <w:p>
            <w:pPr>
              <w:pStyle w:val="TableContents"/>
              <w:bidi w:val="0"/>
              <w:spacing w:before="0" w:after="283"/>
              <w:jc w:val="righ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8.9</w:t>
            </w:r>
          </w:p>
        </w:tc>
        <w:tc>
          <w:tcPr>
            <w:tcW w:w="735" w:type="dxa"/>
            <w:tcBorders/>
            <w:vAlign w:val="center"/>
          </w:tcPr>
          <w:p>
            <w:pPr>
              <w:pStyle w:val="TableContents"/>
              <w:bidi w:val="0"/>
              <w:spacing w:before="0" w:after="283"/>
              <w:jc w:val="lef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Net investment income per share</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0.14</w:t>
            </w:r>
          </w:p>
        </w:tc>
        <w:tc>
          <w:tcPr>
            <w:tcW w:w="735" w:type="dxa"/>
            <w:tcBorders/>
            <w:vAlign w:val="center"/>
          </w:tcPr>
          <w:p>
            <w:pPr>
              <w:pStyle w:val="TableContents"/>
              <w:bidi w:val="0"/>
              <w:spacing w:before="0" w:after="283"/>
              <w:jc w:val="lef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 xml:space="preserve">Core net investment income per share </w:t>
            </w:r>
            <w:r>
              <w:rPr>
                <w:position w:val="8"/>
                <w:sz w:val="19"/>
              </w:rPr>
              <w:t>(2)</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0.14</w:t>
            </w:r>
          </w:p>
        </w:tc>
        <w:tc>
          <w:tcPr>
            <w:tcW w:w="735" w:type="dxa"/>
            <w:tcBorders/>
            <w:vAlign w:val="center"/>
          </w:tcPr>
          <w:p>
            <w:pPr>
              <w:pStyle w:val="TableContents"/>
              <w:bidi w:val="0"/>
              <w:spacing w:before="0" w:after="283"/>
              <w:jc w:val="lef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Distributions declared per share – base</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0.12</w:t>
            </w:r>
          </w:p>
        </w:tc>
        <w:tc>
          <w:tcPr>
            <w:tcW w:w="735" w:type="dxa"/>
            <w:tcBorders/>
            <w:vAlign w:val="center"/>
          </w:tcPr>
          <w:p>
            <w:pPr>
              <w:pStyle w:val="TableContents"/>
              <w:bidi w:val="0"/>
              <w:spacing w:before="0" w:after="283"/>
              <w:jc w:val="lef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Distributions declared per share – supplemental</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0.12</w:t>
            </w:r>
          </w:p>
        </w:tc>
        <w:tc>
          <w:tcPr>
            <w:tcW w:w="735"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right"/>
              <w:rPr/>
            </w:pPr>
            <w:r>
              <w:rPr/>
              <w:t> </w:t>
            </w:r>
          </w:p>
        </w:tc>
        <w:tc>
          <w:tcPr>
            <w:tcW w:w="735" w:type="dxa"/>
            <w:tcBorders/>
            <w:vAlign w:val="center"/>
          </w:tcPr>
          <w:p>
            <w:pPr>
              <w:pStyle w:val="TableContents"/>
              <w:bidi w:val="0"/>
              <w:spacing w:before="0" w:after="283"/>
              <w:jc w:val="right"/>
              <w:rPr/>
            </w:pPr>
            <w:r>
              <w:rPr/>
              <w:t> </w:t>
            </w:r>
          </w:p>
        </w:tc>
      </w:tr>
      <w:tr>
        <w:trPr/>
        <w:tc>
          <w:tcPr>
            <w:tcW w:w="7210" w:type="dxa"/>
            <w:tcBorders/>
            <w:vAlign w:val="center"/>
          </w:tcPr>
          <w:p>
            <w:pPr>
              <w:pStyle w:val="TableContents"/>
              <w:bidi w:val="0"/>
              <w:spacing w:before="0" w:after="283"/>
              <w:jc w:val="left"/>
              <w:rPr/>
            </w:pPr>
            <w:r>
              <w:rPr/>
              <w:t>Portfolio Activity:</w:t>
            </w:r>
          </w:p>
        </w:tc>
        <w:tc>
          <w:tcPr>
            <w:tcW w:w="275"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right"/>
              <w:rPr/>
            </w:pPr>
            <w:r>
              <w:rPr/>
              <w:t> </w:t>
            </w:r>
          </w:p>
        </w:tc>
        <w:tc>
          <w:tcPr>
            <w:tcW w:w="735" w:type="dxa"/>
            <w:tcBorders/>
            <w:vAlign w:val="center"/>
          </w:tcPr>
          <w:p>
            <w:pPr>
              <w:pStyle w:val="TableContents"/>
              <w:bidi w:val="0"/>
              <w:spacing w:before="0" w:after="283"/>
              <w:jc w:val="righ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 xml:space="preserve">Purchases of investments </w:t>
            </w:r>
            <w:r>
              <w:rPr>
                <w:position w:val="8"/>
                <w:sz w:val="19"/>
              </w:rPr>
              <w:t>(3)</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77.0</w:t>
            </w:r>
          </w:p>
        </w:tc>
        <w:tc>
          <w:tcPr>
            <w:tcW w:w="735" w:type="dxa"/>
            <w:tcBorders/>
            <w:vAlign w:val="center"/>
          </w:tcPr>
          <w:p>
            <w:pPr>
              <w:pStyle w:val="TableContents"/>
              <w:bidi w:val="0"/>
              <w:spacing w:before="0" w:after="283"/>
              <w:jc w:val="lef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 xml:space="preserve">Sales and repayments of investments </w:t>
            </w:r>
            <w:r>
              <w:rPr>
                <w:position w:val="8"/>
                <w:sz w:val="19"/>
              </w:rPr>
              <w:t>(3)</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145.5</w:t>
            </w:r>
          </w:p>
        </w:tc>
        <w:tc>
          <w:tcPr>
            <w:tcW w:w="735"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right"/>
              <w:rPr/>
            </w:pPr>
            <w:r>
              <w:rPr/>
              <w:t> </w:t>
            </w:r>
          </w:p>
        </w:tc>
        <w:tc>
          <w:tcPr>
            <w:tcW w:w="735" w:type="dxa"/>
            <w:tcBorders/>
            <w:vAlign w:val="center"/>
          </w:tcPr>
          <w:p>
            <w:pPr>
              <w:pStyle w:val="TableContents"/>
              <w:bidi w:val="0"/>
              <w:spacing w:before="0" w:after="283"/>
              <w:jc w:val="right"/>
              <w:rPr/>
            </w:pPr>
            <w:r>
              <w:rPr/>
              <w:t> </w:t>
            </w:r>
          </w:p>
        </w:tc>
      </w:tr>
      <w:tr>
        <w:trPr/>
        <w:tc>
          <w:tcPr>
            <w:tcW w:w="7210" w:type="dxa"/>
            <w:tcBorders/>
            <w:vAlign w:val="center"/>
          </w:tcPr>
          <w:p>
            <w:pPr>
              <w:pStyle w:val="TableContents"/>
              <w:bidi w:val="0"/>
              <w:spacing w:before="0" w:after="283"/>
              <w:jc w:val="left"/>
              <w:rPr/>
            </w:pPr>
            <w:r>
              <w:rPr/>
              <w:t>PSLF Portfolio data:</w:t>
            </w:r>
          </w:p>
        </w:tc>
        <w:tc>
          <w:tcPr>
            <w:tcW w:w="275"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right"/>
              <w:rPr/>
            </w:pPr>
            <w:r>
              <w:rPr/>
              <w:t> </w:t>
            </w:r>
          </w:p>
        </w:tc>
        <w:tc>
          <w:tcPr>
            <w:tcW w:w="735" w:type="dxa"/>
            <w:tcBorders/>
            <w:vAlign w:val="center"/>
          </w:tcPr>
          <w:p>
            <w:pPr>
              <w:pStyle w:val="TableContents"/>
              <w:bidi w:val="0"/>
              <w:spacing w:before="0" w:after="283"/>
              <w:jc w:val="righ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PSLF investment portfolio</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1,278.4</w:t>
            </w:r>
          </w:p>
        </w:tc>
        <w:tc>
          <w:tcPr>
            <w:tcW w:w="735" w:type="dxa"/>
            <w:tcBorders/>
            <w:vAlign w:val="center"/>
          </w:tcPr>
          <w:p>
            <w:pPr>
              <w:pStyle w:val="TableContents"/>
              <w:bidi w:val="0"/>
              <w:spacing w:before="0" w:after="283"/>
              <w:jc w:val="lef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65.3</w:t>
            </w:r>
          </w:p>
        </w:tc>
        <w:tc>
          <w:tcPr>
            <w:tcW w:w="735" w:type="dxa"/>
            <w:tcBorders/>
            <w:vAlign w:val="center"/>
          </w:tcPr>
          <w:p>
            <w:pPr>
              <w:pStyle w:val="TableContents"/>
              <w:bidi w:val="0"/>
              <w:spacing w:before="0" w:after="283"/>
              <w:jc w:val="left"/>
              <w:rPr/>
            </w:pPr>
            <w:r>
              <w:rPr/>
              <w:t> </w:t>
            </w:r>
          </w:p>
        </w:tc>
      </w:tr>
      <w:tr>
        <w:trPr/>
        <w:tc>
          <w:tcPr>
            <w:tcW w:w="7210"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99.2</w:t>
            </w:r>
          </w:p>
        </w:tc>
        <w:tc>
          <w:tcPr>
            <w:tcW w:w="735" w:type="dxa"/>
            <w:tcBorders/>
            <w:vAlign w:val="center"/>
          </w:tcPr>
          <w:p>
            <w:pPr>
              <w:pStyle w:val="TableContents"/>
              <w:bidi w:val="0"/>
              <w:spacing w:before="0" w:after="283"/>
              <w:jc w:val="left"/>
              <w:rPr/>
            </w:pPr>
            <w:r>
              <w:rPr/>
              <w:t> </w:t>
            </w:r>
          </w:p>
        </w:tc>
      </w:tr>
      <w:tr>
        <w:trPr/>
        <w:tc>
          <w:tcPr>
            <w:tcW w:w="10205" w:type="dxa"/>
            <w:gridSpan w:val="5"/>
            <w:tcBorders/>
            <w:vAlign w:val="center"/>
          </w:tcPr>
          <w:p>
            <w:pPr>
              <w:pStyle w:val="TableContents"/>
              <w:bidi w:val="0"/>
              <w:spacing w:before="0" w:after="283"/>
              <w:jc w:val="both"/>
              <w:rPr/>
            </w:pPr>
            <w:r>
              <w:rPr/>
              <w:br/>
            </w:r>
            <w:r>
              <w:rPr>
                <w:position w:val="-2"/>
                <w:sz w:val="19"/>
              </w:rPr>
              <w:t>1. Includes investments in PennantPark Senior Loan Fund, LLC ("PSLF"), an unconsolidated joint venture, totaling $191.9 million, at fair value.</w:t>
            </w:r>
            <w:r>
              <w:rPr/>
              <w:br/>
            </w:r>
            <w:r>
              <w:rPr>
                <w:position w:val="-2"/>
                <w:sz w:val="19"/>
              </w:rPr>
              <w:t>2. 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June 30, 2026, there were no one-time events resulting in $0.14 of Core NII.</w:t>
            </w:r>
            <w:r>
              <w:rPr/>
              <w:br/>
            </w:r>
            <w:r>
              <w:rPr>
                <w:position w:val="-2"/>
                <w:sz w:val="19"/>
              </w:rPr>
              <w:t>3. Excludes U.S. Government Securities.</w:t>
            </w:r>
          </w:p>
        </w:tc>
      </w:tr>
    </w:tbl>
    <w:p>
      <w:pPr>
        <w:pStyle w:val="TextBody"/>
        <w:bidi w:val="0"/>
        <w:jc w:val="both"/>
        <w:rPr/>
      </w:pPr>
      <w:r>
        <w:rPr>
          <w:rStyle w:val="StrongEmphasis"/>
        </w:rPr>
        <w:br/>
        <w:t>CONFERENCE CALL AT 12:00 P.M. EST ON AUGUST 11, 2026</w:t>
      </w:r>
    </w:p>
    <w:p>
      <w:pPr>
        <w:pStyle w:val="TextBody"/>
        <w:bidi w:val="0"/>
        <w:jc w:val="both"/>
        <w:rPr/>
      </w:pPr>
      <w:r>
        <w:rPr/>
        <w:t>PennantPark Investment Corporation (“we,” “our,” “us” or the “Company”) will also host a conference call at 12:00 p.m. (Eastern Time) on Tuesday, August 11,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#3996420 or PennantPark Investment Corporation. An archived replay will also be available on a webcast link located on the Quarterly Earnings page in the Investor section of PennantPark’s website.</w:t>
      </w:r>
    </w:p>
    <w:p>
      <w:pPr>
        <w:pStyle w:val="TextBody"/>
        <w:bidi w:val="0"/>
        <w:jc w:val="both"/>
        <w:rPr/>
      </w:pPr>
      <w:r>
        <w:rPr>
          <w:rStyle w:val="StrongEmphasis"/>
        </w:rPr>
        <w:t>PORTFOLIO AND INVESTMENT ACTIVITY</w:t>
      </w:r>
    </w:p>
    <w:p>
      <w:pPr>
        <w:pStyle w:val="TextBody"/>
        <w:bidi w:val="0"/>
        <w:jc w:val="both"/>
        <w:rPr/>
      </w:pPr>
      <w:r>
        <w:rPr/>
        <w:t>"The credit quality of our investment portfolio remains healthy, reinforcing our confidence in its continued resilience and reflecting our disciplined investment approach on the core middle market. We remain focused on selectively rotating out of our equity positions and redeploying the proceeds into income generating debt investments," said Art Penn, Chairman and CEO. "Our exposure to the Government Services and Defense sector continues to outperform. During the quarter we generated a meaningful realization from an equity co-investment in a leading defense technology company. We will continue to focus on Government Services and Defense, one of our key verticals, and look to increase our exposure over time."</w:t>
      </w:r>
    </w:p>
    <w:p>
      <w:pPr>
        <w:pStyle w:val="TextBody"/>
        <w:bidi w:val="0"/>
        <w:jc w:val="both"/>
        <w:rPr/>
      </w:pPr>
      <w:r>
        <w:rPr/>
        <w:t>As of June 30, 2026, our portfolio totaled $1,193.2 million and consisted of $424.5 million or 35% of first lien secured debt, $269.3 million or 23% of U.S. Government Securities, $14.8 million or 1% of second lien secured debt, $209.2 million or 18% of subordinated debt (including $140.3 million or 12% in PSLF) and $275.4 million or 23% of preferred and common equity (including $51.6 million or 4% in PSLF). Our interest bearing debt portfolio consisted of 87% variable-rate investments and 13% fixed-rate investments. As of June 30, 2026, we had four portfolio companies on non-accrual, representing 2.5% and 0.8% percent of our overall portfolio on a cost and fair value basis, respectively. Overall, the portfolio had net unrealized appreciation (depreciation) of $(35.0) million as of June 30, 2026. Our overall portfolio consisted of 159 companies with an average investment size of $5.8 million (excluding U.S. Government Securities), had a weighted average yield on interest bearing debt investments of 11.0%.</w:t>
      </w:r>
    </w:p>
    <w:p>
      <w:pPr>
        <w:pStyle w:val="TextBody"/>
        <w:bidi w:val="0"/>
        <w:jc w:val="both"/>
        <w:rPr/>
      </w:pPr>
      <w:r>
        <w:rPr/>
        <w:t>As of September 30, 2025, our portfolio totaled $1,287.3 million and consisted of $582.4 million or 45% of first lien secured debt, $124.8 million or 10% of U.S. Government Securities, $18.2 million or 1% of second lien secured debt, $201.2 million or 16% of subordinated debt (including $140.3 million or 11% in PSLF) and $360.7 million or 28% of preferred and common equity (including $67.5 million or 5% in PSLF). Our interest bearing debt portfolio consisted of 91% variable-rate investments and 9% fixed-rate investments. As of September 30, 2025, we had four portfolio companies on non-accrual, representing 1.3% and 0.1% of our overall portfolio on a cost and fair value basis, respectively. Overall, the portfolio had net unrealized appreciation of $50.4 million as of September 30, 2025. Our overall portfolio consisted of 166 companies with an average investment size of $7.0 million (excluding U.S. Government Securities), had a weighted average yield on interest bearing debt investments of 11.0%.</w:t>
      </w:r>
    </w:p>
    <w:p>
      <w:pPr>
        <w:pStyle w:val="TextBody"/>
        <w:bidi w:val="0"/>
        <w:jc w:val="both"/>
        <w:rPr/>
      </w:pPr>
      <w:r>
        <w:rPr/>
        <w:t>For the three months ended June 30, 2026, we invested $77.0 million in five new and 49 existing portfolio companies with a weighted average yield on debt investment of 8.9%. For the three months ended June 30, 2026, sales and repayments of investments totaled $145.5 million including $65.3 million sold to PSLF. For the nine months ended June 30, 2026, we invested $300.4 million in 14 new and 84 existing portfolio companies with a weighted average yield on debt investments of 9.3%. For the nine months ended June 30, 2026, sales and repayments of investments totaled $532.1 million including $203.4 million sold to PSLF. The investments, sales and repayments noted above exclude all purchases and sales of U.S. Government Securities.</w:t>
      </w:r>
    </w:p>
    <w:p>
      <w:pPr>
        <w:pStyle w:val="TextBody"/>
        <w:bidi w:val="0"/>
        <w:jc w:val="both"/>
        <w:rPr/>
      </w:pPr>
      <w:r>
        <w:rPr/>
        <w:t>For the three months ended June 30, 2025, we invested $87.7 million in four new and 28 existing portfolio companies with a weighted average yield on debt investments of 10.0%. For the three months ended June 30, 2025, sales and repayments of investments totaled $132.2 million including $21.8 million sold to PSLF. For the nine months ended June 30, 2025, we invested $560.2 million in 19 new and 112 existing portfolio companies with a weighted average yield on debt investments of 10.5%. For the nine months ended June 30, 2025, sales and repayments of investments totaled $749.0 million including $462.8 million was sold to PSLF. The investments, sales and repayments noted above exclude all purchases and sales of U.S. Government Securities.</w:t>
      </w:r>
    </w:p>
    <w:p>
      <w:pPr>
        <w:pStyle w:val="TextBody"/>
        <w:bidi w:val="0"/>
        <w:jc w:val="both"/>
        <w:rPr/>
      </w:pPr>
      <w:r>
        <w:rPr>
          <w:rStyle w:val="StrongEmphasis"/>
        </w:rPr>
        <w:t>PennantPark Senior Loan Fund, LLC</w:t>
      </w:r>
    </w:p>
    <w:p>
      <w:pPr>
        <w:pStyle w:val="TextBody"/>
        <w:bidi w:val="0"/>
        <w:jc w:val="both"/>
        <w:rPr/>
      </w:pPr>
      <w:r>
        <w:rPr/>
        <w:t>As of June 30, 2026, PSLF’s portfolio totaled $1,278.4 million, consisted of 113 companies with an average investment size of $11.3 million and had a weighted average yield interest bearing debt investments of 9.5%.</w:t>
      </w:r>
    </w:p>
    <w:p>
      <w:pPr>
        <w:pStyle w:val="TextBody"/>
        <w:bidi w:val="0"/>
        <w:jc w:val="both"/>
        <w:rPr/>
      </w:pPr>
      <w:r>
        <w:rPr/>
        <w:t>As of September 30, 2025, PSLF’s portfolio totaled $1,265.9 million, consisted of 109 companies with an average investment size of $11.6 million and had a weighted average yield interest bearing debt investments of 10.1%.</w:t>
      </w:r>
    </w:p>
    <w:p>
      <w:pPr>
        <w:pStyle w:val="TextBody"/>
        <w:bidi w:val="0"/>
        <w:jc w:val="both"/>
        <w:rPr/>
      </w:pPr>
      <w:r>
        <w:rPr/>
        <w:t>For the three months ended June 30, 2026, PSLF invested $65.3 million in five new and 13 existing portfolio companies at weighted average yield interest bearing debt investments of 9.0%, including $65.3 million purchased from the Company. PSLF’s sales and repayments of investments for the same period totaled $99.2 million. For the nine months ended June 30, 2026, PSLF invested $205.3 million, including $203.4 million purchased from the Company, in 16 new and 24 existing portfolio companies at weighted average yield interest bearing debt investments of 9.1% PSLF’s sales and repayments of investments for the same period totaled $169.9 million.</w:t>
      </w:r>
    </w:p>
    <w:p>
      <w:pPr>
        <w:pStyle w:val="TextBody"/>
        <w:bidi w:val="0"/>
        <w:jc w:val="both"/>
        <w:rPr/>
      </w:pPr>
      <w:r>
        <w:rPr/>
        <w:t>For the three months ended June 30, 2025, PSLF invested $22.0 million, including $21.8 million purchased from the Company, in three new and one existing portfolio companies at weighted average yield on interest bearing debt investments of 9.8%. PSLF’s sales and repayments of investments for the same period totaled $71.4 million. For the nine months ended June 30, 2025, PSLF invested $545.7 million, including $462.8 million purchased from the Company, in 26 new and 57 existing portfolio companies at weighted average yield interest bearing debt investments 10.3%. PSLF's sales and repayments of investments for the same period totaled $228.8 million.</w:t>
      </w:r>
    </w:p>
    <w:p>
      <w:pPr>
        <w:pStyle w:val="TextBody"/>
        <w:bidi w:val="0"/>
        <w:jc w:val="both"/>
        <w:rPr/>
      </w:pPr>
      <w:r>
        <w:rPr/>
        <w:t>In June 2026, PSLF amended its revolving credit facility reducing the interest rate from SOFR plus 225 basis points to SOFR plus 210 basis points.</w:t>
      </w:r>
    </w:p>
    <w:p>
      <w:pPr>
        <w:pStyle w:val="TextBody"/>
        <w:bidi w:val="0"/>
        <w:jc w:val="both"/>
        <w:rPr/>
      </w:pPr>
      <w:r>
        <w:rPr>
          <w:rStyle w:val="StrongEmphasis"/>
        </w:rPr>
        <w:t>RESULTS OF OPERATIONS</w:t>
      </w:r>
    </w:p>
    <w:p>
      <w:pPr>
        <w:pStyle w:val="TextBody"/>
        <w:bidi w:val="0"/>
        <w:jc w:val="both"/>
        <w:rPr/>
      </w:pPr>
      <w:r>
        <w:rPr/>
        <w:t>Set forth below are the results of operations for the three and nine months ended June 30, 2026 and 2025.</w:t>
      </w:r>
    </w:p>
    <w:p>
      <w:pPr>
        <w:pStyle w:val="TextBody"/>
        <w:bidi w:val="0"/>
        <w:jc w:val="both"/>
        <w:rPr/>
      </w:pPr>
      <w:r>
        <w:rPr>
          <w:rStyle w:val="StrongEmphasis"/>
        </w:rPr>
        <w:t>Investment Income</w:t>
      </w:r>
    </w:p>
    <w:p>
      <w:pPr>
        <w:pStyle w:val="TextBody"/>
        <w:bidi w:val="0"/>
        <w:jc w:val="both"/>
        <w:rPr/>
      </w:pPr>
      <w:r>
        <w:rPr/>
        <w:t>For the three and nine months ended June 30, 2026, investment income was $24.8 million and $77.0 million, respectively, which was attributable to $12.8 million and $41.3 million from first lien secured debt, $0.5 million and $1.4 million from second lien secured debt, $6.6 million and $19.5 million from subordinated debt, $4.9 and $14.8 million from other investments, respectively. For the three and nine months ended June 30, 2025, investment income was $29.6 million and $94.4 million, respectively, which was attributable to $17.2 million and $56.1 million from first lien secured debt, $0.4 million and $3.4 million from second lien secured debt, $5.5 million and $16.0 million from subordinated debt and $6.5 million and $18.9 million from other investments, respectively. The decrease in investment income for three and nine months ended June 30, 2026, was primarily due to a decrease in our total portfolio size and a decrease in our weighted average yield on debt investments.</w:t>
      </w:r>
    </w:p>
    <w:p>
      <w:pPr>
        <w:pStyle w:val="TextBody"/>
        <w:bidi w:val="0"/>
        <w:jc w:val="both"/>
        <w:rPr/>
      </w:pPr>
      <w:r>
        <w:rPr>
          <w:rStyle w:val="StrongEmphasis"/>
        </w:rPr>
        <w:t>Expenses</w:t>
      </w:r>
    </w:p>
    <w:p>
      <w:pPr>
        <w:pStyle w:val="TextBody"/>
        <w:bidi w:val="0"/>
        <w:jc w:val="both"/>
        <w:rPr/>
      </w:pPr>
      <w:r>
        <w:rPr/>
        <w:t>For the three and nine months ended June 30, 2026, expenses totaled $15.9 million and $51.8 million, respectively, and were comprised of $8.8 million and $31.3 million of debt related interest and expenses, $3.5 million and $11.0 million of base management fees, $1.9 million and $3.9 million of incentive fees, $1.5 million and $4.3 million of general and administrative expenses and $0.2 million and $1.3 million of provision for excise taxes, respectively. For the three and nine months ended June 30, 2025, expenses totaled $17.8 million and $58.2 million, respectively, and were comprised of $9.2 million and $31.6 million of debt-related interest and expenses, $3.9 million and $12.2 million of base management fees, $2.5 million and $7.7 million of incentive fees, $1.5 million and $4.8 million of general and administrative expenses and $0.7 million and $1.9 million of provision for excise taxes, respectively. The decrease in expenses for the three and nine months ended June 30, 2026, was primarily due to a decrease in borrowing under our debt financings resulting in decrease in debt related interest expense.</w:t>
      </w:r>
    </w:p>
    <w:p>
      <w:pPr>
        <w:pStyle w:val="TextBody"/>
        <w:bidi w:val="0"/>
        <w:jc w:val="both"/>
        <w:rPr/>
      </w:pPr>
      <w:r>
        <w:rPr>
          <w:rStyle w:val="StrongEmphasis"/>
        </w:rPr>
        <w:t>Net Investment Income</w:t>
      </w:r>
    </w:p>
    <w:p>
      <w:pPr>
        <w:pStyle w:val="TextBody"/>
        <w:bidi w:val="0"/>
        <w:jc w:val="both"/>
        <w:rPr/>
      </w:pPr>
      <w:r>
        <w:rPr/>
        <w:t>For the three and nine months ended June 30, 2026, net investment income totaled $8.9 million and $25.2 million, or $0.14 per share and $0.39 per share, respectively. For the three and nine months ended June 30, 2025, net investment income totaled $11.8 million and $36.2 million, or $0.18 per share and $0.55 per share, respectively. The decrease in net investment income was primarily due to a decrease in investment income and partially offset by a decrease in expenses.</w:t>
      </w:r>
    </w:p>
    <w:p>
      <w:pPr>
        <w:pStyle w:val="TextBody"/>
        <w:bidi w:val="0"/>
        <w:jc w:val="both"/>
        <w:rPr/>
      </w:pPr>
      <w:r>
        <w:rPr>
          <w:rStyle w:val="StrongEmphasis"/>
        </w:rPr>
        <w:t>Net Realized Gains or Losses</w:t>
      </w:r>
    </w:p>
    <w:p>
      <w:pPr>
        <w:pStyle w:val="TextBody"/>
        <w:bidi w:val="0"/>
        <w:jc w:val="both"/>
        <w:rPr/>
      </w:pPr>
      <w:r>
        <w:rPr/>
        <w:t>For the three and nine months ended June 30, 2026, net realized gains (losses) totaled $12.0 million and $70.6 million, respectively. For the three and nine months ended June 30, 2025, net realized gains (losses) totaled $(0.5) million and $(30.8) million, respectively. The change in realized gains (losses) was primarily due to changes in the market conditions of our investments and the values at which they were realized.</w:t>
      </w:r>
    </w:p>
    <w:p>
      <w:pPr>
        <w:pStyle w:val="TextBody"/>
        <w:bidi w:val="0"/>
        <w:jc w:val="both"/>
        <w:rPr/>
      </w:pPr>
      <w:r>
        <w:rPr>
          <w:rStyle w:val="StrongEmphasis"/>
        </w:rPr>
        <w:t>Unrealized Appreciation or Depreciation on Investments and Debt</w:t>
      </w:r>
    </w:p>
    <w:p>
      <w:pPr>
        <w:pStyle w:val="TextBody"/>
        <w:bidi w:val="0"/>
        <w:jc w:val="both"/>
        <w:rPr/>
      </w:pPr>
      <w:r>
        <w:rPr/>
        <w:t>For the three and nine months ended June 30, 2026, we reported net change in unrealized appreciation (depreciation) on investments $(16.2) million and $(85.4) million, respectively. For the three and nine months ended June 30, 2025, we reported net change in unrealized appreciation (depreciation) on investment $(0.2) million and $29.3 million, respectively. As of June 30, 2026 and September 30, 2025, our net unrealized appreciation (depreciation) on investments totaled $(35.0) million and $50.4 million, respectively. The net change in unrealized appreciation (depreciation) on our investments was primarily due to changes in the capital market conditions of our investments and the values at which they were realized.</w:t>
      </w:r>
    </w:p>
    <w:p>
      <w:pPr>
        <w:pStyle w:val="TextBody"/>
        <w:bidi w:val="0"/>
        <w:jc w:val="both"/>
        <w:rPr/>
      </w:pPr>
      <w:r>
        <w:rPr/>
        <w:t>For the three and nine months ended June 30, 2026, the Truist Credit Facility had a net change in unrealized appreciation (depreciation) of $(0.3) million and $0.7 million, respectively. For the three and nine months ended June 30, 2025, the Truist Credit Facility had a net change in unrealized appreciation (depreciation) of $(2.9) million and $(1.0) million, respectively. As of June 30, 2026 and September 30, 2025, the net unrealized appreciation (depreciation) on the Truist Credit Facility totaled $1.7 million and $1.0 million, respectively. The net change in unrealized appreciation (depreciation) compared to the same periods in the prior period was primarily due to changes in the capital markets.</w:t>
      </w:r>
    </w:p>
    <w:p>
      <w:pPr>
        <w:pStyle w:val="TextBody"/>
        <w:bidi w:val="0"/>
        <w:jc w:val="both"/>
        <w:rPr/>
      </w:pPr>
      <w:r>
        <w:rPr>
          <w:rStyle w:val="StrongEmphasis"/>
        </w:rPr>
        <w:t>Net Change in Net Assets Resulting from Operations</w:t>
      </w:r>
    </w:p>
    <w:p>
      <w:pPr>
        <w:pStyle w:val="TextBody"/>
        <w:bidi w:val="0"/>
        <w:jc w:val="both"/>
        <w:rPr/>
      </w:pPr>
      <w:r>
        <w:rPr/>
        <w:t>For the three and nine months ended June 30, 2026, net increase (decrease) in net assets resulting from operations totaled $4.5 million and $11.1 million or $0.07 per share and $0.17 per share, respectively. For the three and nine months ended June 30, 2025, net increase (decrease) in net assets resulting from operations totaled $8.2 million and $33.7 million or $0.12 per share and $0.52 per share, respectively. The decrease from net operations for the three and nine months ended June 30, 2026, was primarily due to the operating performance of our portfolio and changes in capital market conditions of our investments along with change in size and cost yield of our debt portfolio and costs of financing.</w:t>
      </w:r>
    </w:p>
    <w:p>
      <w:pPr>
        <w:pStyle w:val="TextBody"/>
        <w:bidi w:val="0"/>
        <w:jc w:val="both"/>
        <w:rPr/>
      </w:pPr>
      <w:r>
        <w:rPr>
          <w:rStyle w:val="StrongEmphasis"/>
        </w:rPr>
        <w:t>LIQUIDITY AND CAPITAL RESOURCES</w:t>
      </w:r>
    </w:p>
    <w:p>
      <w:pPr>
        <w:pStyle w:val="TextBody"/>
        <w:bidi w:val="0"/>
        <w:jc w:val="both"/>
        <w:rPr/>
      </w:pPr>
      <w:r>
        <w:rPr/>
        <w:t>Our liquidity and capital resources are derived primarily from cash flows from operations, including investment sales and repayments, income earned,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w:t>
      </w:r>
    </w:p>
    <w:p>
      <w:pPr>
        <w:pStyle w:val="TextBody"/>
        <w:bidi w:val="0"/>
        <w:jc w:val="both"/>
        <w:rPr/>
      </w:pPr>
      <w:r>
        <w:rPr/>
        <w:t>As of June 30, 2026 and September 30, 2025, we had $311.5 million and $426.5 million, respectively, in outstanding borrowings under the Truist Credit Facility. The Truist Credit Facility had a weighted average interest rate of 5.9% and 6.5%, respectively, exclusive of the fee on undrawn commitment, as of June 30, 2026 and September 30, 2025.As of June 30, 2026 and September 30, 2025, we had $223.5 million and $73.5 million of unused borrowing capacity under the Truist Credit Facility, respectively, subject to leverage and borrowing base restrictions.</w:t>
      </w:r>
    </w:p>
    <w:p>
      <w:pPr>
        <w:pStyle w:val="TextBody"/>
        <w:bidi w:val="0"/>
        <w:jc w:val="both"/>
        <w:rPr/>
      </w:pPr>
      <w:r>
        <w:rPr/>
        <w:t>As of June 30, 2026 and September 30, 2025, we had cash and cash equivalents of $39.3 million and $51.8 million, respectively, available for investing and general corporate purposes. We believe our liquidity and capital resources are sufficient to allow us to effectively operate our business.</w:t>
      </w:r>
    </w:p>
    <w:p>
      <w:pPr>
        <w:pStyle w:val="TextBody"/>
        <w:bidi w:val="0"/>
        <w:jc w:val="both"/>
        <w:rPr/>
      </w:pPr>
      <w:r>
        <w:rPr/>
        <w:t>For the nine months ended June 30, 2026, our operating activities provided cash of $221.0 million and our financing activities used cash of $233.4 million. Our operating activities provided cash primarily due to our investment activities and our financing activities used cash primarily for repayments of our credit facility, repayment of the 2026 Notes and distributions paid to stockholders, partially offset by proceeds received from the 2029 Notes issuance.</w:t>
      </w:r>
    </w:p>
    <w:p>
      <w:pPr>
        <w:pStyle w:val="TextBody"/>
        <w:bidi w:val="0"/>
        <w:jc w:val="both"/>
        <w:rPr/>
      </w:pPr>
      <w:r>
        <w:rPr/>
        <w:t>For the nine months ended June 30, 2025, our operating activities provided cash of $212.6 million and our financing activities used cash of $192.0 million. Our operating activities provided cash primarily due to our investment activities and our financing activities used cash primarily for repayments of our credit facility and distributions paid to stockholders.</w:t>
      </w:r>
    </w:p>
    <w:p>
      <w:pPr>
        <w:pStyle w:val="TextBody"/>
        <w:bidi w:val="0"/>
        <w:jc w:val="both"/>
        <w:rPr/>
      </w:pPr>
      <w:r>
        <w:rPr>
          <w:rStyle w:val="StrongEmphasis"/>
        </w:rPr>
        <w:t>DISTRIBUTIONS</w:t>
      </w:r>
    </w:p>
    <w:p>
      <w:pPr>
        <w:pStyle w:val="TextBody"/>
        <w:bidi w:val="0"/>
        <w:jc w:val="both"/>
        <w:rPr/>
      </w:pPr>
      <w:r>
        <w:rPr/>
        <w:t>During the three months ended June 30, 2026, we declared base distributions of $0.12 per share, and supplemental distributions of $0.12 per share, for total distributions of $15.7 million. During the nine months ended June 30, 2026, we declared base distributions of $0.56 per share, and supplemental distributions of $0.16 per share, for total distributions of $47.0 million. During the three and nine months ended June 30, 2025, we declared base distributions of $0.24 and $0.72 per share, for total distribution of $15.7 million and $47.0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rStyle w:val="StrongEmphasis"/>
        </w:rPr>
        <w:t>RECENT DEVELOPMENTS</w:t>
      </w:r>
    </w:p>
    <w:p>
      <w:pPr>
        <w:pStyle w:val="TextBody"/>
        <w:bidi w:val="0"/>
        <w:jc w:val="both"/>
        <w:rPr/>
      </w:pPr>
      <w:r>
        <w:rPr/>
        <w:t>In July 2026, PSLF partially refinanced its 2035 Asset-Backed Debt Securitization. As a result of this refinancing, the weighted average cost of capital decreased from SOFR plus 2.66% to SOFR plus 1.69%.</w:t>
      </w:r>
    </w:p>
    <w:p>
      <w:pPr>
        <w:pStyle w:val="TextBody"/>
        <w:bidi w:val="0"/>
        <w:jc w:val="both"/>
        <w:rPr/>
      </w:pPr>
      <w:r>
        <w:rPr>
          <w:rStyle w:val="StrongEmphasis"/>
        </w:rPr>
        <w:t>AVAILABLE INFORMATION</w:t>
      </w:r>
    </w:p>
    <w:p>
      <w:pPr>
        <w:pStyle w:val="TextBody"/>
        <w:bidi w:val="0"/>
        <w:jc w:val="both"/>
        <w:rPr/>
      </w:pPr>
      <w:r>
        <w:rPr/>
        <w:t xml:space="preserve">The Company makes available on its website its Quarterly Report on Form 10-Q filed with the SEC and stockholders may find the report on our website at </w:t>
      </w:r>
      <w:r>
        <w:rPr>
          <w:u w:val="single"/>
        </w:rPr>
        <w:t>www.pennantpark.com</w:t>
      </w:r>
      <w:r>
        <w:rPr/>
        <w:t>.</w:t>
      </w:r>
    </w:p>
    <w:tbl>
      <w:tblPr>
        <w:tblW w:w="10205" w:type="dxa"/>
        <w:jc w:val="center"/>
        <w:tblInd w:w="0" w:type="dxa"/>
        <w:tblLayout w:type="fixed"/>
        <w:tblCellMar>
          <w:top w:w="28" w:type="dxa"/>
          <w:left w:w="28" w:type="dxa"/>
          <w:bottom w:w="28" w:type="dxa"/>
          <w:right w:w="28" w:type="dxa"/>
        </w:tblCellMar>
      </w:tblPr>
      <w:tblGrid>
        <w:gridCol w:w="6472"/>
        <w:gridCol w:w="146"/>
        <w:gridCol w:w="241"/>
        <w:gridCol w:w="1142"/>
        <w:gridCol w:w="181"/>
        <w:gridCol w:w="146"/>
        <w:gridCol w:w="288"/>
        <w:gridCol w:w="1360"/>
        <w:gridCol w:w="229"/>
      </w:tblGrid>
      <w:tr>
        <w:trPr/>
        <w:tc>
          <w:tcPr>
            <w:tcW w:w="10205" w:type="dxa"/>
            <w:gridSpan w:val="9"/>
            <w:tcBorders/>
            <w:vAlign w:val="center"/>
          </w:tcPr>
          <w:p>
            <w:pPr>
              <w:pStyle w:val="TableContents"/>
              <w:bidi w:val="0"/>
              <w:spacing w:before="0" w:after="283"/>
              <w:jc w:val="center"/>
              <w:rPr/>
            </w:pPr>
            <w:r>
              <w:rPr>
                <w:rStyle w:val="StrongEmphasis"/>
              </w:rPr>
              <w:t>PENNANTPARK INVESTMENT CORPORATION AND SUBSIDIARIES</w:t>
              <w:br/>
              <w:t>CONSOLIDATED STATEMENTS OF ASSETS AND LIABILITIES</w:t>
              <w:br/>
            </w:r>
            <w:r>
              <w:rPr/>
              <w:t>(In thousands, except share data)</w:t>
            </w:r>
          </w:p>
        </w:tc>
      </w:tr>
      <w:tr>
        <w:trPr/>
        <w:tc>
          <w:tcPr>
            <w:tcW w:w="64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83" w:type="dxa"/>
            <w:gridSpan w:val="2"/>
            <w:tcBorders/>
            <w:vAlign w:val="center"/>
          </w:tcPr>
          <w:p>
            <w:pPr>
              <w:pStyle w:val="TableContents"/>
              <w:bidi w:val="0"/>
              <w:spacing w:before="0" w:after="283"/>
              <w:jc w:val="center"/>
              <w:rPr/>
            </w:pPr>
            <w:r>
              <w:rPr>
                <w:rStyle w:val="StrongEmphasis"/>
              </w:rPr>
              <w:t>June 30, 2026</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48" w:type="dxa"/>
            <w:gridSpan w:val="2"/>
            <w:tcBorders/>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center"/>
              <w:rPr/>
            </w:pPr>
            <w:r>
              <w:rPr/>
              <w:t> </w:t>
            </w:r>
          </w:p>
        </w:tc>
      </w:tr>
      <w:tr>
        <w:trPr/>
        <w:tc>
          <w:tcPr>
            <w:tcW w:w="64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8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48"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September 30, 2025</w:t>
            </w:r>
          </w:p>
        </w:tc>
        <w:tc>
          <w:tcPr>
            <w:tcW w:w="229" w:type="dxa"/>
            <w:tcBorders/>
            <w:vAlign w:val="center"/>
          </w:tcPr>
          <w:p>
            <w:pPr>
              <w:pStyle w:val="TableContents"/>
              <w:bidi w:val="0"/>
              <w:spacing w:before="0" w:after="283"/>
              <w:jc w:val="center"/>
              <w:rPr/>
            </w:pPr>
            <w:r>
              <w:rPr/>
              <w:t> </w:t>
            </w:r>
          </w:p>
        </w:tc>
      </w:tr>
      <w:tr>
        <w:trPr/>
        <w:tc>
          <w:tcPr>
            <w:tcW w:w="6472"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left"/>
              <w:rPr/>
            </w:pPr>
            <w:r>
              <w:rPr/>
              <w:t> </w:t>
            </w:r>
          </w:p>
        </w:tc>
        <w:tc>
          <w:tcPr>
            <w:tcW w:w="138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4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72" w:type="dxa"/>
            <w:tcBorders/>
            <w:vAlign w:val="center"/>
          </w:tcPr>
          <w:p>
            <w:pPr>
              <w:pStyle w:val="TableContents"/>
              <w:bidi w:val="0"/>
              <w:spacing w:before="0" w:after="283"/>
              <w:jc w:val="left"/>
              <w:rPr/>
            </w:pPr>
            <w:r>
              <w:rPr/>
              <w:t>Investments at fair value</w:t>
            </w:r>
          </w:p>
        </w:tc>
        <w:tc>
          <w:tcPr>
            <w:tcW w:w="146" w:type="dxa"/>
            <w:tcBorders/>
            <w:vAlign w:val="center"/>
          </w:tcPr>
          <w:p>
            <w:pPr>
              <w:pStyle w:val="TableContents"/>
              <w:bidi w:val="0"/>
              <w:spacing w:before="0" w:after="283"/>
              <w:jc w:val="left"/>
              <w:rPr/>
            </w:pPr>
            <w:r>
              <w:rPr/>
              <w:t> </w:t>
            </w:r>
          </w:p>
        </w:tc>
        <w:tc>
          <w:tcPr>
            <w:tcW w:w="1383"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48" w:type="dxa"/>
            <w:gridSpan w:val="2"/>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72"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cost—$850,440 and $853,416,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42" w:type="dxa"/>
            <w:tcBorders/>
            <w:vAlign w:val="center"/>
          </w:tcPr>
          <w:p>
            <w:pPr>
              <w:pStyle w:val="TableContents"/>
              <w:bidi w:val="0"/>
              <w:spacing w:before="0" w:after="283"/>
              <w:jc w:val="right"/>
              <w:rPr/>
            </w:pPr>
            <w:r>
              <w:rPr/>
              <w:t>834,543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w:t>
            </w:r>
          </w:p>
        </w:tc>
        <w:tc>
          <w:tcPr>
            <w:tcW w:w="1360" w:type="dxa"/>
            <w:tcBorders/>
            <w:vAlign w:val="center"/>
          </w:tcPr>
          <w:p>
            <w:pPr>
              <w:pStyle w:val="TableContents"/>
              <w:bidi w:val="0"/>
              <w:spacing w:before="0" w:after="283"/>
              <w:jc w:val="right"/>
              <w:rPr/>
            </w:pPr>
            <w:r>
              <w:rPr/>
              <w:t>857,415</w:t>
            </w:r>
          </w:p>
        </w:tc>
        <w:tc>
          <w:tcPr>
            <w:tcW w:w="229" w:type="dxa"/>
            <w:tcBorders/>
            <w:vAlign w:val="center"/>
          </w:tcPr>
          <w:p>
            <w:pPr>
              <w:pStyle w:val="TableContents"/>
              <w:bidi w:val="0"/>
              <w:spacing w:before="0" w:after="283"/>
              <w:jc w:val="left"/>
              <w:rPr/>
            </w:pPr>
            <w:r>
              <w:rPr/>
              <w:t> </w:t>
            </w:r>
          </w:p>
        </w:tc>
      </w:tr>
      <w:tr>
        <w:trPr/>
        <w:tc>
          <w:tcPr>
            <w:tcW w:w="6472" w:type="dxa"/>
            <w:tcBorders/>
            <w:tcMar>
              <w:top w:w="0" w:type="dxa"/>
              <w:left w:w="0" w:type="dxa"/>
              <w:bottom w:w="0" w:type="dxa"/>
              <w:right w:w="0" w:type="dxa"/>
            </w:tcMar>
            <w:vAlign w:val="center"/>
          </w:tcPr>
          <w:p>
            <w:pPr>
              <w:pStyle w:val="TableContents"/>
              <w:bidi w:val="0"/>
              <w:spacing w:before="0" w:after="283"/>
              <w:jc w:val="left"/>
              <w:rPr/>
            </w:pPr>
            <w:r>
              <w:rPr/>
              <w:t>Non-controlled, affiliated investments (amortized cost—$36,561 and $36,561,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4,891</w:t>
            </w:r>
          </w:p>
        </w:tc>
        <w:tc>
          <w:tcPr>
            <w:tcW w:w="229" w:type="dxa"/>
            <w:tcBorders/>
            <w:vAlign w:val="center"/>
          </w:tcPr>
          <w:p>
            <w:pPr>
              <w:pStyle w:val="TableContents"/>
              <w:bidi w:val="0"/>
              <w:spacing w:before="0" w:after="283"/>
              <w:jc w:val="left"/>
              <w:rPr/>
            </w:pPr>
            <w:r>
              <w:rPr/>
              <w:t> </w:t>
            </w:r>
          </w:p>
        </w:tc>
      </w:tr>
      <w:tr>
        <w:trPr/>
        <w:tc>
          <w:tcPr>
            <w:tcW w:w="6472"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cost—$341,190 and $346,911, respectively)</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358,629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424,967</w:t>
            </w:r>
          </w:p>
        </w:tc>
        <w:tc>
          <w:tcPr>
            <w:tcW w:w="229" w:type="dxa"/>
            <w:tcBorders/>
            <w:vAlign w:val="center"/>
          </w:tcPr>
          <w:p>
            <w:pPr>
              <w:pStyle w:val="TableContents"/>
              <w:bidi w:val="0"/>
              <w:spacing w:before="0" w:after="283"/>
              <w:jc w:val="left"/>
              <w:rPr/>
            </w:pPr>
            <w:r>
              <w:rPr/>
              <w:t> </w:t>
            </w:r>
          </w:p>
        </w:tc>
      </w:tr>
      <w:tr>
        <w:trPr/>
        <w:tc>
          <w:tcPr>
            <w:tcW w:w="6472" w:type="dxa"/>
            <w:tcBorders/>
            <w:tcMar>
              <w:top w:w="0" w:type="dxa"/>
              <w:left w:w="0" w:type="dxa"/>
              <w:bottom w:w="0" w:type="dxa"/>
              <w:right w:w="0" w:type="dxa"/>
            </w:tcMar>
            <w:vAlign w:val="center"/>
          </w:tcPr>
          <w:p>
            <w:pPr>
              <w:pStyle w:val="TableContents"/>
              <w:bidi w:val="0"/>
              <w:spacing w:before="0" w:after="283"/>
              <w:jc w:val="left"/>
              <w:rPr/>
            </w:pPr>
            <w:r>
              <w:rPr/>
              <w:t>Total investments (amortized cost—$1,228,191 and $1,236,888, respectively)</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4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1,193,172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6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1,287,273</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Cash equivalents (cost—$11,542 and $30,711,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11,542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30,711</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Cash (cost—$27,710 and $21,028,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27,710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21,072</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Interest receivable</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5,549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5,261</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Receivable for investments sold</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19,594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Distribution receivable</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4,415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4,694</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Due from affiliates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168</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Prepaid expenses and other assets</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375</w:t>
            </w:r>
          </w:p>
        </w:tc>
        <w:tc>
          <w:tcPr>
            <w:tcW w:w="229" w:type="dxa"/>
            <w:tcBorders/>
            <w:vAlign w:val="center"/>
          </w:tcPr>
          <w:p>
            <w:pPr>
              <w:pStyle w:val="TableContents"/>
              <w:bidi w:val="0"/>
              <w:spacing w:before="0" w:after="283"/>
              <w:jc w:val="left"/>
              <w:rPr/>
            </w:pPr>
            <w:r>
              <w:rPr/>
              <w:t> </w:t>
            </w:r>
          </w:p>
        </w:tc>
      </w:tr>
      <w:tr>
        <w:trPr/>
        <w:tc>
          <w:tcPr>
            <w:tcW w:w="6472"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1,262,972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1,349,554</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rStyle w:val="StrongEmphasis"/>
              </w:rPr>
              <w:t>Liabilities</w:t>
            </w:r>
          </w:p>
        </w:tc>
        <w:tc>
          <w:tcPr>
            <w:tcW w:w="146" w:type="dxa"/>
            <w:tcBorders/>
            <w:vAlign w:val="center"/>
          </w:tcPr>
          <w:p>
            <w:pPr>
              <w:pStyle w:val="TableContents"/>
              <w:bidi w:val="0"/>
              <w:spacing w:before="0" w:after="283"/>
              <w:jc w:val="left"/>
              <w:rPr/>
            </w:pPr>
            <w:r>
              <w:rPr/>
              <w:t> </w:t>
            </w:r>
          </w:p>
        </w:tc>
        <w:tc>
          <w:tcPr>
            <w:tcW w:w="138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4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72" w:type="dxa"/>
            <w:tcBorders/>
            <w:vAlign w:val="center"/>
          </w:tcPr>
          <w:p>
            <w:pPr>
              <w:pStyle w:val="TableContents"/>
              <w:bidi w:val="0"/>
              <w:spacing w:before="0" w:after="283"/>
              <w:jc w:val="left"/>
              <w:rPr/>
            </w:pPr>
            <w:r>
              <w:rPr/>
              <w:t>Truist Credit Facility payable, at fair value (cost—$311,456 and $426,456,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309,755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425,477</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2026 Notes payable (par— zero and $150,000, unamortized deferred financing cost of $ — and $527,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149,473</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2026 Notes-2 payable (par— $165,000, unamortized deferred financing cost of $427 and $1,067,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164,573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163,933</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2029 Notes payable (par — $75,000 and zero, respectively, unamortized deferred financing cost of $1,393 and $ —,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73,607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Payable for investment purchased</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269,308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130,007</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Interest payable on debt</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4,046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6,281</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Distributions payable</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5,224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Accounts payable and accrued expenses</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3,046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4,342</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Base management fee payable</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3,500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4,005</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Incentive fee payable</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2,086</w:t>
            </w:r>
          </w:p>
        </w:tc>
        <w:tc>
          <w:tcPr>
            <w:tcW w:w="229" w:type="dxa"/>
            <w:tcBorders/>
            <w:vAlign w:val="center"/>
          </w:tcPr>
          <w:p>
            <w:pPr>
              <w:pStyle w:val="TableContents"/>
              <w:bidi w:val="0"/>
              <w:spacing w:before="0" w:after="283"/>
              <w:jc w:val="left"/>
              <w:rPr/>
            </w:pPr>
            <w:r>
              <w:rPr/>
              <w:t> </w:t>
            </w:r>
          </w:p>
        </w:tc>
      </w:tr>
      <w:tr>
        <w:trPr/>
        <w:tc>
          <w:tcPr>
            <w:tcW w:w="6472"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834,940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885,604</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Commitments and contingencies</w:t>
            </w:r>
          </w:p>
        </w:tc>
        <w:tc>
          <w:tcPr>
            <w:tcW w:w="146" w:type="dxa"/>
            <w:tcBorders/>
            <w:vAlign w:val="center"/>
          </w:tcPr>
          <w:p>
            <w:pPr>
              <w:pStyle w:val="TableContents"/>
              <w:bidi w:val="0"/>
              <w:spacing w:before="0" w:after="283"/>
              <w:jc w:val="left"/>
              <w:rPr/>
            </w:pPr>
            <w:r>
              <w:rPr/>
              <w:t> </w:t>
            </w:r>
          </w:p>
        </w:tc>
        <w:tc>
          <w:tcPr>
            <w:tcW w:w="138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48"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72" w:type="dxa"/>
            <w:tcBorders/>
            <w:vAlign w:val="center"/>
          </w:tcPr>
          <w:p>
            <w:pPr>
              <w:pStyle w:val="TableContents"/>
              <w:bidi w:val="0"/>
              <w:spacing w:before="0" w:after="283"/>
              <w:jc w:val="left"/>
              <w:rPr/>
            </w:pPr>
            <w:r>
              <w:rPr>
                <w:rStyle w:val="StrongEmphasis"/>
              </w:rPr>
              <w:t>Net assets</w:t>
            </w:r>
          </w:p>
        </w:tc>
        <w:tc>
          <w:tcPr>
            <w:tcW w:w="146" w:type="dxa"/>
            <w:tcBorders/>
            <w:vAlign w:val="center"/>
          </w:tcPr>
          <w:p>
            <w:pPr>
              <w:pStyle w:val="TableContents"/>
              <w:bidi w:val="0"/>
              <w:spacing w:before="0" w:after="283"/>
              <w:jc w:val="left"/>
              <w:rPr/>
            </w:pPr>
            <w:r>
              <w:rPr/>
              <w:t> </w:t>
            </w:r>
          </w:p>
        </w:tc>
        <w:tc>
          <w:tcPr>
            <w:tcW w:w="1383"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48" w:type="dxa"/>
            <w:gridSpan w:val="2"/>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72" w:type="dxa"/>
            <w:tcBorders/>
            <w:vAlign w:val="center"/>
          </w:tcPr>
          <w:p>
            <w:pPr>
              <w:pStyle w:val="TableContents"/>
              <w:bidi w:val="0"/>
              <w:spacing w:before="0" w:after="283"/>
              <w:jc w:val="left"/>
              <w:rPr/>
            </w:pPr>
            <w:r>
              <w:rPr/>
              <w:t>Common stock, 65,296,094 and 65,296,094 shares issued and outstanding, respectively</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r>
      <w:tr>
        <w:trPr/>
        <w:tc>
          <w:tcPr>
            <w:tcW w:w="6472" w:type="dxa"/>
            <w:tcBorders/>
            <w:tcMar>
              <w:top w:w="0" w:type="dxa"/>
              <w:left w:w="0" w:type="dxa"/>
              <w:bottom w:w="0" w:type="dxa"/>
              <w:right w:w="0" w:type="dxa"/>
            </w:tcMar>
            <w:vAlign w:val="center"/>
          </w:tcPr>
          <w:p>
            <w:pPr>
              <w:pStyle w:val="TableContents"/>
              <w:bidi w:val="0"/>
              <w:spacing w:before="0" w:after="283"/>
              <w:jc w:val="left"/>
              <w:rPr/>
            </w:pPr>
            <w:r>
              <w:rPr/>
              <w:t>Par value $0.001 per share and 200,000,000 shares authorized</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65</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Paid-in capital in excess of par value</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740,506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740,506</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t>Accumulated deficit</w:t>
            </w:r>
          </w:p>
        </w:tc>
        <w:tc>
          <w:tcPr>
            <w:tcW w:w="146" w:type="dxa"/>
            <w:tcBorders/>
            <w:vAlign w:val="center"/>
          </w:tcPr>
          <w:p>
            <w:pPr>
              <w:pStyle w:val="TableContents"/>
              <w:bidi w:val="0"/>
              <w:spacing w:before="0" w:after="283"/>
              <w:jc w:val="left"/>
              <w:rPr/>
            </w:pPr>
            <w:r>
              <w:rPr/>
              <w:t> </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(312,539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8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(276,621</w:t>
            </w:r>
          </w:p>
        </w:tc>
        <w:tc>
          <w:tcPr>
            <w:tcW w:w="229" w:type="dxa"/>
            <w:tcBorders/>
            <w:vAlign w:val="center"/>
          </w:tcPr>
          <w:p>
            <w:pPr>
              <w:pStyle w:val="TableContents"/>
              <w:bidi w:val="0"/>
              <w:spacing w:before="0" w:after="283"/>
              <w:jc w:val="left"/>
              <w:rPr/>
            </w:pPr>
            <w:r>
              <w:rPr/>
              <w:t>)</w:t>
            </w:r>
          </w:p>
        </w:tc>
      </w:tr>
      <w:tr>
        <w:trPr/>
        <w:tc>
          <w:tcPr>
            <w:tcW w:w="6472"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net assets</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14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428,032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3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463,950</w:t>
            </w:r>
          </w:p>
        </w:tc>
        <w:tc>
          <w:tcPr>
            <w:tcW w:w="229" w:type="dxa"/>
            <w:tcBorders/>
            <w:vAlign w:val="center"/>
          </w:tcPr>
          <w:p>
            <w:pPr>
              <w:pStyle w:val="TableContents"/>
              <w:bidi w:val="0"/>
              <w:spacing w:before="0" w:after="283"/>
              <w:jc w:val="left"/>
              <w:rPr/>
            </w:pPr>
            <w:r>
              <w:rPr/>
              <w:t> </w:t>
            </w:r>
          </w:p>
        </w:tc>
      </w:tr>
      <w:tr>
        <w:trPr/>
        <w:tc>
          <w:tcPr>
            <w:tcW w:w="6472"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net assets</w:t>
            </w:r>
          </w:p>
        </w:tc>
        <w:tc>
          <w:tcPr>
            <w:tcW w:w="146" w:type="dxa"/>
            <w:tcBorders/>
            <w:vAlign w:val="center"/>
          </w:tcPr>
          <w:p>
            <w:pPr>
              <w:pStyle w:val="TableContents"/>
              <w:bidi w:val="0"/>
              <w:spacing w:before="0" w:after="283"/>
              <w:jc w:val="left"/>
              <w:rPr/>
            </w:pPr>
            <w:r>
              <w:rPr/>
              <w:t> </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1,262,972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6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1,349,554</w:t>
            </w:r>
          </w:p>
        </w:tc>
        <w:tc>
          <w:tcPr>
            <w:tcW w:w="229" w:type="dxa"/>
            <w:tcBorders/>
            <w:vAlign w:val="center"/>
          </w:tcPr>
          <w:p>
            <w:pPr>
              <w:pStyle w:val="TableContents"/>
              <w:bidi w:val="0"/>
              <w:spacing w:before="0" w:after="283"/>
              <w:jc w:val="left"/>
              <w:rPr/>
            </w:pPr>
            <w:r>
              <w:rPr/>
              <w:t> </w:t>
            </w:r>
          </w:p>
        </w:tc>
      </w:tr>
      <w:tr>
        <w:trPr/>
        <w:tc>
          <w:tcPr>
            <w:tcW w:w="6472" w:type="dxa"/>
            <w:tcBorders/>
            <w:vAlign w:val="center"/>
          </w:tcPr>
          <w:p>
            <w:pPr>
              <w:pStyle w:val="TableContents"/>
              <w:bidi w:val="0"/>
              <w:spacing w:before="0" w:after="283"/>
              <w:jc w:val="left"/>
              <w:rPr/>
            </w:pPr>
            <w:r>
              <w:rPr>
                <w:rStyle w:val="StrongEmphasis"/>
              </w:rPr>
              <w:t>Net asset value per share</w:t>
            </w:r>
          </w:p>
        </w:tc>
        <w:tc>
          <w:tcPr>
            <w:tcW w:w="146" w:type="dxa"/>
            <w:tcBorders/>
            <w:vAlign w:val="center"/>
          </w:tcPr>
          <w:p>
            <w:pPr>
              <w:pStyle w:val="TableContents"/>
              <w:bidi w:val="0"/>
              <w:spacing w:before="0" w:after="283"/>
              <w:jc w:val="left"/>
              <w:rPr/>
            </w:pPr>
            <w:r>
              <w:rPr/>
              <w:t> </w:t>
            </w:r>
          </w:p>
        </w:tc>
        <w:tc>
          <w:tcPr>
            <w:tcW w:w="2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6.56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6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7.11</w:t>
            </w:r>
          </w:p>
        </w:tc>
        <w:tc>
          <w:tcPr>
            <w:tcW w:w="229" w:type="dxa"/>
            <w:tcBorders/>
            <w:vAlign w:val="center"/>
          </w:tcPr>
          <w:p>
            <w:pPr>
              <w:pStyle w:val="TableContents"/>
              <w:bidi w:val="0"/>
              <w:spacing w:before="0" w:after="283"/>
              <w:jc w:val="left"/>
              <w:rPr/>
            </w:pPr>
            <w:r>
              <w:rPr/>
              <w:t> </w:t>
            </w:r>
          </w:p>
        </w:tc>
      </w:tr>
    </w:tbl>
    <w:p>
      <w:pPr>
        <w:pStyle w:val="TextBody"/>
        <w:bidi w:val="0"/>
        <w:jc w:val="center"/>
        <w:rPr/>
      </w:pPr>
      <w:r>
        <w:rPr/>
      </w:r>
    </w:p>
    <w:tbl>
      <w:tblPr>
        <w:tblW w:w="10205" w:type="dxa"/>
        <w:jc w:val="center"/>
        <w:tblInd w:w="0" w:type="dxa"/>
        <w:tblLayout w:type="fixed"/>
        <w:tblCellMar>
          <w:top w:w="28" w:type="dxa"/>
          <w:left w:w="28" w:type="dxa"/>
          <w:bottom w:w="28" w:type="dxa"/>
          <w:right w:w="28" w:type="dxa"/>
        </w:tblCellMar>
      </w:tblPr>
      <w:tblGrid>
        <w:gridCol w:w="4128"/>
        <w:gridCol w:w="146"/>
        <w:gridCol w:w="254"/>
        <w:gridCol w:w="948"/>
        <w:gridCol w:w="203"/>
        <w:gridCol w:w="164"/>
        <w:gridCol w:w="254"/>
        <w:gridCol w:w="863"/>
        <w:gridCol w:w="181"/>
        <w:gridCol w:w="146"/>
        <w:gridCol w:w="246"/>
        <w:gridCol w:w="918"/>
        <w:gridCol w:w="197"/>
        <w:gridCol w:w="159"/>
        <w:gridCol w:w="246"/>
        <w:gridCol w:w="918"/>
        <w:gridCol w:w="234"/>
      </w:tblGrid>
      <w:tr>
        <w:trPr/>
        <w:tc>
          <w:tcPr>
            <w:tcW w:w="10205" w:type="dxa"/>
            <w:gridSpan w:val="17"/>
            <w:tcBorders/>
            <w:vAlign w:val="center"/>
          </w:tcPr>
          <w:p>
            <w:pPr>
              <w:pStyle w:val="TableContents"/>
              <w:bidi w:val="0"/>
              <w:spacing w:before="0" w:after="283"/>
              <w:jc w:val="center"/>
              <w:rPr/>
            </w:pPr>
            <w:r>
              <w:rPr>
                <w:rStyle w:val="StrongEmphasis"/>
              </w:rPr>
              <w:t>PENNANTPARK INVESTMENT CORPORATION AND SUBSIDIARIES</w:t>
            </w:r>
            <w:r>
              <w:rPr/>
              <w:br/>
            </w:r>
            <w:r>
              <w:rPr>
                <w:rStyle w:val="StrongEmphasis"/>
              </w:rPr>
              <w:t>CONSOLIDATED STATEMENTS OF OPERATIONS</w:t>
            </w:r>
            <w:r>
              <w:rPr/>
              <w:br/>
              <w:t>(In thousands, except share data)</w:t>
              <w:br/>
              <w:t>(Unaudited)</w:t>
            </w:r>
          </w:p>
        </w:tc>
      </w:tr>
      <w:tr>
        <w:trPr/>
        <w:tc>
          <w:tcPr>
            <w:tcW w:w="41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8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684"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June 30,</w:t>
            </w:r>
          </w:p>
        </w:tc>
        <w:tc>
          <w:tcPr>
            <w:tcW w:w="234" w:type="dxa"/>
            <w:tcBorders/>
            <w:vAlign w:val="center"/>
          </w:tcPr>
          <w:p>
            <w:pPr>
              <w:pStyle w:val="TableContents"/>
              <w:bidi w:val="0"/>
              <w:spacing w:before="0" w:after="283"/>
              <w:jc w:val="center"/>
              <w:rPr/>
            </w:pPr>
            <w:r>
              <w:rPr/>
              <w:t> </w:t>
            </w:r>
          </w:p>
        </w:tc>
      </w:tr>
      <w:tr>
        <w:trPr/>
        <w:tc>
          <w:tcPr>
            <w:tcW w:w="41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203" w:type="dxa"/>
            <w:tcBorders/>
            <w:vAlign w:val="center"/>
          </w:tcPr>
          <w:p>
            <w:pPr>
              <w:pStyle w:val="TableContents"/>
              <w:bidi w:val="0"/>
              <w:spacing w:before="0" w:after="283"/>
              <w:jc w:val="center"/>
              <w:rPr/>
            </w:pPr>
            <w:r>
              <w:rPr/>
              <w:t> </w:t>
            </w:r>
          </w:p>
        </w:tc>
        <w:tc>
          <w:tcPr>
            <w:tcW w:w="16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6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7" w:type="dxa"/>
            <w:tcBorders/>
            <w:vAlign w:val="center"/>
          </w:tcPr>
          <w:p>
            <w:pPr>
              <w:pStyle w:val="TableContents"/>
              <w:bidi w:val="0"/>
              <w:spacing w:before="0" w:after="283"/>
              <w:jc w:val="center"/>
              <w:rPr/>
            </w:pPr>
            <w:r>
              <w:rPr/>
              <w:t> </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6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34" w:type="dxa"/>
            <w:tcBorders/>
            <w:vAlign w:val="center"/>
          </w:tcPr>
          <w:p>
            <w:pPr>
              <w:pStyle w:val="TableContents"/>
              <w:bidi w:val="0"/>
              <w:spacing w:before="0" w:after="283"/>
              <w:jc w:val="center"/>
              <w:rPr/>
            </w:pPr>
            <w:r>
              <w:rPr/>
              <w:t> </w:t>
            </w:r>
          </w:p>
        </w:tc>
      </w:tr>
      <w:tr>
        <w:trPr/>
        <w:tc>
          <w:tcPr>
            <w:tcW w:w="4128" w:type="dxa"/>
            <w:tcBorders/>
            <w:vAlign w:val="center"/>
          </w:tcPr>
          <w:p>
            <w:pPr>
              <w:pStyle w:val="TableContents"/>
              <w:bidi w:val="0"/>
              <w:spacing w:before="0" w:after="283"/>
              <w:jc w:val="left"/>
              <w:rPr/>
            </w:pPr>
            <w:r>
              <w:rPr>
                <w:rStyle w:val="StrongEmphasis"/>
              </w:rPr>
              <w:t>Investment income:</w:t>
            </w:r>
          </w:p>
        </w:tc>
        <w:tc>
          <w:tcPr>
            <w:tcW w:w="146" w:type="dxa"/>
            <w:tcBorders/>
            <w:vAlign w:val="center"/>
          </w:tcPr>
          <w:p>
            <w:pPr>
              <w:pStyle w:val="TableContents"/>
              <w:bidi w:val="0"/>
              <w:spacing w:before="0" w:after="283"/>
              <w:jc w:val="left"/>
              <w:rPr/>
            </w:pPr>
            <w:r>
              <w:rPr/>
              <w:t> </w:t>
            </w:r>
          </w:p>
        </w:tc>
        <w:tc>
          <w:tcPr>
            <w:tcW w:w="120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16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4128" w:type="dxa"/>
            <w:tcBorders/>
            <w:vAlign w:val="center"/>
          </w:tcPr>
          <w:p>
            <w:pPr>
              <w:pStyle w:val="TableContents"/>
              <w:bidi w:val="0"/>
              <w:spacing w:before="0" w:after="283"/>
              <w:jc w:val="left"/>
              <w:rPr/>
            </w:pPr>
            <w:r>
              <w:rPr/>
              <w:t>From non-controlled, non-affiliated investments:</w:t>
            </w:r>
          </w:p>
        </w:tc>
        <w:tc>
          <w:tcPr>
            <w:tcW w:w="146" w:type="dxa"/>
            <w:tcBorders/>
            <w:vAlign w:val="center"/>
          </w:tcPr>
          <w:p>
            <w:pPr>
              <w:pStyle w:val="TableContents"/>
              <w:bidi w:val="0"/>
              <w:spacing w:before="0" w:after="283"/>
              <w:jc w:val="left"/>
              <w:rPr/>
            </w:pPr>
            <w:r>
              <w:rPr/>
              <w:t> </w:t>
            </w:r>
          </w:p>
        </w:tc>
        <w:tc>
          <w:tcPr>
            <w:tcW w:w="1202" w:type="dxa"/>
            <w:gridSpan w:val="2"/>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11,979</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jc w:val="right"/>
              <w:rPr/>
            </w:pPr>
            <w:r>
              <w:rPr/>
              <w:t>12,659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918" w:type="dxa"/>
            <w:tcBorders/>
            <w:vAlign w:val="center"/>
          </w:tcPr>
          <w:p>
            <w:pPr>
              <w:pStyle w:val="TableContents"/>
              <w:bidi w:val="0"/>
              <w:spacing w:before="0" w:after="283"/>
              <w:jc w:val="right"/>
              <w:rPr/>
            </w:pPr>
            <w:r>
              <w:rPr/>
              <w:t>37,522</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918" w:type="dxa"/>
            <w:tcBorders/>
            <w:vAlign w:val="center"/>
          </w:tcPr>
          <w:p>
            <w:pPr>
              <w:pStyle w:val="TableContents"/>
              <w:bidi w:val="0"/>
              <w:spacing w:before="0" w:after="283"/>
              <w:jc w:val="right"/>
              <w:rPr/>
            </w:pPr>
            <w:r>
              <w:rPr/>
              <w:t>46,411</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1,866</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1,569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6,374</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4,554</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286</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560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818</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1,566</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276</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617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661</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1,319</w:t>
            </w:r>
          </w:p>
        </w:tc>
        <w:tc>
          <w:tcPr>
            <w:tcW w:w="234" w:type="dxa"/>
            <w:tcBorders/>
            <w:vAlign w:val="center"/>
          </w:tcPr>
          <w:p>
            <w:pPr>
              <w:pStyle w:val="TableContents"/>
              <w:bidi w:val="0"/>
              <w:spacing w:before="0" w:after="283"/>
              <w:jc w:val="left"/>
              <w:rPr/>
            </w:pPr>
            <w:r>
              <w:rPr/>
              <w:t> </w:t>
            </w:r>
          </w:p>
        </w:tc>
      </w:tr>
      <w:tr>
        <w:trPr/>
        <w:tc>
          <w:tcPr>
            <w:tcW w:w="4128" w:type="dxa"/>
            <w:tcBorders/>
            <w:vAlign w:val="center"/>
          </w:tcPr>
          <w:p>
            <w:pPr>
              <w:pStyle w:val="TableContents"/>
              <w:bidi w:val="0"/>
              <w:spacing w:before="0" w:after="283"/>
              <w:jc w:val="left"/>
              <w:rPr/>
            </w:pPr>
            <w:r>
              <w:rPr/>
              <w:t>From controlled, affiliated investments:</w:t>
            </w:r>
          </w:p>
        </w:tc>
        <w:tc>
          <w:tcPr>
            <w:tcW w:w="146" w:type="dxa"/>
            <w:tcBorders/>
            <w:vAlign w:val="center"/>
          </w:tcPr>
          <w:p>
            <w:pPr>
              <w:pStyle w:val="TableContents"/>
              <w:bidi w:val="0"/>
              <w:spacing w:before="0" w:after="283"/>
              <w:jc w:val="left"/>
              <w:rPr/>
            </w:pPr>
            <w:r>
              <w:rPr/>
              <w:t> </w:t>
            </w:r>
          </w:p>
        </w:tc>
        <w:tc>
          <w:tcPr>
            <w:tcW w:w="1202" w:type="dxa"/>
            <w:gridSpan w:val="2"/>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6,174</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8,217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18,748</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23,360</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355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1,178</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4,184</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5,578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12,830</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16,008</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24,765</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29,555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76,953</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94,423</w:t>
            </w:r>
          </w:p>
        </w:tc>
        <w:tc>
          <w:tcPr>
            <w:tcW w:w="234" w:type="dxa"/>
            <w:tcBorders/>
            <w:vAlign w:val="center"/>
          </w:tcPr>
          <w:p>
            <w:pPr>
              <w:pStyle w:val="TableContents"/>
              <w:bidi w:val="0"/>
              <w:spacing w:before="0" w:after="283"/>
              <w:jc w:val="left"/>
              <w:rPr/>
            </w:pPr>
            <w:r>
              <w:rPr/>
              <w:t> </w:t>
            </w:r>
          </w:p>
        </w:tc>
      </w:tr>
      <w:tr>
        <w:trPr/>
        <w:tc>
          <w:tcPr>
            <w:tcW w:w="4128" w:type="dxa"/>
            <w:tcBorders/>
            <w:vAlign w:val="center"/>
          </w:tcPr>
          <w:p>
            <w:pPr>
              <w:pStyle w:val="TableContents"/>
              <w:bidi w:val="0"/>
              <w:spacing w:before="0" w:after="283"/>
              <w:jc w:val="left"/>
              <w:rPr/>
            </w:pPr>
            <w:r>
              <w:rPr>
                <w:rStyle w:val="StrongEmphasis"/>
              </w:rPr>
              <w:t>Expenses:</w:t>
            </w:r>
          </w:p>
        </w:tc>
        <w:tc>
          <w:tcPr>
            <w:tcW w:w="146" w:type="dxa"/>
            <w:tcBorders/>
            <w:vAlign w:val="center"/>
          </w:tcPr>
          <w:p>
            <w:pPr>
              <w:pStyle w:val="TableContents"/>
              <w:bidi w:val="0"/>
              <w:spacing w:before="0" w:after="283"/>
              <w:jc w:val="left"/>
              <w:rPr/>
            </w:pPr>
            <w:r>
              <w:rPr/>
              <w:t> </w:t>
            </w:r>
          </w:p>
        </w:tc>
        <w:tc>
          <w:tcPr>
            <w:tcW w:w="120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16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8,817</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9,196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27,424</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31,254</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3,500</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3,889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11,021</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12,174</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Incentive fee</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1,881</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2,502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3,862</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7,682</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1,050</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1,050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2,900</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3,450</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146"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450</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1,350</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1,400</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 before amendment costs, debt issuance costs and provision for taxes</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15,698</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17,087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46,557</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55,960</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4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200</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6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1,310</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1,920</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Credit facility amendment and debt issuance costs</w:t>
            </w:r>
          </w:p>
        </w:tc>
        <w:tc>
          <w:tcPr>
            <w:tcW w:w="146"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3,885</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324</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expenses</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15,898</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17,757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51,752</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58,204</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8,867</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11,798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25,201</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36,219</w:t>
            </w:r>
          </w:p>
        </w:tc>
        <w:tc>
          <w:tcPr>
            <w:tcW w:w="234" w:type="dxa"/>
            <w:tcBorders/>
            <w:vAlign w:val="center"/>
          </w:tcPr>
          <w:p>
            <w:pPr>
              <w:pStyle w:val="TableContents"/>
              <w:bidi w:val="0"/>
              <w:spacing w:before="0" w:after="283"/>
              <w:jc w:val="left"/>
              <w:rPr/>
            </w:pPr>
            <w:r>
              <w:rPr/>
              <w:t> </w:t>
            </w:r>
          </w:p>
        </w:tc>
      </w:tr>
      <w:tr>
        <w:trPr/>
        <w:tc>
          <w:tcPr>
            <w:tcW w:w="4128" w:type="dxa"/>
            <w:tcBorders/>
            <w:vAlign w:val="center"/>
          </w:tcPr>
          <w:p>
            <w:pPr>
              <w:pStyle w:val="TableContents"/>
              <w:bidi w:val="0"/>
              <w:spacing w:before="0" w:after="283"/>
              <w:jc w:val="left"/>
              <w:rPr/>
            </w:pPr>
            <w:r>
              <w:rPr>
                <w:rStyle w:val="StrongEmphasis"/>
              </w:rPr>
              <w:t>Realized and unrealized gain (loss) on investments and debt:</w:t>
            </w:r>
          </w:p>
        </w:tc>
        <w:tc>
          <w:tcPr>
            <w:tcW w:w="146" w:type="dxa"/>
            <w:tcBorders/>
            <w:vAlign w:val="center"/>
          </w:tcPr>
          <w:p>
            <w:pPr>
              <w:pStyle w:val="TableContents"/>
              <w:bidi w:val="0"/>
              <w:spacing w:before="0" w:after="283"/>
              <w:jc w:val="left"/>
              <w:rPr/>
            </w:pPr>
            <w:r>
              <w:rPr/>
              <w:t> </w:t>
            </w:r>
          </w:p>
        </w:tc>
        <w:tc>
          <w:tcPr>
            <w:tcW w:w="120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16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4128" w:type="dxa"/>
            <w:tcBorders/>
            <w:vAlign w:val="center"/>
          </w:tcPr>
          <w:p>
            <w:pPr>
              <w:pStyle w:val="TableContents"/>
              <w:bidi w:val="0"/>
              <w:spacing w:before="0" w:after="283"/>
              <w:jc w:val="left"/>
              <w:rPr/>
            </w:pPr>
            <w:r>
              <w:rPr/>
              <w:t>Net realized gain (loss) on investments and debt:</w:t>
            </w:r>
          </w:p>
        </w:tc>
        <w:tc>
          <w:tcPr>
            <w:tcW w:w="146" w:type="dxa"/>
            <w:tcBorders/>
            <w:vAlign w:val="center"/>
          </w:tcPr>
          <w:p>
            <w:pPr>
              <w:pStyle w:val="TableContents"/>
              <w:bidi w:val="0"/>
              <w:spacing w:before="0" w:after="283"/>
              <w:jc w:val="left"/>
              <w:rPr/>
            </w:pPr>
            <w:r>
              <w:rPr/>
              <w:t> </w:t>
            </w:r>
          </w:p>
        </w:tc>
        <w:tc>
          <w:tcPr>
            <w:tcW w:w="1202" w:type="dxa"/>
            <w:gridSpan w:val="2"/>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12,056</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(475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8,668</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(30,749</w:t>
            </w:r>
          </w:p>
        </w:tc>
        <w:tc>
          <w:tcPr>
            <w:tcW w:w="234" w:type="dxa"/>
            <w:tcBorders/>
            <w:vAlign w:val="center"/>
          </w:tcPr>
          <w:p>
            <w:pPr>
              <w:pStyle w:val="TableContents"/>
              <w:bidi w:val="0"/>
              <w:spacing w:before="0" w:after="283"/>
              <w:jc w:val="left"/>
              <w:rPr/>
            </w:pPr>
            <w:r>
              <w:rPr/>
              <w:t>)</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61,986</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Provision for taxes on realized gain on investments</w:t>
            </w:r>
          </w:p>
        </w:tc>
        <w:tc>
          <w:tcPr>
            <w:tcW w:w="146"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w:t>
            </w:r>
          </w:p>
        </w:tc>
        <w:tc>
          <w:tcPr>
            <w:tcW w:w="197"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w:t>
            </w:r>
          </w:p>
        </w:tc>
        <w:tc>
          <w:tcPr>
            <w:tcW w:w="234" w:type="dxa"/>
            <w:tcBorders/>
            <w:vAlign w:val="center"/>
          </w:tcPr>
          <w:p>
            <w:pPr>
              <w:pStyle w:val="TableContents"/>
              <w:bidi w:val="0"/>
              <w:spacing w:before="0" w:after="283"/>
              <w:jc w:val="left"/>
              <w:rPr/>
            </w:pPr>
            <w:r>
              <w:rPr/>
              <w:t>)</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realized gain (loss) on investments and debt</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12,034</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(476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70,619</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(30,799</w:t>
            </w:r>
          </w:p>
        </w:tc>
        <w:tc>
          <w:tcPr>
            <w:tcW w:w="234" w:type="dxa"/>
            <w:tcBorders/>
            <w:vAlign w:val="center"/>
          </w:tcPr>
          <w:p>
            <w:pPr>
              <w:pStyle w:val="TableContents"/>
              <w:bidi w:val="0"/>
              <w:spacing w:before="0" w:after="283"/>
              <w:jc w:val="left"/>
              <w:rPr/>
            </w:pPr>
            <w:r>
              <w:rPr/>
              <w:t>)</w:t>
            </w:r>
          </w:p>
        </w:tc>
      </w:tr>
      <w:tr>
        <w:trPr/>
        <w:tc>
          <w:tcPr>
            <w:tcW w:w="4128" w:type="dxa"/>
            <w:tcBorders/>
            <w:vAlign w:val="center"/>
          </w:tcPr>
          <w:p>
            <w:pPr>
              <w:pStyle w:val="TableContents"/>
              <w:bidi w:val="0"/>
              <w:spacing w:before="0" w:after="283"/>
              <w:jc w:val="left"/>
              <w:rPr/>
            </w:pPr>
            <w:r>
              <w:rPr/>
              <w:t>Net change in unrealized appreciation (depreciation) on:</w:t>
            </w:r>
          </w:p>
        </w:tc>
        <w:tc>
          <w:tcPr>
            <w:tcW w:w="146" w:type="dxa"/>
            <w:tcBorders/>
            <w:vAlign w:val="center"/>
          </w:tcPr>
          <w:p>
            <w:pPr>
              <w:pStyle w:val="TableContents"/>
              <w:bidi w:val="0"/>
              <w:spacing w:before="0" w:after="283"/>
              <w:jc w:val="left"/>
              <w:rPr/>
            </w:pPr>
            <w:r>
              <w:rPr/>
              <w:t> </w:t>
            </w:r>
          </w:p>
        </w:tc>
        <w:tc>
          <w:tcPr>
            <w:tcW w:w="120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left"/>
              <w:rPr/>
            </w:pPr>
            <w:r>
              <w:rPr/>
              <w:t> </w:t>
            </w:r>
          </w:p>
        </w:tc>
        <w:tc>
          <w:tcPr>
            <w:tcW w:w="116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righ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(19,487</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(547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(19,944</w:t>
            </w:r>
          </w:p>
        </w:tc>
        <w:tc>
          <w:tcPr>
            <w:tcW w:w="197"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12,594</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3,329</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347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(65,504</w:t>
            </w:r>
          </w:p>
        </w:tc>
        <w:tc>
          <w:tcPr>
            <w:tcW w:w="197"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right"/>
              <w:rPr/>
            </w:pPr>
            <w:r>
              <w:rPr/>
              <w:t>16,699</w:t>
            </w:r>
          </w:p>
        </w:tc>
        <w:tc>
          <w:tcPr>
            <w:tcW w:w="234" w:type="dxa"/>
            <w:tcBorders/>
            <w:vAlign w:val="center"/>
          </w:tcPr>
          <w:p>
            <w:pPr>
              <w:pStyle w:val="TableContents"/>
              <w:bidi w:val="0"/>
              <w:spacing w:before="0" w:after="283"/>
              <w:jc w:val="left"/>
              <w:rPr/>
            </w:pPr>
            <w:r>
              <w:rPr/>
              <w:t> </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146"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(274</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(2,972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723</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(1,023</w:t>
            </w:r>
          </w:p>
        </w:tc>
        <w:tc>
          <w:tcPr>
            <w:tcW w:w="234" w:type="dxa"/>
            <w:tcBorders/>
            <w:vAlign w:val="center"/>
          </w:tcPr>
          <w:p>
            <w:pPr>
              <w:pStyle w:val="TableContents"/>
              <w:bidi w:val="0"/>
              <w:spacing w:before="0" w:after="283"/>
              <w:jc w:val="left"/>
              <w:rPr/>
            </w:pPr>
            <w:r>
              <w:rPr/>
              <w:t>)</w:t>
            </w:r>
          </w:p>
        </w:tc>
      </w:tr>
      <w:tr>
        <w:trPr/>
        <w:tc>
          <w:tcPr>
            <w:tcW w:w="4128"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change in unrealized appreciation (depreciation) on investments and debt</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(16,432</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(3,172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(84,725</w:t>
            </w:r>
          </w:p>
        </w:tc>
        <w:tc>
          <w:tcPr>
            <w:tcW w:w="197"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28,270</w:t>
            </w:r>
          </w:p>
        </w:tc>
        <w:tc>
          <w:tcPr>
            <w:tcW w:w="234" w:type="dxa"/>
            <w:tcBorders/>
            <w:vAlign w:val="center"/>
          </w:tcPr>
          <w:p>
            <w:pPr>
              <w:pStyle w:val="TableContents"/>
              <w:bidi w:val="0"/>
              <w:spacing w:before="0" w:after="283"/>
              <w:jc w:val="left"/>
              <w:rPr/>
            </w:pPr>
            <w:r>
              <w:rPr/>
              <w:t> </w:t>
            </w:r>
          </w:p>
        </w:tc>
      </w:tr>
      <w:tr>
        <w:trPr/>
        <w:tc>
          <w:tcPr>
            <w:tcW w:w="4128" w:type="dxa"/>
            <w:tcBorders/>
            <w:vAlign w:val="center"/>
          </w:tcPr>
          <w:p>
            <w:pPr>
              <w:pStyle w:val="TableContents"/>
              <w:bidi w:val="0"/>
              <w:spacing w:before="0" w:after="283"/>
              <w:jc w:val="left"/>
              <w:rPr/>
            </w:pPr>
            <w:r>
              <w:rPr>
                <w:rStyle w:val="StrongEmphasis"/>
              </w:rPr>
              <w:t>Net realized and unrealized gain (loss) from investments and debt</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9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(4,398</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6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(3,648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(14,106</w:t>
            </w:r>
          </w:p>
        </w:tc>
        <w:tc>
          <w:tcPr>
            <w:tcW w:w="197"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 </w:t>
            </w:r>
          </w:p>
        </w:tc>
        <w:tc>
          <w:tcPr>
            <w:tcW w:w="2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(2,529</w:t>
            </w:r>
          </w:p>
        </w:tc>
        <w:tc>
          <w:tcPr>
            <w:tcW w:w="234" w:type="dxa"/>
            <w:tcBorders/>
            <w:vAlign w:val="center"/>
          </w:tcPr>
          <w:p>
            <w:pPr>
              <w:pStyle w:val="TableContents"/>
              <w:bidi w:val="0"/>
              <w:spacing w:before="0" w:after="283"/>
              <w:jc w:val="left"/>
              <w:rPr/>
            </w:pPr>
            <w:r>
              <w:rPr/>
              <w:t>)</w:t>
            </w:r>
          </w:p>
        </w:tc>
      </w:tr>
      <w:tr>
        <w:trPr/>
        <w:tc>
          <w:tcPr>
            <w:tcW w:w="4128" w:type="dxa"/>
            <w:tcBorders/>
            <w:vAlign w:val="center"/>
          </w:tcPr>
          <w:p>
            <w:pPr>
              <w:pStyle w:val="TableContents"/>
              <w:bidi w:val="0"/>
              <w:spacing w:before="0" w:after="283"/>
              <w:jc w:val="left"/>
              <w:rPr/>
            </w:pPr>
            <w:r>
              <w:rPr>
                <w:rStyle w:val="StrongEmphasis"/>
              </w:rPr>
              <w:t>Net increase (decrease) in net assets resulting from operations</w:t>
            </w:r>
          </w:p>
        </w:tc>
        <w:tc>
          <w:tcPr>
            <w:tcW w:w="146" w:type="dxa"/>
            <w:tcBorders/>
            <w:vAlign w:val="center"/>
          </w:tcPr>
          <w:p>
            <w:pPr>
              <w:pStyle w:val="TableContents"/>
              <w:bidi w:val="0"/>
              <w:spacing w:before="0" w:after="283"/>
              <w:jc w:val="left"/>
              <w:rPr/>
            </w:pPr>
            <w:r>
              <w:rPr/>
              <w:t> </w:t>
            </w:r>
          </w:p>
        </w:tc>
        <w:tc>
          <w:tcPr>
            <w:tcW w:w="2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4,469</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6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8,150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1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11,095</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33,690</w:t>
            </w:r>
          </w:p>
        </w:tc>
        <w:tc>
          <w:tcPr>
            <w:tcW w:w="234" w:type="dxa"/>
            <w:tcBorders/>
            <w:vAlign w:val="center"/>
          </w:tcPr>
          <w:p>
            <w:pPr>
              <w:pStyle w:val="TableContents"/>
              <w:bidi w:val="0"/>
              <w:spacing w:before="0" w:after="283"/>
              <w:jc w:val="left"/>
              <w:rPr/>
            </w:pPr>
            <w:r>
              <w:rPr/>
              <w:t> </w:t>
            </w:r>
          </w:p>
        </w:tc>
      </w:tr>
      <w:tr>
        <w:trPr/>
        <w:tc>
          <w:tcPr>
            <w:tcW w:w="4128" w:type="dxa"/>
            <w:tcBorders/>
            <w:vAlign w:val="center"/>
          </w:tcPr>
          <w:p>
            <w:pPr>
              <w:pStyle w:val="TableContents"/>
              <w:bidi w:val="0"/>
              <w:spacing w:before="0" w:after="283"/>
              <w:jc w:val="left"/>
              <w:rPr/>
            </w:pPr>
            <w:r>
              <w:rPr>
                <w:rStyle w:val="StrongEmphasis"/>
              </w:rPr>
              <w:t>Net increase (decrease) in net assets resulting from operations per common share</w:t>
            </w:r>
          </w:p>
        </w:tc>
        <w:tc>
          <w:tcPr>
            <w:tcW w:w="146" w:type="dxa"/>
            <w:tcBorders/>
            <w:vAlign w:val="center"/>
          </w:tcPr>
          <w:p>
            <w:pPr>
              <w:pStyle w:val="TableContents"/>
              <w:bidi w:val="0"/>
              <w:spacing w:before="0" w:after="283"/>
              <w:jc w:val="left"/>
              <w:rPr/>
            </w:pPr>
            <w:r>
              <w:rPr/>
              <w:t> </w:t>
            </w:r>
          </w:p>
        </w:tc>
        <w:tc>
          <w:tcPr>
            <w:tcW w:w="2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0.07</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63"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1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0.17</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1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0.52</w:t>
            </w:r>
          </w:p>
        </w:tc>
        <w:tc>
          <w:tcPr>
            <w:tcW w:w="234" w:type="dxa"/>
            <w:tcBorders/>
            <w:vAlign w:val="center"/>
          </w:tcPr>
          <w:p>
            <w:pPr>
              <w:pStyle w:val="TableContents"/>
              <w:bidi w:val="0"/>
              <w:spacing w:before="0" w:after="283"/>
              <w:jc w:val="left"/>
              <w:rPr/>
            </w:pPr>
            <w:r>
              <w:rPr/>
              <w:t> </w:t>
            </w:r>
          </w:p>
        </w:tc>
      </w:tr>
      <w:tr>
        <w:trPr/>
        <w:tc>
          <w:tcPr>
            <w:tcW w:w="4128" w:type="dxa"/>
            <w:tcBorders/>
            <w:vAlign w:val="center"/>
          </w:tcPr>
          <w:p>
            <w:pPr>
              <w:pStyle w:val="TableContents"/>
              <w:bidi w:val="0"/>
              <w:spacing w:before="0" w:after="283"/>
              <w:jc w:val="left"/>
              <w:rPr/>
            </w:pPr>
            <w:r>
              <w:rPr/>
              <w:t>Net investment income per common share</w:t>
            </w:r>
          </w:p>
        </w:tc>
        <w:tc>
          <w:tcPr>
            <w:tcW w:w="146" w:type="dxa"/>
            <w:tcBorders/>
            <w:vAlign w:val="center"/>
          </w:tcPr>
          <w:p>
            <w:pPr>
              <w:pStyle w:val="TableContents"/>
              <w:bidi w:val="0"/>
              <w:spacing w:before="0" w:after="283"/>
              <w:jc w:val="left"/>
              <w:rPr/>
            </w:pPr>
            <w:r>
              <w:rPr/>
              <w:t> </w:t>
            </w:r>
          </w:p>
        </w:tc>
        <w:tc>
          <w:tcPr>
            <w:tcW w:w="2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0.14</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63"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1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0.39</w:t>
            </w:r>
          </w:p>
        </w:tc>
        <w:tc>
          <w:tcPr>
            <w:tcW w:w="19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1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0.55</w:t>
            </w:r>
          </w:p>
        </w:tc>
        <w:tc>
          <w:tcPr>
            <w:tcW w:w="234"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b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jc w:val="both"/>
        <w:rPr/>
      </w:pPr>
      <w:r>
        <w:rPr>
          <w:rStyle w:val="StrongEmphasis"/>
        </w:rPr>
        <w:t xml:space="preserve">ABOUT PENNANTPARK INVESTMENT ADVISERS, LLC </w:t>
      </w:r>
    </w:p>
    <w:p>
      <w:pPr>
        <w:pStyle w:val="TextBody"/>
        <w:bidi w:val="0"/>
        <w:jc w:val="both"/>
        <w:rPr/>
      </w:pPr>
      <w:r>
        <w:rPr/>
        <w:t xml:space="preserve">PennantPark Investment Advisers, LLC, a leading middle market credit platform, and its affiliates, manage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t>
      </w:r>
      <w:r>
        <w:rPr>
          <w:u w:val="single"/>
        </w:rPr>
        <w:t>www.pennantpark.com</w:t>
      </w:r>
      <w:r>
        <w:rPr/>
        <w:t>.</w:t>
      </w:r>
    </w:p>
    <w:p>
      <w:pPr>
        <w:pStyle w:val="TextBody"/>
        <w:bidi w:val="0"/>
        <w:jc w:val="both"/>
        <w:rPr/>
      </w:pPr>
      <w:r>
        <w:rPr>
          <w:rStyle w:val="StrongEmphasis"/>
        </w:rPr>
        <w:t>FORWARD-LOOKING STATEMENTS AND OTHER</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4562" w:type="dxa"/>
        <w:jc w:val="center"/>
        <w:tblInd w:w="0" w:type="dxa"/>
        <w:tblLayout w:type="fixed"/>
        <w:tblCellMar>
          <w:top w:w="28" w:type="dxa"/>
          <w:left w:w="28" w:type="dxa"/>
          <w:bottom w:w="28" w:type="dxa"/>
          <w:right w:w="28" w:type="dxa"/>
        </w:tblCellMar>
      </w:tblPr>
      <w:tblGrid>
        <w:gridCol w:w="916"/>
        <w:gridCol w:w="3646"/>
      </w:tblGrid>
      <w:tr>
        <w:trPr/>
        <w:tc>
          <w:tcPr>
            <w:tcW w:w="916" w:type="dxa"/>
            <w:tcBorders/>
            <w:vAlign w:val="center"/>
          </w:tcPr>
          <w:p>
            <w:pPr>
              <w:pStyle w:val="TableContents"/>
              <w:bidi w:val="0"/>
              <w:spacing w:before="0" w:after="283"/>
              <w:jc w:val="left"/>
              <w:rPr/>
            </w:pPr>
            <w:r>
              <w:rPr/>
              <w:t>Contact:</w:t>
            </w:r>
          </w:p>
        </w:tc>
        <w:tc>
          <w:tcPr>
            <w:tcW w:w="3646" w:type="dxa"/>
            <w:tcBorders/>
            <w:vAlign w:val="center"/>
          </w:tcPr>
          <w:p>
            <w:pPr>
              <w:pStyle w:val="TableContents"/>
              <w:bidi w:val="0"/>
              <w:spacing w:before="0" w:after="283"/>
              <w:jc w:val="left"/>
              <w:rPr/>
            </w:pPr>
            <w:r>
              <w:rPr/>
              <w:t>Richard T. Allorto, Jr.</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PennantPark Investment Corporation</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(212) 905-1000</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u w:val="single"/>
              </w:rPr>
            </w:pPr>
            <w:r>
              <w:rPr>
                <w:u w:val="single"/>
              </w:rPr>
              <w:t>www.pennantpark.com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4754</Words>
  <Characters>26822</Characters>
  <CharactersWithSpaces>31847</CharactersWithSpaces>
  <Paragraphs>1257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