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708062104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2008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0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6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0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(ENTITY ONLY)</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CLOUGH CAPITAL PARTNERS L.P.</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6.92%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IA — Investment Adviser</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0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(ENTITY ONLY)</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CLOUGH CAPITAL PARTNERS LLC</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6.92%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0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(ENTITY ONLY)</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CHARLES I. CLOUGH, JR.</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6.92%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0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(ENTITY ONLY)</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JAMES E. CANTY</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6.92%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0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(ENTITY ONLY)</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ERIC A. BROCK</w:t>
            </w:r>
          </w:p>
        </w:tc>
        <w:tc>
          <w:tcPr>
            <w:tcW w:w="2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1,457,125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6.92% (see Item 4)</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PennantPark Investment Corporation</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8"/>
          <w:szCs w:val="18"/>
          <w:color w:val="auto"/>
        </w:rPr>
        <w:t>(a)and (c)</w:t>
      </w:r>
      <w:r>
        <w:rPr>
          <w:sz w:val="20"/>
          <w:szCs w:val="20"/>
          <w:color w:val="auto"/>
        </w:rPr>
        <w:tab/>
      </w:r>
      <w:r>
        <w:rPr>
          <w:rFonts w:ascii="Arial" w:cs="Arial" w:eastAsia="Arial" w:hAnsi="Arial"/>
          <w:sz w:val="16"/>
          <w:szCs w:val="16"/>
          <w:color w:val="auto"/>
        </w:rPr>
        <w:t>Name and Domicile/Citizenship of Persons Filing:</w:t>
      </w:r>
    </w:p>
    <w:p>
      <w:pPr>
        <w:spacing w:after="0" w:line="117" w:lineRule="exact"/>
        <w:rPr>
          <w:sz w:val="20"/>
          <w:szCs w:val="20"/>
          <w:color w:val="auto"/>
        </w:rPr>
      </w:pPr>
    </w:p>
    <w:p>
      <w:pPr>
        <w:ind w:left="1260" w:hanging="455"/>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Clough Capital Partners L.P., a Delaware limited partnership.</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Clough Capital Partners LLC, a Delaware limited liability company.</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Charles I. Clough, Jr., a United States citizen.</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James E. Canty, a United States citizen.</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Eric A. Brock, a United States citizen.</w:t>
      </w:r>
    </w:p>
    <w:p>
      <w:pPr>
        <w:spacing w:after="0" w:line="117" w:lineRule="exact"/>
        <w:rPr>
          <w:rFonts w:ascii="Arial" w:cs="Arial" w:eastAsia="Arial" w:hAnsi="Arial"/>
          <w:sz w:val="18"/>
          <w:szCs w:val="18"/>
          <w:color w:val="auto"/>
        </w:rPr>
      </w:pPr>
    </w:p>
    <w:p>
      <w:pPr>
        <w:jc w:val="both"/>
        <w:ind w:left="780" w:right="6560" w:hanging="556"/>
        <w:spacing w:after="0" w:line="469"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Each of the Reporting Persons has a business address of: One Post Office Square, 40th Floor, Boston, MA 02109.</w:t>
      </w:r>
    </w:p>
    <w:p>
      <w:pPr>
        <w:spacing w:after="0" w:line="1" w:lineRule="exact"/>
        <w:rPr>
          <w:sz w:val="20"/>
          <w:szCs w:val="20"/>
          <w:color w:val="auto"/>
        </w:rPr>
      </w:pPr>
    </w:p>
    <w:p>
      <w:pPr>
        <w:ind w:left="780" w:hanging="55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$0.01 per share.</w:t>
      </w:r>
    </w:p>
    <w:p>
      <w:pPr>
        <w:spacing w:after="0" w:line="130" w:lineRule="exact"/>
        <w:rPr>
          <w:rFonts w:ascii="Arial" w:cs="Arial" w:eastAsia="Arial" w:hAnsi="Arial"/>
          <w:sz w:val="18"/>
          <w:szCs w:val="18"/>
          <w:color w:val="auto"/>
        </w:rPr>
      </w:pPr>
    </w:p>
    <w:p>
      <w:pPr>
        <w:ind w:left="780" w:hanging="55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 708062104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ITEM 3. IF THIS STATEMENT IS FILED PURSUANT TO RULE 13D-1(B), OR 13D-2(B) OR (C), CHECK WHETHER THE PERSON FILING IS A:</w:t>
      </w:r>
    </w:p>
    <w:p>
      <w:pPr>
        <w:spacing w:after="0" w:line="129" w:lineRule="exact"/>
        <w:rPr>
          <w:sz w:val="20"/>
          <w:szCs w:val="20"/>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7" w:lineRule="exact"/>
        <w:rPr>
          <w:rFonts w:ascii="Arial" w:cs="Arial" w:eastAsia="Arial" w:hAnsi="Arial"/>
          <w:sz w:val="18"/>
          <w:szCs w:val="18"/>
          <w:color w:val="auto"/>
        </w:rPr>
      </w:pPr>
    </w:p>
    <w:p>
      <w:pPr>
        <w:ind w:left="560" w:hanging="336"/>
        <w:spacing w:after="0" w:line="207" w:lineRule="exact"/>
        <w:tabs>
          <w:tab w:leader="none" w:pos="5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Advisers Act or under the laws of any State</w:t>
      </w:r>
    </w:p>
    <w:p>
      <w:pPr>
        <w:spacing w:after="0" w:line="163" w:lineRule="exact"/>
        <w:rPr>
          <w:rFonts w:ascii="Arial" w:cs="Arial" w:eastAsia="Arial" w:hAnsi="Arial"/>
          <w:sz w:val="18"/>
          <w:szCs w:val="18"/>
          <w:color w:val="auto"/>
        </w:rPr>
      </w:pPr>
    </w:p>
    <w:p>
      <w:pPr>
        <w:ind w:left="860" w:right="80" w:hanging="636"/>
        <w:spacing w:after="0" w:line="277" w:lineRule="auto"/>
        <w:tabs>
          <w:tab w:leader="none" w:pos="563" w:val="left"/>
        </w:tabs>
        <w:numPr>
          <w:ilvl w:val="0"/>
          <w:numId w:val="7"/>
        </w:numPr>
        <w:rPr>
          <w:rFonts w:ascii="Arial" w:cs="Arial" w:eastAsia="Arial" w:hAnsi="Arial"/>
          <w:sz w:val="18"/>
          <w:szCs w:val="18"/>
          <w:color w:val="auto"/>
        </w:rPr>
      </w:pPr>
      <w:r>
        <w:rPr>
          <w:rFonts w:ascii="Arial" w:cs="Arial" w:eastAsia="Arial" w:hAnsi="Arial"/>
          <w:sz w:val="18"/>
          <w:szCs w:val="18"/>
          <w:color w:val="auto"/>
        </w:rPr>
        <w:t>o Employee Benefit Plan, Pension fund which is subject to the provisions of the Employee Retirement Income Security Act of 1974 or Endowment Fund; see Section 240.13d-1(b)(1)(ii)(F)</w:t>
      </w:r>
    </w:p>
    <w:p>
      <w:pPr>
        <w:spacing w:after="0" w:line="43" w:lineRule="exact"/>
        <w:rPr>
          <w:rFonts w:ascii="Arial" w:cs="Arial" w:eastAsia="Arial" w:hAnsi="Arial"/>
          <w:sz w:val="18"/>
          <w:szCs w:val="18"/>
          <w:color w:val="auto"/>
        </w:rPr>
      </w:pPr>
    </w:p>
    <w:p>
      <w:pPr>
        <w:ind w:left="560" w:hanging="336"/>
        <w:spacing w:after="0" w:line="207" w:lineRule="exact"/>
        <w:tabs>
          <w:tab w:leader="none" w:pos="5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240.13d-1(b)(ii)(G) (Note: See Item 7)</w:t>
      </w:r>
    </w:p>
    <w:p>
      <w:pPr>
        <w:spacing w:after="0" w:line="163"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  A Church Plan that is excluded from the definition of an investment company under Section 3(c)(14) of the Investment Company Act of 1940</w:t>
      </w:r>
    </w:p>
    <w:p>
      <w:pPr>
        <w:spacing w:after="0" w:line="142" w:lineRule="exact"/>
        <w:rPr>
          <w:rFonts w:ascii="Arial" w:cs="Arial" w:eastAsia="Arial" w:hAnsi="Arial"/>
          <w:sz w:val="17"/>
          <w:szCs w:val="17"/>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120" w:hanging="437"/>
        <w:spacing w:after="0"/>
        <w:tabs>
          <w:tab w:leader="none" w:pos="11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Amount Beneficially Owned: 1,457,125*</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2"/>
          <w:numId w:val="8"/>
        </w:numPr>
        <w:rPr>
          <w:rFonts w:ascii="Arial" w:cs="Arial" w:eastAsia="Arial" w:hAnsi="Arial"/>
          <w:sz w:val="18"/>
          <w:szCs w:val="18"/>
          <w:color w:val="auto"/>
        </w:rPr>
      </w:pPr>
      <w:r>
        <w:rPr>
          <w:rFonts w:ascii="Arial" w:cs="Arial" w:eastAsia="Arial" w:hAnsi="Arial"/>
          <w:sz w:val="18"/>
          <w:szCs w:val="18"/>
          <w:color w:val="auto"/>
        </w:rPr>
        <w:t>Percent of Class: 6.92%*</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2"/>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580" w:hanging="438"/>
        <w:spacing w:after="0"/>
        <w:tabs>
          <w:tab w:leader="none" w:pos="1580" w:val="left"/>
        </w:tabs>
        <w:numPr>
          <w:ilvl w:val="3"/>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3"/>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1,457,125*</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3"/>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3"/>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1,457,125*</w:t>
      </w:r>
    </w:p>
    <w:p>
      <w:pPr>
        <w:spacing w:after="0" w:line="319" w:lineRule="exact"/>
        <w:rPr>
          <w:rFonts w:ascii="Arial" w:cs="Arial" w:eastAsia="Arial" w:hAnsi="Arial"/>
          <w:sz w:val="18"/>
          <w:szCs w:val="18"/>
          <w:color w:val="auto"/>
        </w:rPr>
      </w:pPr>
    </w:p>
    <w:p>
      <w:pPr>
        <w:ind w:left="460" w:right="520" w:hanging="446"/>
        <w:spacing w:after="0" w:line="29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shares reported above include shares beneficially owned by investment companies, pooled investment vehicles and other accounts for which Clough Capital Partners L.P. serves as investment adviser. Such shares may be deemed beneficially owner by (a) Clough Capital Partners L.P.,</w:t>
      </w:r>
    </w:p>
    <w:p>
      <w:pPr>
        <w:ind w:left="460" w:right="20" w:hanging="6"/>
        <w:spacing w:after="0" w:line="255" w:lineRule="auto"/>
        <w:tabs>
          <w:tab w:leader="none" w:pos="715" w:val="left"/>
        </w:tabs>
        <w:numPr>
          <w:ilvl w:val="1"/>
          <w:numId w:val="9"/>
        </w:numPr>
        <w:rPr>
          <w:rFonts w:ascii="Arial" w:cs="Arial" w:eastAsia="Arial" w:hAnsi="Arial"/>
          <w:sz w:val="18"/>
          <w:szCs w:val="18"/>
          <w:color w:val="auto"/>
        </w:rPr>
      </w:pPr>
      <w:r>
        <w:rPr>
          <w:rFonts w:ascii="Arial" w:cs="Arial" w:eastAsia="Arial" w:hAnsi="Arial"/>
          <w:sz w:val="18"/>
          <w:szCs w:val="18"/>
          <w:color w:val="auto"/>
        </w:rPr>
        <w:t>Clough Capital Partners LLC, the general partner of Clough Capital Partners L.P., and (c) Messrs. Clough, Canty and Brock, the managing members of Clough Capital Partners LLC. Each such reporting person disclaims beneficial ownership of such shares except to the extent of its respective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 holding and percent of class data set forth above is reported as of the date of the filing of this statement on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7"/>
          <w:szCs w:val="17"/>
          <w:color w:val="auto"/>
        </w:rPr>
        <w:t>o</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740" w:right="60" w:hanging="728"/>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117" w:lineRule="exact"/>
        <w:rPr>
          <w:sz w:val="20"/>
          <w:szCs w:val="20"/>
          <w:color w:val="auto"/>
        </w:rPr>
      </w:pPr>
    </w:p>
    <w:p>
      <w:pPr>
        <w:jc w:val="both"/>
        <w:ind w:right="140" w:firstLine="225"/>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6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9"/>
              </w:rPr>
              <w:t>Page</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2009</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p>
      <w:pPr>
        <w:ind w:left="536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Clough Capital Partners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E. Canty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CLOUGH CAPITAL PARTNERS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E. Canty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Charles I. Clough</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Charles I. Clough, Jr.,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James E. Canty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E. Canty,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Eric A. Brock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Eric A. Brock,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870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 w:name="page11"/>
    <w:bookmarkEnd w:id="10"/>
    <w:p>
      <w:pPr>
        <w:ind w:left="10760"/>
        <w:spacing w:after="0"/>
        <w:rPr>
          <w:sz w:val="20"/>
          <w:szCs w:val="20"/>
          <w:color w:val="auto"/>
        </w:rPr>
      </w:pPr>
      <w:r>
        <w:rPr>
          <w:rFonts w:ascii="Arial" w:cs="Arial" w:eastAsia="Arial" w:hAnsi="Arial"/>
          <w:sz w:val="17"/>
          <w:szCs w:val="17"/>
          <w:color w:val="auto"/>
        </w:rPr>
        <w:t>Exhibit 1</w:t>
      </w:r>
    </w:p>
    <w:p>
      <w:pPr>
        <w:spacing w:after="0" w:line="129"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This statement on Schedule 13G (and any amendments hereto) is filed by (a) Clough Capital Partners L.P., (b) Clough Capital Partners LLC, the general partner of Clough Capital Partners L.P., and (c) each of Charles I. Clough, Jr., James E. Canty and Eric A. Brock, the managing members of Clough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This Joint Filing Agreement, dated as of February 9, 2009, is by and among Clough Capital Partners L.P., a Delaware limited partnership, Clough Capital Partners LLC, a Delaware limited liability company, Charles I. Clough, Jr., James E. Canty and Eric A. Brock (the foregoing are collectively referred to herein as the “Clough Capital Filers”).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Each of the Clough Capital Filers may be required to file with the United States Securities and Exchange Commission a statement on Schedule 13G (and amendments thereto) with respect to shares of Common Stock, par value $0.01 per share, of PennantPark Investment Corporation., a Maryland corporation, beneficially owned by them from time to time.</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Clough Capital Filers hereby agree to file a single statement on Schedule 13G (and any amendments thereto) on behalf of each of the Clough Capital Filers, and hereby further agree to file this Joint Filing Agreement as an exhibit to such statement, as required by such rule.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Joint Filing Agreement may be terminated by any of the Clough Capital Filers upon written notice to the other Clough Capital Filers.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rPr>
              <w:t>CLOUGH CAPITAL PARTNERS L.P.</w:t>
            </w:r>
          </w:p>
        </w:tc>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20" w:type="dxa"/>
            <w:vAlign w:val="bottom"/>
            <w:gridSpan w:val="3"/>
          </w:tcPr>
          <w:p>
            <w:pPr>
              <w:spacing w:after="0"/>
              <w:rPr>
                <w:sz w:val="20"/>
                <w:szCs w:val="20"/>
                <w:color w:val="auto"/>
              </w:rPr>
            </w:pPr>
            <w:r>
              <w:rPr>
                <w:rFonts w:ascii="Arial" w:cs="Arial" w:eastAsia="Arial" w:hAnsi="Arial"/>
                <w:sz w:val="18"/>
                <w:szCs w:val="18"/>
                <w:color w:val="auto"/>
              </w:rPr>
              <w:t>By  Clough Capital Partners LLC,</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I. Clough</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3940" w:type="dxa"/>
            <w:vAlign w:val="bottom"/>
            <w:gridSpan w:val="2"/>
          </w:tcPr>
          <w:p>
            <w:pPr>
              <w:spacing w:after="0"/>
              <w:rPr>
                <w:sz w:val="20"/>
                <w:szCs w:val="20"/>
                <w:color w:val="auto"/>
              </w:rPr>
            </w:pPr>
            <w:r>
              <w:rPr>
                <w:rFonts w:ascii="Arial" w:cs="Arial" w:eastAsia="Arial" w:hAnsi="Arial"/>
                <w:sz w:val="18"/>
                <w:szCs w:val="18"/>
                <w:color w:val="auto"/>
              </w:rPr>
              <w:t>Charles I. Clough, Jr., individually</w:t>
            </w:r>
          </w:p>
        </w:tc>
        <w:tc>
          <w:tcPr>
            <w:tcW w:w="0" w:type="dxa"/>
            <w:vAlign w:val="bottom"/>
          </w:tcPr>
          <w:p>
            <w:pPr>
              <w:spacing w:after="0"/>
              <w:rPr>
                <w:sz w:val="1"/>
                <w:szCs w:val="1"/>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By: /s/ James E. Canty</w:t>
            </w:r>
          </w:p>
        </w:tc>
        <w:tc>
          <w:tcPr>
            <w:tcW w:w="3940" w:type="dxa"/>
            <w:vAlign w:val="bottom"/>
            <w:gridSpan w:val="2"/>
          </w:tcPr>
          <w:p>
            <w:pPr>
              <w:spacing w:after="0"/>
              <w:rPr>
                <w:sz w:val="20"/>
                <w:szCs w:val="20"/>
                <w:color w:val="auto"/>
              </w:rPr>
            </w:pPr>
            <w:r>
              <w:rPr>
                <w:rFonts w:ascii="Arial" w:cs="Arial" w:eastAsia="Arial" w:hAnsi="Arial"/>
                <w:sz w:val="18"/>
                <w:szCs w:val="18"/>
                <w:color w:val="auto"/>
              </w:rPr>
              <w:t>/s/ James E. Canty</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 individually</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 managing member</w:t>
            </w:r>
          </w:p>
        </w:tc>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20" w:type="dxa"/>
            <w:vAlign w:val="bottom"/>
            <w:gridSpan w:val="3"/>
          </w:tcPr>
          <w:p>
            <w:pPr>
              <w:spacing w:after="0"/>
              <w:rPr>
                <w:sz w:val="20"/>
                <w:szCs w:val="20"/>
                <w:color w:val="auto"/>
              </w:rPr>
            </w:pPr>
            <w:r>
              <w:rPr>
                <w:rFonts w:ascii="Arial" w:cs="Arial" w:eastAsia="Arial" w:hAnsi="Arial"/>
                <w:sz w:val="18"/>
                <w:szCs w:val="18"/>
                <w:color w:val="auto"/>
              </w:rPr>
              <w:t>CLOUGH CAPITAL PARTNERS LLC</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A. Brock</w:t>
            </w:r>
          </w:p>
        </w:tc>
        <w:tc>
          <w:tcPr>
            <w:tcW w:w="0" w:type="dxa"/>
            <w:vAlign w:val="bottom"/>
          </w:tcPr>
          <w:p>
            <w:pPr>
              <w:spacing w:after="0"/>
              <w:rPr>
                <w:sz w:val="1"/>
                <w:szCs w:val="1"/>
                <w:color w:val="auto"/>
              </w:rPr>
            </w:pPr>
          </w:p>
        </w:tc>
      </w:tr>
      <w:tr>
        <w:trPr>
          <w:trHeight w:val="224"/>
        </w:trPr>
        <w:tc>
          <w:tcPr>
            <w:tcW w:w="6120" w:type="dxa"/>
            <w:vAlign w:val="bottom"/>
            <w:gridSpan w:val="3"/>
            <w:vMerge w:val="restart"/>
          </w:tcPr>
          <w:p>
            <w:pPr>
              <w:spacing w:after="0"/>
              <w:rPr>
                <w:sz w:val="20"/>
                <w:szCs w:val="20"/>
                <w:color w:val="auto"/>
              </w:rPr>
            </w:pPr>
            <w:r>
              <w:rPr>
                <w:rFonts w:ascii="Arial" w:cs="Arial" w:eastAsia="Arial" w:hAnsi="Arial"/>
                <w:sz w:val="18"/>
                <w:szCs w:val="18"/>
                <w:color w:val="auto"/>
              </w:rPr>
              <w:t>By: /s/ James E. Canty</w:t>
            </w:r>
          </w:p>
        </w:tc>
        <w:tc>
          <w:tcPr>
            <w:tcW w:w="3940" w:type="dxa"/>
            <w:vAlign w:val="bottom"/>
            <w:gridSpan w:val="2"/>
          </w:tcPr>
          <w:p>
            <w:pPr>
              <w:spacing w:after="0"/>
              <w:rPr>
                <w:sz w:val="20"/>
                <w:szCs w:val="20"/>
                <w:color w:val="auto"/>
              </w:rPr>
            </w:pPr>
            <w:r>
              <w:rPr>
                <w:rFonts w:ascii="Arial" w:cs="Arial" w:eastAsia="Arial" w:hAnsi="Arial"/>
                <w:sz w:val="18"/>
                <w:szCs w:val="18"/>
                <w:color w:val="auto"/>
              </w:rPr>
              <w:t>Eric A. Brock, individually</w:t>
            </w:r>
          </w:p>
        </w:tc>
        <w:tc>
          <w:tcPr>
            <w:tcW w:w="0" w:type="dxa"/>
            <w:vAlign w:val="bottom"/>
          </w:tcPr>
          <w:p>
            <w:pPr>
              <w:spacing w:after="0"/>
              <w:rPr>
                <w:sz w:val="1"/>
                <w:szCs w:val="1"/>
                <w:color w:val="auto"/>
              </w:rPr>
            </w:pPr>
          </w:p>
        </w:tc>
      </w:tr>
      <w:tr>
        <w:trPr>
          <w:trHeight w:val="202"/>
        </w:trPr>
        <w:tc>
          <w:tcPr>
            <w:tcW w:w="6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 managing member</w:t>
            </w:r>
          </w:p>
        </w:tc>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lvl w:ilvl="1">
      <w:lvlJc w:val="left"/>
      <w:lvlText w:val="(%2)"/>
      <w:numFmt w:val="lowerRoman"/>
      <w:start w:val="1"/>
    </w:lvl>
  </w:abstractNum>
  <w:abstractNum w:abstractNumId="4">
    <w:nsid w:val="41B71EFB"/>
    <w:multiLevelType w:val="hybridMultilevel"/>
    <w:lvl w:ilvl="0">
      <w:lvlJc w:val="left"/>
      <w:lvlText w:val="(%1)"/>
      <w:numFmt w:val="lowerLetter"/>
      <w:start w:val="2"/>
    </w:lvl>
    <w:lvl w:ilvl="1">
      <w:lvlJc w:val="left"/>
      <w:lvlText w:val="%2"/>
      <w:numFmt w:val="lowerRoman"/>
      <w:start w:val="1"/>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
    <w:nsid w:val="5BD062C2"/>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2019-12-11T02:50:25Z</dcterms:created>
  <dcterms:modified xsi:type="dcterms:W3CDTF">2019-12-11T02:50:25Z</dcterms:modified>
</cp:coreProperties>
</file>