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19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FORM 10-K/A</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(Amendment No. 1)</w:t>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3"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72"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6"/>
          <w:szCs w:val="16"/>
          <w:b w:val="1"/>
          <w:bCs w:val="1"/>
          <w:color w:val="auto"/>
        </w:rPr>
        <w:t>FOR THE FISCAL YEAR ENDED SEPTEMBER 30, 2025</w:t>
      </w:r>
    </w:p>
    <w:p>
      <w:pPr>
        <w:spacing w:after="0" w:line="92"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92"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15" w:lineRule="exact"/>
        <w:rPr>
          <w:sz w:val="24"/>
          <w:szCs w:val="24"/>
          <w:color w:val="auto"/>
        </w:rPr>
      </w:pPr>
    </w:p>
    <w:p>
      <w:pPr>
        <w:ind w:left="3480"/>
        <w:spacing w:after="0"/>
        <w:tabs>
          <w:tab w:leader="none" w:pos="68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COMMISSION FILE NUMBER: 814-00736</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PENNANTPARK INVESTMENT CORPORATION</w:t>
      </w:r>
    </w:p>
    <w:p>
      <w:pPr>
        <w:sectPr>
          <w:pgSz w:w="11900" w:h="16840" w:orient="portrait"/>
          <w:cols w:equalWidth="0" w:num="1">
            <w:col w:w="10520"/>
          </w:cols>
          <w:pgMar w:left="660" w:top="1393" w:right="720" w:bottom="1440" w:gutter="0" w:footer="0" w:header="0"/>
        </w:sectPr>
      </w:pPr>
    </w:p>
    <w:p>
      <w:pPr>
        <w:spacing w:after="0" w:line="3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7"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3"/>
          <w:szCs w:val="13"/>
          <w:b w:val="1"/>
          <w:bCs w:val="1"/>
          <w:color w:val="auto"/>
        </w:rPr>
        <w:t>MARYLAND</w:t>
      </w:r>
    </w:p>
    <w:p>
      <w:pPr>
        <w:spacing w:after="0" w:line="66"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1"/>
          <w:szCs w:val="11"/>
          <w:b w:val="1"/>
          <w:bCs w:val="1"/>
          <w:color w:val="auto"/>
        </w:rPr>
        <w:t>(State or other jurisdiction of incorporation or organization)</w:t>
      </w:r>
    </w:p>
    <w:p>
      <w:pPr>
        <w:spacing w:after="0" w:line="150"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3"/>
          <w:szCs w:val="13"/>
          <w:b w:val="1"/>
          <w:bCs w:val="1"/>
          <w:color w:val="auto"/>
        </w:rPr>
        <w:t>1691 Michigan Avenue</w:t>
      </w:r>
    </w:p>
    <w:p>
      <w:pPr>
        <w:spacing w:after="0" w:line="23"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3"/>
          <w:szCs w:val="13"/>
          <w:b w:val="1"/>
          <w:bCs w:val="1"/>
          <w:color w:val="auto"/>
        </w:rPr>
        <w:t>Miami Beach, Florida.</w:t>
      </w:r>
    </w:p>
    <w:p>
      <w:pPr>
        <w:spacing w:after="0" w:line="8"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145" w:lineRule="exact"/>
        <w:rPr>
          <w:sz w:val="24"/>
          <w:szCs w:val="24"/>
          <w:color w:val="auto"/>
        </w:rPr>
      </w:pPr>
    </w:p>
    <w:p>
      <w:pPr>
        <w:jc w:val="center"/>
        <w:ind w:left="3840"/>
        <w:spacing w:after="0"/>
        <w:rPr>
          <w:sz w:val="20"/>
          <w:szCs w:val="20"/>
          <w:color w:val="auto"/>
        </w:rPr>
      </w:pPr>
      <w:r>
        <w:rPr>
          <w:rFonts w:ascii="Times New Roman" w:cs="Times New Roman" w:eastAsia="Times New Roman" w:hAnsi="Times New Roman"/>
          <w:sz w:val="13"/>
          <w:szCs w:val="13"/>
          <w:b w:val="1"/>
          <w:bCs w:val="1"/>
          <w:color w:val="auto"/>
        </w:rPr>
        <w:t>(786) 297-9500</w:t>
      </w:r>
    </w:p>
    <w:p>
      <w:pPr>
        <w:spacing w:after="0" w:line="24"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3"/>
          <w:szCs w:val="13"/>
          <w:b w:val="1"/>
          <w:bCs w:val="1"/>
          <w:color w:val="auto"/>
        </w:rPr>
        <w:t>20-8250744</w:t>
      </w:r>
    </w:p>
    <w:p>
      <w:pPr>
        <w:spacing w:after="0" w:line="43"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3"/>
          <w:szCs w:val="13"/>
          <w:b w:val="1"/>
          <w:bCs w:val="1"/>
          <w:color w:val="auto"/>
        </w:rPr>
        <w:t>(I.R.S. Employer Identification No.)</w:t>
      </w:r>
    </w:p>
    <w:p>
      <w:pPr>
        <w:spacing w:after="0" w:line="223"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3"/>
          <w:szCs w:val="13"/>
          <w:b w:val="1"/>
          <w:bCs w:val="1"/>
          <w:color w:val="auto"/>
        </w:rPr>
        <w:t>33319</w:t>
      </w:r>
    </w:p>
    <w:p>
      <w:pPr>
        <w:spacing w:after="0" w:line="103"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907" w:lineRule="exact"/>
        <w:rPr>
          <w:sz w:val="24"/>
          <w:szCs w:val="24"/>
          <w:color w:val="auto"/>
        </w:rPr>
      </w:pPr>
    </w:p>
    <w:p>
      <w:pPr>
        <w:sectPr>
          <w:pgSz w:w="11900" w:h="16840" w:orient="portrait"/>
          <w:cols w:equalWidth="0" w:num="2">
            <w:col w:w="6740" w:space="240"/>
            <w:col w:w="3540"/>
          </w:cols>
          <w:pgMar w:left="660" w:top="1393" w:right="720" w:bottom="1440" w:gutter="0" w:footer="0" w:header="0"/>
          <w:type w:val="continuous"/>
        </w:sectPr>
      </w:pPr>
    </w:p>
    <w:p>
      <w:pPr>
        <w:ind w:left="1600"/>
        <w:spacing w:after="0"/>
        <w:tabs>
          <w:tab w:leader="none" w:pos="4740" w:val="left"/>
          <w:tab w:leader="none" w:pos="7140" w:val="left"/>
        </w:tabs>
        <w:rPr>
          <w:sz w:val="20"/>
          <w:szCs w:val="20"/>
          <w:color w:val="auto"/>
        </w:rPr>
      </w:pPr>
      <w:r>
        <w:rPr>
          <w:rFonts w:ascii="Times New Roman" w:cs="Times New Roman" w:eastAsia="Times New Roman" w:hAnsi="Times New Roman"/>
          <w:sz w:val="13"/>
          <w:szCs w:val="13"/>
          <w:b w:val="1"/>
          <w:bCs w:val="1"/>
          <w:color w:val="auto"/>
        </w:rPr>
        <w:t>Title of Each Class</w:t>
      </w:r>
      <w:r>
        <w:rPr>
          <w:sz w:val="20"/>
          <w:szCs w:val="20"/>
          <w:color w:val="auto"/>
        </w:rPr>
        <w:tab/>
      </w:r>
      <w:r>
        <w:rPr>
          <w:rFonts w:ascii="Times New Roman" w:cs="Times New Roman" w:eastAsia="Times New Roman" w:hAnsi="Times New Roman"/>
          <w:sz w:val="13"/>
          <w:szCs w:val="13"/>
          <w:b w:val="1"/>
          <w:bCs w:val="1"/>
          <w:color w:val="auto"/>
        </w:rPr>
        <w:t>Trading Symbol(s)</w:t>
      </w:r>
      <w:r>
        <w:rPr>
          <w:sz w:val="20"/>
          <w:szCs w:val="20"/>
          <w:color w:val="auto"/>
        </w:rPr>
        <w:tab/>
      </w:r>
      <w:r>
        <w:rPr>
          <w:rFonts w:ascii="Times New Roman" w:cs="Times New Roman" w:eastAsia="Times New Roman" w:hAnsi="Times New Roman"/>
          <w:sz w:val="13"/>
          <w:szCs w:val="13"/>
          <w:b w:val="1"/>
          <w:bCs w:val="1"/>
          <w:color w:val="auto"/>
        </w:rPr>
        <w:t>Name of Each Exchange on Which Registered</w:t>
      </w:r>
    </w:p>
    <w:p>
      <w:pPr>
        <w:spacing w:after="0" w:line="23" w:lineRule="exact"/>
        <w:rPr>
          <w:sz w:val="24"/>
          <w:szCs w:val="24"/>
          <w:color w:val="auto"/>
        </w:rPr>
      </w:pPr>
    </w:p>
    <w:p>
      <w:pPr>
        <w:ind w:left="980"/>
        <w:spacing w:after="0"/>
        <w:tabs>
          <w:tab w:leader="none" w:pos="5100" w:val="left"/>
          <w:tab w:leader="none" w:pos="7600" w:val="left"/>
        </w:tabs>
        <w:rPr>
          <w:sz w:val="20"/>
          <w:szCs w:val="20"/>
          <w:color w:val="auto"/>
        </w:rPr>
      </w:pPr>
      <w:r>
        <w:rPr>
          <w:rFonts w:ascii="Times New Roman" w:cs="Times New Roman" w:eastAsia="Times New Roman" w:hAnsi="Times New Roman"/>
          <w:sz w:val="13"/>
          <w:szCs w:val="13"/>
          <w:color w:val="auto"/>
        </w:rPr>
        <w:t>Common Stock, par value $0.001 per share</w:t>
      </w:r>
      <w:r>
        <w:rPr>
          <w:sz w:val="20"/>
          <w:szCs w:val="20"/>
          <w:color w:val="auto"/>
        </w:rPr>
        <w:tab/>
      </w:r>
      <w:r>
        <w:rPr>
          <w:rFonts w:ascii="Times New Roman" w:cs="Times New Roman" w:eastAsia="Times New Roman" w:hAnsi="Times New Roman"/>
          <w:sz w:val="13"/>
          <w:szCs w:val="13"/>
          <w:color w:val="auto"/>
        </w:rPr>
        <w:t>PNNT</w:t>
      </w:r>
      <w:r>
        <w:rPr>
          <w:sz w:val="20"/>
          <w:szCs w:val="20"/>
          <w:color w:val="auto"/>
        </w:rPr>
        <w:tab/>
      </w:r>
      <w:r>
        <w:rPr>
          <w:rFonts w:ascii="Times New Roman" w:cs="Times New Roman" w:eastAsia="Times New Roman" w:hAnsi="Times New Roman"/>
          <w:sz w:val="13"/>
          <w:szCs w:val="13"/>
          <w:color w:val="auto"/>
        </w:rPr>
        <w:t>The New York Stock Exchange</w:t>
      </w:r>
    </w:p>
    <w:p>
      <w:pPr>
        <w:spacing w:after="0" w:line="135"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p>
      <w:pPr>
        <w:spacing w:after="0" w:line="69" w:lineRule="exact"/>
        <w:rPr>
          <w:sz w:val="24"/>
          <w:szCs w:val="24"/>
          <w:color w:val="auto"/>
        </w:rPr>
      </w:pPr>
    </w:p>
    <w:p>
      <w:pPr>
        <w:ind w:left="420"/>
        <w:spacing w:after="0"/>
        <w:tabs>
          <w:tab w:leader="none" w:pos="6740" w:val="left"/>
          <w:tab w:leader="none" w:pos="7180" w:val="left"/>
          <w:tab w:leader="none" w:pos="7440" w:val="left"/>
        </w:tabs>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tab/>
        <w:t>Yes</w:t>
      </w:r>
      <w:r>
        <w:rPr>
          <w:sz w:val="20"/>
          <w:szCs w:val="20"/>
          <w:color w:val="auto"/>
        </w:rPr>
        <w:tab/>
      </w:r>
      <w:r>
        <w:rPr>
          <w:rFonts w:ascii="Times New Roman" w:cs="Times New Roman" w:eastAsia="Times New Roman" w:hAnsi="Times New Roman"/>
          <w:sz w:val="13"/>
          <w:szCs w:val="13"/>
          <w:color w:val="auto"/>
        </w:rPr>
        <w:t>No</w:t>
        <w:tab/>
        <w:t>.</w:t>
      </w:r>
    </w:p>
    <w:p>
      <w:pPr>
        <w:spacing w:after="0" w:line="67" w:lineRule="exact"/>
        <w:rPr>
          <w:sz w:val="24"/>
          <w:szCs w:val="24"/>
          <w:color w:val="auto"/>
        </w:rPr>
      </w:pPr>
    </w:p>
    <w:p>
      <w:pPr>
        <w:ind w:left="420"/>
        <w:spacing w:after="0"/>
        <w:tabs>
          <w:tab w:leader="none" w:pos="6840" w:val="left"/>
          <w:tab w:leader="none" w:pos="7300" w:val="left"/>
          <w:tab w:leader="none" w:pos="7560" w:val="left"/>
        </w:tabs>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tab/>
        <w:t>Yes</w:t>
      </w:r>
      <w:r>
        <w:rPr>
          <w:sz w:val="20"/>
          <w:szCs w:val="20"/>
          <w:color w:val="auto"/>
        </w:rPr>
        <w:tab/>
      </w:r>
      <w:r>
        <w:rPr>
          <w:rFonts w:ascii="Times New Roman" w:cs="Times New Roman" w:eastAsia="Times New Roman" w:hAnsi="Times New Roman"/>
          <w:sz w:val="13"/>
          <w:szCs w:val="13"/>
          <w:color w:val="auto"/>
        </w:rPr>
        <w:t>No</w:t>
        <w:tab/>
        <w:t>.</w:t>
      </w:r>
    </w:p>
    <w:p>
      <w:pPr>
        <w:spacing w:after="0" w:line="67"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w:t>
      </w:r>
    </w:p>
    <w:p>
      <w:pPr>
        <w:spacing w:after="0" w:line="21" w:lineRule="exact"/>
        <w:rPr>
          <w:sz w:val="24"/>
          <w:szCs w:val="24"/>
          <w:color w:val="auto"/>
        </w:rPr>
      </w:pPr>
    </w:p>
    <w:p>
      <w:pPr>
        <w:spacing w:after="0"/>
        <w:tabs>
          <w:tab w:leader="none" w:pos="7760" w:val="left"/>
          <w:tab w:leader="none" w:pos="8220" w:val="left"/>
          <w:tab w:leader="none" w:pos="8500" w:val="left"/>
        </w:tabs>
        <w:rPr>
          <w:sz w:val="20"/>
          <w:szCs w:val="20"/>
          <w:color w:val="auto"/>
        </w:rPr>
      </w:pPr>
      <w:r>
        <w:rPr>
          <w:rFonts w:ascii="Times New Roman" w:cs="Times New Roman" w:eastAsia="Times New Roman" w:hAnsi="Times New Roman"/>
          <w:sz w:val="13"/>
          <w:szCs w:val="13"/>
          <w:color w:val="auto"/>
        </w:rPr>
        <w:t>such shorter period that the registrant was required to file such reports), and (2) has been subject to such filing requirements for the past 90 days.</w:t>
        <w:tab/>
        <w:t>Yes</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Times New Roman" w:cs="Times New Roman" w:eastAsia="Times New Roman" w:hAnsi="Times New Roman"/>
          <w:sz w:val="8"/>
          <w:szCs w:val="8"/>
          <w:color w:val="auto"/>
        </w:rPr>
        <w:t>.</w:t>
      </w:r>
    </w:p>
    <w:p>
      <w:pPr>
        <w:spacing w:after="0" w:line="53"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w:t>
      </w:r>
    </w:p>
    <w:p>
      <w:pPr>
        <w:spacing w:after="0" w:line="21" w:lineRule="exact"/>
        <w:rPr>
          <w:sz w:val="24"/>
          <w:szCs w:val="24"/>
          <w:color w:val="auto"/>
        </w:rPr>
      </w:pPr>
    </w:p>
    <w:p>
      <w:pPr>
        <w:spacing w:after="0"/>
        <w:tabs>
          <w:tab w:leader="none" w:pos="6480" w:val="left"/>
          <w:tab w:leader="none" w:pos="6960" w:val="left"/>
        </w:tabs>
        <w:rPr>
          <w:sz w:val="20"/>
          <w:szCs w:val="20"/>
          <w:color w:val="auto"/>
        </w:rPr>
      </w:pPr>
      <w:r>
        <w:rPr>
          <w:rFonts w:ascii="Times New Roman" w:cs="Times New Roman" w:eastAsia="Times New Roman" w:hAnsi="Times New Roman"/>
          <w:sz w:val="13"/>
          <w:szCs w:val="13"/>
          <w:color w:val="auto"/>
        </w:rPr>
        <w:t>chapter) during the preceding 12 months (or for such shorter period that the registrant was required to submit such files).</w:t>
        <w:tab/>
        <w:t>Yes</w:t>
      </w:r>
      <w:r>
        <w:rPr>
          <w:sz w:val="20"/>
          <w:szCs w:val="20"/>
          <w:color w:val="auto"/>
        </w:rPr>
        <w:tab/>
      </w:r>
      <w:r>
        <w:rPr>
          <w:rFonts w:ascii="Times New Roman" w:cs="Times New Roman" w:eastAsia="Times New Roman" w:hAnsi="Times New Roman"/>
          <w:sz w:val="13"/>
          <w:szCs w:val="13"/>
          <w:color w:val="auto"/>
        </w:rPr>
        <w:t>No</w:t>
      </w:r>
    </w:p>
    <w:p>
      <w:pPr>
        <w:spacing w:after="0" w:line="53" w:lineRule="exact"/>
        <w:rPr>
          <w:sz w:val="24"/>
          <w:szCs w:val="24"/>
          <w:color w:val="auto"/>
        </w:rPr>
      </w:pPr>
    </w:p>
    <w:p>
      <w:pPr>
        <w:ind w:right="260" w:firstLine="420"/>
        <w:spacing w:after="0" w:line="269"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tabs>
          <w:tab w:leader="none" w:pos="8140" w:val="left"/>
        </w:tabs>
        <w:rPr>
          <w:sz w:val="20"/>
          <w:szCs w:val="20"/>
          <w:color w:val="auto"/>
        </w:rPr>
      </w:pPr>
      <w:r>
        <w:rPr>
          <w:rFonts w:ascii="Times New Roman" w:cs="Times New Roman" w:eastAsia="Times New Roman" w:hAnsi="Times New Roman"/>
          <w:sz w:val="13"/>
          <w:szCs w:val="13"/>
          <w:color w:val="auto"/>
        </w:rPr>
        <w:t>Large accelerated filer</w:t>
      </w:r>
      <w:r>
        <w:rPr>
          <w:sz w:val="20"/>
          <w:szCs w:val="20"/>
          <w:color w:val="auto"/>
        </w:rPr>
        <w:tab/>
      </w:r>
      <w:r>
        <w:rPr>
          <w:rFonts w:ascii="Times New Roman" w:cs="Times New Roman" w:eastAsia="Times New Roman" w:hAnsi="Times New Roman"/>
          <w:sz w:val="13"/>
          <w:szCs w:val="13"/>
          <w:color w:val="auto"/>
        </w:rPr>
        <w:t>Accelerated filer</w:t>
      </w:r>
    </w:p>
    <w:p>
      <w:pPr>
        <w:spacing w:after="0" w:line="91" w:lineRule="exact"/>
        <w:rPr>
          <w:sz w:val="24"/>
          <w:szCs w:val="24"/>
          <w:color w:val="auto"/>
        </w:rPr>
      </w:pPr>
    </w:p>
    <w:p>
      <w:pPr>
        <w:spacing w:after="0"/>
        <w:tabs>
          <w:tab w:leader="none" w:pos="8140" w:val="left"/>
        </w:tabs>
        <w:rPr>
          <w:sz w:val="20"/>
          <w:szCs w:val="20"/>
          <w:color w:val="auto"/>
        </w:rPr>
      </w:pPr>
      <w:r>
        <w:rPr>
          <w:rFonts w:ascii="Times New Roman" w:cs="Times New Roman" w:eastAsia="Times New Roman" w:hAnsi="Times New Roman"/>
          <w:sz w:val="13"/>
          <w:szCs w:val="13"/>
          <w:color w:val="auto"/>
        </w:rPr>
        <w:t>Non-accelerated filer</w:t>
      </w:r>
      <w:r>
        <w:rPr>
          <w:sz w:val="20"/>
          <w:szCs w:val="20"/>
          <w:color w:val="auto"/>
        </w:rPr>
        <w:tab/>
      </w:r>
      <w:r>
        <w:rPr>
          <w:rFonts w:ascii="Times New Roman" w:cs="Times New Roman" w:eastAsia="Times New Roman" w:hAnsi="Times New Roman"/>
          <w:sz w:val="13"/>
          <w:szCs w:val="13"/>
          <w:color w:val="auto"/>
        </w:rPr>
        <w:t>Smaller reporting company</w:t>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91" w:lineRule="exact"/>
        <w:rPr>
          <w:sz w:val="24"/>
          <w:szCs w:val="24"/>
          <w:color w:val="auto"/>
        </w:rPr>
      </w:pPr>
    </w:p>
    <w:p>
      <w:pPr>
        <w:ind w:right="300" w:firstLine="420"/>
        <w:spacing w:after="0" w:line="286" w:lineRule="auto"/>
        <w:rPr>
          <w:sz w:val="20"/>
          <w:szCs w:val="20"/>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40" w:lineRule="exact"/>
        <w:rPr>
          <w:sz w:val="24"/>
          <w:szCs w:val="24"/>
          <w:color w:val="auto"/>
        </w:rPr>
      </w:pPr>
    </w:p>
    <w:p>
      <w:pPr>
        <w:ind w:right="260" w:firstLine="420"/>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40" w:lineRule="exact"/>
        <w:rPr>
          <w:sz w:val="24"/>
          <w:szCs w:val="24"/>
          <w:color w:val="auto"/>
        </w:rPr>
      </w:pPr>
    </w:p>
    <w:p>
      <w:pPr>
        <w:ind w:right="40" w:firstLine="420"/>
        <w:spacing w:after="0" w:line="286" w:lineRule="auto"/>
        <w:rPr>
          <w:sz w:val="20"/>
          <w:szCs w:val="20"/>
          <w:color w:val="auto"/>
        </w:rPr>
      </w:pPr>
      <w:r>
        <w:rPr>
          <w:rFonts w:ascii="Times New Roman" w:cs="Times New Roman" w:eastAsia="Times New Roman" w:hAnsi="Times New Roman"/>
          <w:sz w:val="13"/>
          <w:szCs w:val="13"/>
          <w:color w:val="auto"/>
        </w:rPr>
        <w:t>If securities are registered pursuant to Section (b) of the Act, indicate by check mark whether the financial statements of the registrant included in the filing reflect the correction of an error to previously issued financial statements.</w:t>
      </w:r>
    </w:p>
    <w:p>
      <w:pPr>
        <w:spacing w:after="0" w:line="40" w:lineRule="exact"/>
        <w:rPr>
          <w:sz w:val="24"/>
          <w:szCs w:val="24"/>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Indicate by check mark whether any of these error corrections are restatements that required a recovery analysis of incentive-based compensation received by any of the registrant's executive officers during the relevant recovery period pursuant to §240.10D-1(b).</w:t>
      </w:r>
    </w:p>
    <w:p>
      <w:pPr>
        <w:spacing w:after="0" w:line="16" w:lineRule="exact"/>
        <w:rPr>
          <w:sz w:val="24"/>
          <w:szCs w:val="24"/>
          <w:color w:val="auto"/>
        </w:rPr>
      </w:pPr>
    </w:p>
    <w:p>
      <w:pPr>
        <w:ind w:left="420"/>
        <w:spacing w:after="0"/>
        <w:tabs>
          <w:tab w:leader="none" w:pos="6540" w:val="left"/>
          <w:tab w:leader="none" w:pos="6980" w:val="left"/>
          <w:tab w:leader="none" w:pos="724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Yes</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Times New Roman" w:cs="Times New Roman" w:eastAsia="Times New Roman" w:hAnsi="Times New Roman"/>
          <w:sz w:val="8"/>
          <w:szCs w:val="8"/>
          <w:color w:val="auto"/>
        </w:rPr>
        <w:t>.</w:t>
      </w:r>
    </w:p>
    <w:p>
      <w:pPr>
        <w:spacing w:after="0" w:line="67" w:lineRule="exact"/>
        <w:rPr>
          <w:sz w:val="24"/>
          <w:szCs w:val="24"/>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The aggregate market value of common stock held by non- affiliates of the Registrant on March 31, 2025 based on the closing price on that date of $7.03 on The New York Stock Exchange was approximately $443.6 million. For the purposes of calculating the aggregate market value of common stock held by non-affiliates, all directors and executive officers of the Registrant have been treated as affiliates. There were 65,296,094 shares of the Registrant’s common stock outstanding as of January 22, 2026 Documents Incorporated by Reference: Portions of the Registrant’s Proxy Statement relating to the Registrant’s 2026 Annual Meeting of Stockholders to be filed not later than 120 days after the end of the fiscal year covered by this Annual Report on Form 10-K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579755</wp:posOffset>
            </wp:positionV>
            <wp:extent cx="673290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393" w:right="720" w:bottom="1440" w:gutter="0" w:footer="0" w:header="0"/>
          <w:type w:val="continuous"/>
        </w:sectPr>
      </w:pPr>
    </w:p>
    <w:bookmarkStart w:id="1" w:name="page2"/>
    <w:bookmarkEnd w:id="1"/>
    <w:p>
      <w:pPr>
        <w:jc w:val="center"/>
        <w:ind w:right="-459"/>
        <w:spacing w:after="0"/>
        <w:rPr>
          <w:sz w:val="20"/>
          <w:szCs w:val="20"/>
          <w:color w:val="auto"/>
        </w:rPr>
      </w:pPr>
      <w:r>
        <w:rPr>
          <w:rFonts w:ascii="Times New Roman" w:cs="Times New Roman" w:eastAsia="Times New Roman" w:hAnsi="Times New Roman"/>
          <w:sz w:val="13"/>
          <w:szCs w:val="13"/>
          <w:b w:val="1"/>
          <w:bCs w:val="1"/>
          <w:color w:val="auto"/>
        </w:rPr>
        <w:t>EXPLANATORY NOTE</w:t>
      </w:r>
    </w:p>
    <w:p>
      <w:pPr>
        <w:spacing w:after="0" w:line="285" w:lineRule="exact"/>
        <w:rPr>
          <w:sz w:val="20"/>
          <w:szCs w:val="20"/>
          <w:color w:val="auto"/>
        </w:rPr>
      </w:pPr>
    </w:p>
    <w:p>
      <w:pPr>
        <w:jc w:val="both"/>
        <w:ind w:right="200" w:firstLine="420"/>
        <w:spacing w:after="0" w:line="268" w:lineRule="auto"/>
        <w:rPr>
          <w:sz w:val="20"/>
          <w:szCs w:val="20"/>
          <w:color w:val="auto"/>
        </w:rPr>
      </w:pPr>
      <w:r>
        <w:rPr>
          <w:rFonts w:ascii="Times New Roman" w:cs="Times New Roman" w:eastAsia="Times New Roman" w:hAnsi="Times New Roman"/>
          <w:sz w:val="13"/>
          <w:szCs w:val="13"/>
          <w:color w:val="auto"/>
        </w:rPr>
        <w:t>PennantPark Investment Corporation, a Maryland corporation, or together with its subsidiaries, where applicable, or the Company, which may also be referred to as “we,” “us” or “our,” is filing this Amendment No. 1, or this Amendment, to our Annual Report on Form 10-K for the fiscal year ended September 30, 2025, or the Form 10-K, which was initially filed with the Securities and Exchange Commission, or the SEC, on November 24, 2025.</w:t>
      </w:r>
    </w:p>
    <w:p>
      <w:pPr>
        <w:spacing w:after="0" w:line="243"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We are filing this Amendment to clarify that the financial information disclosed in Note 13 for JF Intermediate, LLC and AKW Holdings Limited was audited as part of RSM US LLP’s audit of the consolidated statements of assets and liabilities of the Company and its subsidiaries, including the consolidated schedules of investments, as of September 30, 2025 and 2024, and the related consolidated statements of operations, changes in net assets and cash flows for each of the three years in the period ended September 30, 2025, and the related notes to the consolidated financial statements.</w:t>
      </w:r>
    </w:p>
    <w:p>
      <w:pPr>
        <w:spacing w:after="0" w:line="247"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This Amendment also includes the filing of new Exhibits 31.1, 31.2, 32.1 and 32.2, certifications of our Chief Executive Officer and Chief Financial Officer, pursuant to Rule 13a-14(a) and (b) of the Securities Exchange Act of 1934, as amended.</w:t>
      </w:r>
    </w:p>
    <w:p>
      <w:pPr>
        <w:spacing w:after="0" w:line="2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Except as described above, no other changes have been made to the Form 10-K.</w:t>
      </w:r>
    </w:p>
    <w:p>
      <w:pPr>
        <w:spacing w:after="0" w:line="283"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This Amendment does not reflect subsequent events that may have occurred after the original filing date of the Form 10-K or modify or update in any way disclosures made in the Form 10-K, except as required to reflect the revisions discussed above. Among other things, forward -looking statements made in the Form 10- K have not been revised to reflect events that occurred or facts that became known to us after filing of the Form 10-K, and such forward-looking statements should be read in their historical context. Furthermore, this Amendment should be read in conjunction with the Form 10-K and with our subsequent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784225</wp:posOffset>
            </wp:positionV>
            <wp:extent cx="673290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216" w:right="70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4"/>
        </w:trPr>
        <w:tc>
          <w:tcPr>
            <w:tcW w:w="5780" w:type="dxa"/>
            <w:vAlign w:val="bottom"/>
            <w:gridSpan w:val="9"/>
          </w:tcPr>
          <w:p>
            <w:pPr>
              <w:spacing w:after="0"/>
              <w:rPr>
                <w:sz w:val="20"/>
                <w:szCs w:val="20"/>
                <w:color w:val="auto"/>
              </w:rPr>
            </w:pPr>
            <w:r>
              <w:rPr>
                <w:rFonts w:ascii="Times New Roman" w:cs="Times New Roman" w:eastAsia="Times New Roman" w:hAnsi="Times New Roman"/>
                <w:sz w:val="13"/>
                <w:szCs w:val="13"/>
                <w:b w:val="1"/>
                <w:bCs w:val="1"/>
                <w:color w:val="auto"/>
              </w:rPr>
              <w:t>Item 8. Consolidated Financial Statements and Supplementary Data</w:t>
            </w:r>
          </w:p>
        </w:tc>
        <w:tc>
          <w:tcPr>
            <w:tcW w:w="4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5700" w:type="dxa"/>
            <w:vAlign w:val="bottom"/>
            <w:gridSpan w:val="8"/>
          </w:tcPr>
          <w:p>
            <w:pPr>
              <w:spacing w:after="0"/>
              <w:rPr>
                <w:sz w:val="20"/>
                <w:szCs w:val="20"/>
                <w:color w:val="auto"/>
              </w:rPr>
            </w:pPr>
            <w:r>
              <w:rPr>
                <w:rFonts w:ascii="Times New Roman" w:cs="Times New Roman" w:eastAsia="Times New Roman" w:hAnsi="Times New Roman"/>
                <w:sz w:val="13"/>
                <w:szCs w:val="13"/>
                <w:color w:val="0000FF"/>
              </w:rPr>
              <w:t>Management’s Report on Internal Control over Financial Reporting</w:t>
            </w:r>
          </w:p>
        </w:tc>
        <w:tc>
          <w:tcPr>
            <w:tcW w:w="4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284"/>
        </w:trPr>
        <w:tc>
          <w:tcPr>
            <w:tcW w:w="80" w:type="dxa"/>
            <w:vAlign w:val="bottom"/>
          </w:tcPr>
          <w:p>
            <w:pPr>
              <w:spacing w:after="0"/>
              <w:rPr>
                <w:sz w:val="24"/>
                <w:szCs w:val="24"/>
                <w:color w:val="auto"/>
              </w:rPr>
            </w:pPr>
          </w:p>
        </w:tc>
        <w:tc>
          <w:tcPr>
            <w:tcW w:w="5520" w:type="dxa"/>
            <w:vAlign w:val="bottom"/>
            <w:tcBorders>
              <w:bottom w:val="single" w:sz="8" w:color="0000EE"/>
            </w:tcBorders>
            <w:gridSpan w:val="7"/>
          </w:tcPr>
          <w:p>
            <w:pPr>
              <w:spacing w:after="0"/>
              <w:rPr>
                <w:rFonts w:ascii="Times New Roman" w:cs="Times New Roman" w:eastAsia="Times New Roman" w:hAnsi="Times New Roman"/>
                <w:sz w:val="13"/>
                <w:szCs w:val="13"/>
                <w:color w:val="0000FF"/>
              </w:rPr>
            </w:pPr>
            <w:hyperlink w:anchor="page5">
              <w:r>
                <w:rPr>
                  <w:rFonts w:ascii="Times New Roman" w:cs="Times New Roman" w:eastAsia="Times New Roman" w:hAnsi="Times New Roman"/>
                  <w:sz w:val="13"/>
                  <w:szCs w:val="13"/>
                  <w:color w:val="0000FF"/>
                </w:rPr>
                <w:t>Report of Independent Registered Public Accounting Firm on Internal Control over Financial Reporting</w:t>
              </w:r>
            </w:hyperlink>
          </w:p>
        </w:tc>
        <w:tc>
          <w:tcPr>
            <w:tcW w:w="180" w:type="dxa"/>
            <w:vAlign w:val="bottom"/>
          </w:tcPr>
          <w:p>
            <w:pPr>
              <w:spacing w:after="0"/>
              <w:rPr>
                <w:sz w:val="24"/>
                <w:szCs w:val="24"/>
                <w:color w:val="auto"/>
              </w:rPr>
            </w:pPr>
          </w:p>
        </w:tc>
        <w:tc>
          <w:tcPr>
            <w:tcW w:w="4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292"/>
        </w:trPr>
        <w:tc>
          <w:tcPr>
            <w:tcW w:w="80" w:type="dxa"/>
            <w:vAlign w:val="bottom"/>
          </w:tcPr>
          <w:p>
            <w:pPr>
              <w:spacing w:after="0"/>
              <w:rPr>
                <w:sz w:val="24"/>
                <w:szCs w:val="24"/>
                <w:color w:val="auto"/>
              </w:rPr>
            </w:pPr>
          </w:p>
        </w:tc>
        <w:tc>
          <w:tcPr>
            <w:tcW w:w="4080" w:type="dxa"/>
            <w:vAlign w:val="bottom"/>
            <w:tcBorders>
              <w:bottom w:val="single" w:sz="8" w:color="0000EE"/>
            </w:tcBorders>
            <w:gridSpan w:val="3"/>
          </w:tcPr>
          <w:p>
            <w:pPr>
              <w:spacing w:after="0"/>
              <w:rPr>
                <w:rFonts w:ascii="Times New Roman" w:cs="Times New Roman" w:eastAsia="Times New Roman" w:hAnsi="Times New Roman"/>
                <w:sz w:val="13"/>
                <w:szCs w:val="13"/>
                <w:color w:val="0000FF"/>
              </w:rPr>
            </w:pPr>
            <w:hyperlink w:anchor="page6">
              <w:r>
                <w:rPr>
                  <w:rFonts w:ascii="Times New Roman" w:cs="Times New Roman" w:eastAsia="Times New Roman" w:hAnsi="Times New Roman"/>
                  <w:sz w:val="13"/>
                  <w:szCs w:val="13"/>
                  <w:color w:val="0000FF"/>
                </w:rPr>
                <w:t>Report of Independent Registered Public Accounting Firm (PCAOB ID - 49)</w:t>
              </w:r>
            </w:hyperlink>
          </w:p>
        </w:tc>
        <w:tc>
          <w:tcPr>
            <w:tcW w:w="1620" w:type="dxa"/>
            <w:vAlign w:val="bottom"/>
            <w:gridSpan w:val="5"/>
          </w:tcPr>
          <w:p>
            <w:pPr>
              <w:spacing w:after="0"/>
              <w:rPr>
                <w:sz w:val="24"/>
                <w:szCs w:val="24"/>
                <w:color w:val="auto"/>
              </w:rPr>
            </w:pPr>
          </w:p>
        </w:tc>
        <w:tc>
          <w:tcPr>
            <w:tcW w:w="4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92"/>
        </w:trPr>
        <w:tc>
          <w:tcPr>
            <w:tcW w:w="80" w:type="dxa"/>
            <w:vAlign w:val="bottom"/>
          </w:tcPr>
          <w:p>
            <w:pPr>
              <w:spacing w:after="0"/>
              <w:rPr>
                <w:sz w:val="24"/>
                <w:szCs w:val="24"/>
                <w:color w:val="auto"/>
              </w:rPr>
            </w:pPr>
          </w:p>
        </w:tc>
        <w:tc>
          <w:tcPr>
            <w:tcW w:w="5700" w:type="dxa"/>
            <w:vAlign w:val="bottom"/>
            <w:gridSpan w:val="8"/>
          </w:tcPr>
          <w:p>
            <w:pPr>
              <w:spacing w:after="0"/>
              <w:rPr>
                <w:rFonts w:ascii="Times New Roman" w:cs="Times New Roman" w:eastAsia="Times New Roman" w:hAnsi="Times New Roman"/>
                <w:sz w:val="13"/>
                <w:szCs w:val="13"/>
                <w:color w:val="0000FF"/>
              </w:rPr>
            </w:pPr>
            <w:hyperlink w:anchor="page7">
              <w:r>
                <w:rPr>
                  <w:rFonts w:ascii="Times New Roman" w:cs="Times New Roman" w:eastAsia="Times New Roman" w:hAnsi="Times New Roman"/>
                  <w:sz w:val="13"/>
                  <w:szCs w:val="13"/>
                  <w:color w:val="0000FF"/>
                </w:rPr>
                <w:t>Consolidated Statements of Assets and Liabilities as of September 30, 2025 and 2024</w:t>
              </w:r>
            </w:hyperlink>
          </w:p>
        </w:tc>
        <w:tc>
          <w:tcPr>
            <w:tcW w:w="4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80" w:type="dxa"/>
            <w:vAlign w:val="bottom"/>
          </w:tcPr>
          <w:p>
            <w:pPr>
              <w:spacing w:after="0"/>
              <w:rPr>
                <w:sz w:val="24"/>
                <w:szCs w:val="24"/>
                <w:color w:val="auto"/>
              </w:rPr>
            </w:pPr>
          </w:p>
        </w:tc>
        <w:tc>
          <w:tcPr>
            <w:tcW w:w="5700" w:type="dxa"/>
            <w:vAlign w:val="bottom"/>
            <w:gridSpan w:val="8"/>
          </w:tcPr>
          <w:p>
            <w:pPr>
              <w:spacing w:after="0"/>
              <w:rPr>
                <w:rFonts w:ascii="Times New Roman" w:cs="Times New Roman" w:eastAsia="Times New Roman" w:hAnsi="Times New Roman"/>
                <w:sz w:val="13"/>
                <w:szCs w:val="13"/>
                <w:color w:val="0000FF"/>
              </w:rPr>
            </w:pPr>
            <w:hyperlink w:anchor="page8">
              <w:r>
                <w:rPr>
                  <w:rFonts w:ascii="Times New Roman" w:cs="Times New Roman" w:eastAsia="Times New Roman" w:hAnsi="Times New Roman"/>
                  <w:sz w:val="13"/>
                  <w:szCs w:val="13"/>
                  <w:color w:val="0000FF"/>
                </w:rPr>
                <w:t>Consolidated Statements of Operations for the years ended September 30, 2025, 2024 and 2023</w:t>
              </w:r>
            </w:hyperlink>
          </w:p>
        </w:tc>
        <w:tc>
          <w:tcPr>
            <w:tcW w:w="4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line="20" w:lineRule="exact"/>
              <w:rPr>
                <w:sz w:val="1"/>
                <w:szCs w:val="1"/>
                <w:color w:val="auto"/>
              </w:rPr>
            </w:pPr>
          </w:p>
        </w:tc>
      </w:tr>
      <w:tr>
        <w:trPr>
          <w:trHeight w:val="320"/>
        </w:trPr>
        <w:tc>
          <w:tcPr>
            <w:tcW w:w="80" w:type="dxa"/>
            <w:vAlign w:val="bottom"/>
          </w:tcPr>
          <w:p>
            <w:pPr>
              <w:spacing w:after="0"/>
              <w:rPr>
                <w:sz w:val="24"/>
                <w:szCs w:val="24"/>
                <w:color w:val="auto"/>
              </w:rPr>
            </w:pPr>
          </w:p>
        </w:tc>
        <w:tc>
          <w:tcPr>
            <w:tcW w:w="5700" w:type="dxa"/>
            <w:vAlign w:val="bottom"/>
            <w:gridSpan w:val="8"/>
            <w:vMerge w:val="restart"/>
          </w:tcPr>
          <w:p>
            <w:pPr>
              <w:spacing w:after="0"/>
              <w:rPr>
                <w:rFonts w:ascii="Times New Roman" w:cs="Times New Roman" w:eastAsia="Times New Roman" w:hAnsi="Times New Roman"/>
                <w:sz w:val="13"/>
                <w:szCs w:val="13"/>
                <w:color w:val="0000FF"/>
              </w:rPr>
            </w:pPr>
            <w:hyperlink w:anchor="page9">
              <w:r>
                <w:rPr>
                  <w:rFonts w:ascii="Times New Roman" w:cs="Times New Roman" w:eastAsia="Times New Roman" w:hAnsi="Times New Roman"/>
                  <w:sz w:val="13"/>
                  <w:szCs w:val="13"/>
                  <w:color w:val="0000FF"/>
                </w:rPr>
                <w:t>Consolidated Statements of Changes in Net Assets for the years ended September 30, 2025, 2024 and 2023</w:t>
              </w:r>
            </w:hyperlink>
          </w:p>
        </w:tc>
        <w:tc>
          <w:tcPr>
            <w:tcW w:w="4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5700" w:type="dxa"/>
            <w:vAlign w:val="bottom"/>
            <w:tcBorders>
              <w:bottom w:val="single" w:sz="8" w:color="0000EE"/>
            </w:tcBorders>
            <w:gridSpan w:val="8"/>
            <w:vMerge w:val="continue"/>
          </w:tcPr>
          <w:p>
            <w:pPr>
              <w:spacing w:after="0"/>
              <w:rPr>
                <w:sz w:val="9"/>
                <w:szCs w:val="9"/>
                <w:color w:val="auto"/>
              </w:rPr>
            </w:pPr>
          </w:p>
        </w:tc>
        <w:tc>
          <w:tcPr>
            <w:tcW w:w="4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80" w:type="dxa"/>
            <w:vAlign w:val="bottom"/>
          </w:tcPr>
          <w:p>
            <w:pPr>
              <w:spacing w:after="0"/>
              <w:rPr>
                <w:sz w:val="24"/>
                <w:szCs w:val="24"/>
                <w:color w:val="auto"/>
              </w:rPr>
            </w:pPr>
          </w:p>
        </w:tc>
        <w:tc>
          <w:tcPr>
            <w:tcW w:w="5100" w:type="dxa"/>
            <w:vAlign w:val="bottom"/>
            <w:tcBorders>
              <w:bottom w:val="single" w:sz="8" w:color="0000EE"/>
            </w:tcBorders>
            <w:gridSpan w:val="6"/>
          </w:tcPr>
          <w:p>
            <w:pPr>
              <w:spacing w:after="0"/>
              <w:rPr>
                <w:rFonts w:ascii="Times New Roman" w:cs="Times New Roman" w:eastAsia="Times New Roman" w:hAnsi="Times New Roman"/>
                <w:sz w:val="13"/>
                <w:szCs w:val="13"/>
                <w:color w:val="0000FF"/>
              </w:rPr>
            </w:pPr>
            <w:hyperlink w:anchor="page10">
              <w:r>
                <w:rPr>
                  <w:rFonts w:ascii="Times New Roman" w:cs="Times New Roman" w:eastAsia="Times New Roman" w:hAnsi="Times New Roman"/>
                  <w:sz w:val="13"/>
                  <w:szCs w:val="13"/>
                  <w:color w:val="0000FF"/>
                </w:rPr>
                <w:t>Consolidated Statements of Cash Flows for the years ended September 30, 2025, 2024 and 2023</w:t>
              </w:r>
            </w:hyperlink>
          </w:p>
        </w:tc>
        <w:tc>
          <w:tcPr>
            <w:tcW w:w="600" w:type="dxa"/>
            <w:vAlign w:val="bottom"/>
            <w:gridSpan w:val="2"/>
          </w:tcPr>
          <w:p>
            <w:pPr>
              <w:spacing w:after="0"/>
              <w:rPr>
                <w:sz w:val="24"/>
                <w:szCs w:val="24"/>
                <w:color w:val="auto"/>
              </w:rPr>
            </w:pPr>
          </w:p>
        </w:tc>
        <w:tc>
          <w:tcPr>
            <w:tcW w:w="4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292"/>
        </w:trPr>
        <w:tc>
          <w:tcPr>
            <w:tcW w:w="80" w:type="dxa"/>
            <w:vAlign w:val="bottom"/>
          </w:tcPr>
          <w:p>
            <w:pPr>
              <w:spacing w:after="0"/>
              <w:rPr>
                <w:sz w:val="24"/>
                <w:szCs w:val="24"/>
                <w:color w:val="auto"/>
              </w:rPr>
            </w:pPr>
          </w:p>
        </w:tc>
        <w:tc>
          <w:tcPr>
            <w:tcW w:w="4020" w:type="dxa"/>
            <w:vAlign w:val="bottom"/>
            <w:tcBorders>
              <w:bottom w:val="single" w:sz="8" w:color="0000EE"/>
            </w:tcBorders>
            <w:gridSpan w:val="2"/>
          </w:tcPr>
          <w:p>
            <w:pPr>
              <w:spacing w:after="0"/>
              <w:rPr>
                <w:rFonts w:ascii="Times New Roman" w:cs="Times New Roman" w:eastAsia="Times New Roman" w:hAnsi="Times New Roman"/>
                <w:sz w:val="13"/>
                <w:szCs w:val="13"/>
                <w:color w:val="0000FF"/>
              </w:rPr>
            </w:pPr>
            <w:hyperlink w:anchor="page11">
              <w:r>
                <w:rPr>
                  <w:rFonts w:ascii="Times New Roman" w:cs="Times New Roman" w:eastAsia="Times New Roman" w:hAnsi="Times New Roman"/>
                  <w:sz w:val="13"/>
                  <w:szCs w:val="13"/>
                  <w:color w:val="0000FF"/>
                </w:rPr>
                <w:t>Consolidated Schedules of Investments as of September 30, 2025 and 2024</w:t>
              </w:r>
            </w:hyperlink>
          </w:p>
        </w:tc>
        <w:tc>
          <w:tcPr>
            <w:tcW w:w="1680" w:type="dxa"/>
            <w:vAlign w:val="bottom"/>
            <w:gridSpan w:val="6"/>
          </w:tcPr>
          <w:p>
            <w:pPr>
              <w:spacing w:after="0"/>
              <w:rPr>
                <w:sz w:val="24"/>
                <w:szCs w:val="24"/>
                <w:color w:val="auto"/>
              </w:rPr>
            </w:pPr>
          </w:p>
        </w:tc>
        <w:tc>
          <w:tcPr>
            <w:tcW w:w="4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292"/>
        </w:trPr>
        <w:tc>
          <w:tcPr>
            <w:tcW w:w="80" w:type="dxa"/>
            <w:vAlign w:val="bottom"/>
          </w:tcPr>
          <w:p>
            <w:pPr>
              <w:spacing w:after="0"/>
              <w:rPr>
                <w:sz w:val="24"/>
                <w:szCs w:val="24"/>
                <w:color w:val="auto"/>
              </w:rPr>
            </w:pPr>
          </w:p>
        </w:tc>
        <w:tc>
          <w:tcPr>
            <w:tcW w:w="5700" w:type="dxa"/>
            <w:vAlign w:val="bottom"/>
            <w:gridSpan w:val="8"/>
          </w:tcPr>
          <w:p>
            <w:pPr>
              <w:spacing w:after="0"/>
              <w:rPr>
                <w:rFonts w:ascii="Times New Roman" w:cs="Times New Roman" w:eastAsia="Times New Roman" w:hAnsi="Times New Roman"/>
                <w:sz w:val="13"/>
                <w:szCs w:val="13"/>
                <w:color w:val="0000FF"/>
              </w:rPr>
            </w:pPr>
            <w:hyperlink w:anchor="page31">
              <w:r>
                <w:rPr>
                  <w:rFonts w:ascii="Times New Roman" w:cs="Times New Roman" w:eastAsia="Times New Roman" w:hAnsi="Times New Roman"/>
                  <w:sz w:val="13"/>
                  <w:szCs w:val="13"/>
                  <w:color w:val="0000FF"/>
                </w:rPr>
                <w:t>Notes to the Consolidated Financial Statements</w:t>
              </w:r>
            </w:hyperlink>
          </w:p>
        </w:tc>
        <w:tc>
          <w:tcPr>
            <w:tcW w:w="4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288"/>
        </w:trPr>
        <w:tc>
          <w:tcPr>
            <w:tcW w:w="80" w:type="dxa"/>
            <w:vAlign w:val="bottom"/>
          </w:tcPr>
          <w:p>
            <w:pPr>
              <w:spacing w:after="0"/>
              <w:rPr>
                <w:sz w:val="24"/>
                <w:szCs w:val="24"/>
                <w:color w:val="auto"/>
              </w:rPr>
            </w:pPr>
          </w:p>
        </w:tc>
        <w:tc>
          <w:tcPr>
            <w:tcW w:w="2500" w:type="dxa"/>
            <w:vAlign w:val="bottom"/>
            <w:tcBorders>
              <w:top w:val="single" w:sz="8" w:color="0000EE"/>
              <w:bottom w:val="single" w:sz="8" w:color="EEEEEE"/>
            </w:tcBorders>
          </w:tcPr>
          <w:p>
            <w:pPr>
              <w:spacing w:after="0"/>
              <w:rPr>
                <w:sz w:val="24"/>
                <w:szCs w:val="24"/>
                <w:color w:val="auto"/>
              </w:rPr>
            </w:pPr>
          </w:p>
        </w:tc>
        <w:tc>
          <w:tcPr>
            <w:tcW w:w="15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48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-27305</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156" w:right="68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Management’s Report on Internal Control Over Financial Reporting</w:t>
      </w:r>
    </w:p>
    <w:p>
      <w:pPr>
        <w:spacing w:after="0" w:line="129"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as such term is defined in Exchange Act Rule 13a-15(f), and for performing an assessment of the effectiveness of internal control over financial reporting as of September 30, 2025. Our internal control system is a process designed to provide reasonable assurance to our management and board of directors regarding the preparation and fair presentation of published financial statements.</w:t>
      </w:r>
    </w:p>
    <w:p>
      <w:pPr>
        <w:spacing w:after="0" w:line="91" w:lineRule="exact"/>
        <w:rPr>
          <w:sz w:val="20"/>
          <w:szCs w:val="20"/>
          <w:color w:val="auto"/>
        </w:rPr>
      </w:pPr>
    </w:p>
    <w:p>
      <w:pPr>
        <w:ind w:right="160" w:firstLine="420"/>
        <w:spacing w:after="0" w:line="262" w:lineRule="auto"/>
        <w:rPr>
          <w:sz w:val="20"/>
          <w:szCs w:val="20"/>
          <w:color w:val="auto"/>
        </w:rPr>
      </w:pPr>
      <w:r>
        <w:rPr>
          <w:rFonts w:ascii="Times New Roman" w:cs="Times New Roman" w:eastAsia="Times New Roman" w:hAnsi="Times New Roman"/>
          <w:sz w:val="13"/>
          <w:szCs w:val="13"/>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91" w:lineRule="exact"/>
        <w:rPr>
          <w:sz w:val="20"/>
          <w:szCs w:val="20"/>
          <w:color w:val="auto"/>
        </w:rPr>
      </w:pPr>
    </w:p>
    <w:p>
      <w:pPr>
        <w:ind w:right="200" w:firstLine="420"/>
        <w:spacing w:after="0" w:line="286" w:lineRule="auto"/>
        <w:rPr>
          <w:sz w:val="20"/>
          <w:szCs w:val="20"/>
          <w:color w:val="auto"/>
        </w:rPr>
      </w:pPr>
      <w:r>
        <w:rPr>
          <w:rFonts w:ascii="Times New Roman" w:cs="Times New Roman" w:eastAsia="Times New Roman" w:hAnsi="Times New Roman"/>
          <w:sz w:val="13"/>
          <w:szCs w:val="13"/>
          <w:color w:val="auto"/>
        </w:rPr>
        <w:t>A material weakness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w:t>
      </w:r>
    </w:p>
    <w:p>
      <w:pPr>
        <w:spacing w:after="0" w:line="76"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7"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Management assessed the effectiveness of PennantPark Investment’s internal control over financial reporting as of September 30, 2025. In making this assessment, we used the criteria set forth by the Committee of Sponsoring Organizations of the Treadway Commission in 2013 Internal Control—Integrated Framework. Based on such assessment management has determined that, as of September 30, 2025, we do not maintain effective internal control over financial reporting due to the material weakness described below.</w:t>
      </w:r>
    </w:p>
    <w:p>
      <w:pPr>
        <w:spacing w:after="0" w:line="87"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A material weakness was identified in the operations of control related to the Company's quarterly review of equity investment valuations with respect to the allocation of value of the portfolio company to the Company’s holdings. Although this material weakness did not result in any material misstatement of our consolidated financial statements for the periods presented, there is a possibility they could lead to a material misstatement of account balances or disclosures. Accordingly, management has concluded that this control deficiency constitutes a material weakness.</w:t>
      </w:r>
    </w:p>
    <w:p>
      <w:pPr>
        <w:spacing w:after="0" w:line="87"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Management believes that the financial statements included in this Annual Report on Form 10 -K present fairly, in all material respects, the Company’s financial position, results of its operations, changes in net assets and cash flows for the periods presented. We believe that the audited consolidated financial statements included in this Annual Report on Form 10-K are accurate. We have begun the process of, and we are focused on, further enhancing effective internal control measures to improve our internal control over financial reporting and remediate this material weakness. Our internal control remediation efforts include the following:</w:t>
      </w:r>
    </w:p>
    <w:p>
      <w:pPr>
        <w:spacing w:after="0" w:line="91" w:lineRule="exact"/>
        <w:rPr>
          <w:sz w:val="20"/>
          <w:szCs w:val="20"/>
          <w:color w:val="auto"/>
        </w:rPr>
      </w:pPr>
    </w:p>
    <w:p>
      <w:pPr>
        <w:ind w:left="700" w:right="500"/>
        <w:spacing w:after="0" w:line="286" w:lineRule="auto"/>
        <w:rPr>
          <w:sz w:val="20"/>
          <w:szCs w:val="20"/>
          <w:color w:val="auto"/>
        </w:rPr>
      </w:pPr>
      <w:r>
        <w:rPr>
          <w:rFonts w:ascii="Times New Roman" w:cs="Times New Roman" w:eastAsia="Times New Roman" w:hAnsi="Times New Roman"/>
          <w:sz w:val="13"/>
          <w:szCs w:val="13"/>
          <w:color w:val="auto"/>
        </w:rPr>
        <w:t>•Enhance existing review controls of equity investments related to the allocation of the portfolio company’s enterprise value to the Company’s holdings to ensure allocations are consistent with the relevant and respective source document; and</w:t>
      </w:r>
    </w:p>
    <w:p>
      <w:pPr>
        <w:spacing w:after="0" w:line="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color w:val="auto"/>
        </w:rPr>
        <w:t>•Enhancing policies and procedures to demonstrate commitment to improving our overall control environment.</w:t>
      </w:r>
    </w:p>
    <w:p>
      <w:pPr>
        <w:spacing w:after="0" w:line="139" w:lineRule="exact"/>
        <w:rPr>
          <w:sz w:val="20"/>
          <w:szCs w:val="20"/>
          <w:color w:val="auto"/>
        </w:rPr>
      </w:pPr>
    </w:p>
    <w:p>
      <w:pPr>
        <w:ind w:right="60" w:firstLine="420"/>
        <w:spacing w:after="0" w:line="268" w:lineRule="auto"/>
        <w:rPr>
          <w:sz w:val="20"/>
          <w:szCs w:val="20"/>
          <w:color w:val="auto"/>
        </w:rPr>
      </w:pPr>
      <w:r>
        <w:rPr>
          <w:rFonts w:ascii="Times New Roman" w:cs="Times New Roman" w:eastAsia="Times New Roman" w:hAnsi="Times New Roman"/>
          <w:sz w:val="13"/>
          <w:szCs w:val="13"/>
          <w:color w:val="auto"/>
        </w:rPr>
        <w:t>We believe our planned actions to enhance our processes and controls will address the material weakness, but these actions are subject to ongoing management evaluation, and we will need a period of execution to demonstrate remediation. We are committed to the continuous improvement of our internal control over financial reporting and will continue to diligently review our internal control over financial reporting.</w:t>
      </w:r>
    </w:p>
    <w:p>
      <w:pPr>
        <w:spacing w:after="0" w:line="87" w:lineRule="exact"/>
        <w:rPr>
          <w:sz w:val="20"/>
          <w:szCs w:val="20"/>
          <w:color w:val="auto"/>
        </w:rPr>
      </w:pPr>
    </w:p>
    <w:p>
      <w:pPr>
        <w:ind w:right="1880" w:firstLine="420"/>
        <w:spacing w:after="0" w:line="286" w:lineRule="auto"/>
        <w:rPr>
          <w:sz w:val="20"/>
          <w:szCs w:val="20"/>
          <w:color w:val="auto"/>
        </w:rPr>
      </w:pPr>
      <w:r>
        <w:rPr>
          <w:rFonts w:ascii="Times New Roman" w:cs="Times New Roman" w:eastAsia="Times New Roman" w:hAnsi="Times New Roman"/>
          <w:sz w:val="13"/>
          <w:szCs w:val="13"/>
          <w:color w:val="auto"/>
        </w:rPr>
        <w:t>PennantPark Investment's independent registered public accounting firm has issued an audit report on the effectiveness of our internal control over financial reporting as of September 30, 2025. This report appears on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774700</wp:posOffset>
            </wp:positionV>
            <wp:extent cx="673290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156" w:right="70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Stockholders and the Board of Directors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PennantPark Investment Corporation and Subsidiaries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Opinion on the Internal Control Over Financial Reporting</w:t>
      </w:r>
    </w:p>
    <w:p>
      <w:pPr>
        <w:spacing w:after="0" w:line="2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3"/>
          <w:szCs w:val="13"/>
          <w:color w:val="auto"/>
        </w:rPr>
        <w:t xml:space="preserve">We have audited PennantPark Investment Corporation and Subsidiaries (the Company) internal control over financial reporting as of September 30, 2025, based on criteria established in </w:t>
      </w:r>
      <w:r>
        <w:rPr>
          <w:rFonts w:ascii="Times New Roman" w:cs="Times New Roman" w:eastAsia="Times New Roman" w:hAnsi="Times New Roman"/>
          <w:sz w:val="13"/>
          <w:szCs w:val="13"/>
          <w:i w:val="1"/>
          <w:iCs w:val="1"/>
          <w:color w:val="auto"/>
        </w:rPr>
        <w:t>Internal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Control—Integrated Framework </w:t>
      </w:r>
      <w:r>
        <w:rPr>
          <w:rFonts w:ascii="Times New Roman" w:cs="Times New Roman" w:eastAsia="Times New Roman" w:hAnsi="Times New Roman"/>
          <w:sz w:val="13"/>
          <w:szCs w:val="13"/>
          <w:color w:val="auto"/>
        </w:rPr>
        <w:t>issued by the Committee of Sponsoring Organizations of the Treadway Commission in 2013. In our opinion, because of the effect of the material weakness described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below on the achievement of the objectives of the control criteria, the Company has not maintained effective internal control over financial reporting as of September 30, 2025, based on criteria established in </w:t>
      </w:r>
      <w:r>
        <w:rPr>
          <w:rFonts w:ascii="Times New Roman" w:cs="Times New Roman" w:eastAsia="Times New Roman" w:hAnsi="Times New Roman"/>
          <w:sz w:val="13"/>
          <w:szCs w:val="13"/>
          <w:i w:val="1"/>
          <w:iCs w:val="1"/>
          <w:color w:val="auto"/>
        </w:rPr>
        <w:t>Internal Control—Integrated Framework</w:t>
      </w:r>
      <w:r>
        <w:rPr>
          <w:rFonts w:ascii="Times New Roman" w:cs="Times New Roman" w:eastAsia="Times New Roman" w:hAnsi="Times New Roman"/>
          <w:sz w:val="13"/>
          <w:szCs w:val="13"/>
          <w:color w:val="auto"/>
        </w:rPr>
        <w:t xml:space="preserve"> issued by the Committee of Sponsoring Organizations of the Treadway Commission in 2013.</w:t>
      </w:r>
    </w:p>
    <w:p>
      <w:pPr>
        <w:spacing w:after="0" w:line="13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3"/>
          <w:szCs w:val="13"/>
          <w:color w:val="auto"/>
        </w:rPr>
        <w:t>We have also audited, in accordance with the standards of the Public Company Accounting Oversight Board (United States) (PCAOB), the consolidated statements of assets and liabilities, including the consolidated schedules of investments, as of September 30, 2025 and 2024, the related consolidated statements of operations, changes in net assets, and cash flows for each of the three years in the period ended September 30, 2025, and the related notes to the consolidated financial statements (collectively, the financial statements) of the Company and our report dated November 24, 2025, expressed an unqualified opinion.</w:t>
      </w:r>
    </w:p>
    <w:p>
      <w:pPr>
        <w:spacing w:after="0" w:line="12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3"/>
          <w:szCs w:val="13"/>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A material weakness was identified in the operation of controls related to the Company’s quarterly review of equity investment valuations with respect to the allocation of value of the portfolio company to the Company’s holdings. This material weakness was considered in determining the nature, timing and extent of audit tests applied in our audit of the 2025 financial statements, and this report does not affect our report dated November 24, 2025 on those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2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3"/>
          <w:szCs w:val="13"/>
          <w:color w:val="auto"/>
        </w:rPr>
        <w:t>The Company’s management is responsible for maintaining effective internal control over financial reporting and for its assessment of the effectiveness of internal control over financial reporting in the accompanying Management’s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33"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Definition and Limitations of Internal Control Over Financial Reporting</w:t>
      </w:r>
    </w:p>
    <w:p>
      <w:pPr>
        <w:spacing w:after="0" w:line="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RSM US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November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996315</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Stockholders and the Board of Directors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PennantPark Investment Corporation and Subsidiaries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Opinion on the Financial Statements</w:t>
      </w:r>
    </w:p>
    <w:p>
      <w:pPr>
        <w:spacing w:after="0" w:line="2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3"/>
          <w:szCs w:val="13"/>
          <w:color w:val="auto"/>
        </w:rPr>
        <w:t>We have audited the accompanying consolidated statements of assets and liabilities of PennantPark Investment Corporation and Subsidiaries (the Company), including the consolidated schedules of investments, as of September 30, 2025 and 2024, the related consolidated statements of operations, changes in net assets, and cash flows for each of the three years in the period ended September 30, 2025, and the related notes to the consolidated financial statements (collectively, the financial statements). In our opinion, the financial statements present fairly, in all material respects, the financial position of the Company as of September 30, 2025 and 2024, and the results of its operations, changes in net assets, and cash flows for each of the three years in the period ended September 30, 2025, in conformity with accounting principles generally accepted in the United States of America.</w:t>
      </w:r>
    </w:p>
    <w:p>
      <w:pPr>
        <w:spacing w:after="0" w:line="13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3"/>
          <w:szCs w:val="13"/>
          <w:color w:val="auto"/>
        </w:rPr>
        <w:t xml:space="preserve">We have also audited, in accordance with the standards of the Public Company Accounting Oversight Board (United States) (PCAOB), the Company’s internal control over financial reporting as of September 30, 2025, based on criteria established in </w:t>
      </w:r>
      <w:r>
        <w:rPr>
          <w:rFonts w:ascii="Times New Roman" w:cs="Times New Roman" w:eastAsia="Times New Roman" w:hAnsi="Times New Roman"/>
          <w:sz w:val="13"/>
          <w:szCs w:val="13"/>
          <w:i w:val="1"/>
          <w:iCs w:val="1"/>
          <w:color w:val="auto"/>
        </w:rPr>
        <w:t>Internal Control—Integrated Framework</w:t>
      </w:r>
      <w:r>
        <w:rPr>
          <w:rFonts w:ascii="Times New Roman" w:cs="Times New Roman" w:eastAsia="Times New Roman" w:hAnsi="Times New Roman"/>
          <w:sz w:val="13"/>
          <w:szCs w:val="13"/>
          <w:color w:val="auto"/>
        </w:rPr>
        <w:t xml:space="preserve"> issued by the Committee of Sponsoring Organizations of the Treadway Commission in 2013. Our report dated November 24, 2025, expressed an opinion that the Company had not maintained effective internal control over financial reporting as of September 30, 2025, based on criteria established in </w:t>
      </w:r>
      <w:r>
        <w:rPr>
          <w:rFonts w:ascii="Times New Roman" w:cs="Times New Roman" w:eastAsia="Times New Roman" w:hAnsi="Times New Roman"/>
          <w:sz w:val="13"/>
          <w:szCs w:val="13"/>
          <w:i w:val="1"/>
          <w:iCs w:val="1"/>
          <w:color w:val="auto"/>
        </w:rPr>
        <w:t xml:space="preserve">Internal Control—Integrated Framework </w:t>
      </w:r>
      <w:r>
        <w:rPr>
          <w:rFonts w:ascii="Times New Roman" w:cs="Times New Roman" w:eastAsia="Times New Roman" w:hAnsi="Times New Roman"/>
          <w:sz w:val="13"/>
          <w:szCs w:val="13"/>
          <w:color w:val="auto"/>
        </w:rPr>
        <w:t>issued by the Committee of Sponsoring Organizations of the Treadway Commission in 2013.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3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3"/>
          <w:szCs w:val="13"/>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w:t>
      </w:r>
    </w:p>
    <w:p>
      <w:pPr>
        <w:spacing w:after="0" w:line="11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3"/>
          <w:szCs w:val="13"/>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procedures included confirmation of securities owned as of September 30, 2025 and 2024, by correspondence with the custodian, underlying fund advisors, and by other appropriate auditing procedures.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Critical Audit Matters</w:t>
      </w:r>
    </w:p>
    <w:p>
      <w:pPr>
        <w:spacing w:after="0" w:line="2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3"/>
          <w:szCs w:val="13"/>
          <w:color w:val="auto"/>
        </w:rPr>
        <w:t>The critical audit matters communicated below is a matters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Level 3 Fair Value Measurements</w:t>
      </w:r>
    </w:p>
    <w:p>
      <w:pPr>
        <w:spacing w:after="0" w:line="2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3"/>
          <w:szCs w:val="13"/>
          <w:color w:val="auto"/>
        </w:rPr>
        <w:t>The fair value of the Company’s investments valued using Level 3 fair value measurements was approximately $1,088.0 million as of September 30, 2025. The fair value of the Company’s financial instruments classified as liabilities valued using Level 3 fair value measurements was approximately $425.5 million as of September 30, 2025. As discussed in Notes 2 and 5 to the consolidated financial statements, the Company’s investment portfolio generally consists of illiquid securities, including debt and equity investments, which were acquired directly from the issuer. Such investments include first lien secured debt, second lien secured debt, subordinated debt and equity investments. Additionally, the Company has elected to apply the fair value option to certain financial instruments classified as liabilities. The inputs into the determination of fair value require significant management judgment or estimation.</w:t>
      </w:r>
    </w:p>
    <w:p>
      <w:pPr>
        <w:spacing w:after="0" w:line="13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3"/>
          <w:szCs w:val="13"/>
          <w:color w:val="auto"/>
        </w:rPr>
        <w:t>We identified Level 3 fair value measurements as a critical audit matter due to the subjective nature of the judgments necessary for management to select valuation techniques and the use of significant unobservable inputs to estimate the fair value. Auditing the reasonableness of management’s selection of valuation technique and the related unobservable inputs required a high degree of auditor judgment and increased audit effort, including the use of a valuation specialist.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primary procedures we performed to address this critical audit matter included the following, among others:</w:t>
      </w:r>
    </w:p>
    <w:p>
      <w:pPr>
        <w:spacing w:after="0" w:line="16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3"/>
          <w:szCs w:val="13"/>
          <w:color w:val="auto"/>
        </w:rPr>
        <w:t>•With the assistance of our valuation specialists, we evaluated the appropriateness of the selected valuation techniques, and any changes to selected valuation techniques from prior periods, used for Level 3 fair value measurements. For a sample of investments, we evaluated both the reasonableness of the significant unobservable inputs and the reasonableness of any significant changes in significant unobservable inputs from prior periods, when applicable, by comparing the unobservable inputs to external sources, including, but not limited to:</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oHistorical operating results of the investee.</w:t>
      </w:r>
    </w:p>
    <w:p>
      <w:pPr>
        <w:spacing w:after="0" w:line="2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oAvailable market data for comparable companies.</w:t>
      </w:r>
    </w:p>
    <w:p>
      <w:pPr>
        <w:spacing w:after="0" w:line="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oSubsequent events and transactions, where available.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tested both the source information used to determine the unobservable input and the mathematical accuracy of the calculation used to compute the unobservable input for a sample of investments.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RSM US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have served as the Company's auditor since 2013.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November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683260</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ASSETS AND LIABILITIES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0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September 30, 2024</w:t>
            </w:r>
          </w:p>
        </w:tc>
      </w:tr>
      <w:tr>
        <w:trPr>
          <w:trHeight w:val="156"/>
        </w:trPr>
        <w:tc>
          <w:tcPr>
            <w:tcW w:w="20" w:type="dxa"/>
            <w:vAlign w:val="bottom"/>
          </w:tcPr>
          <w:p>
            <w:pPr>
              <w:spacing w:after="0"/>
              <w:rPr>
                <w:sz w:val="13"/>
                <w:szCs w:val="13"/>
                <w:color w:val="auto"/>
              </w:rPr>
            </w:pPr>
          </w:p>
        </w:tc>
        <w:tc>
          <w:tcPr>
            <w:tcW w:w="74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00" w:type="dxa"/>
            <w:vAlign w:val="bottom"/>
            <w:shd w:val="clear" w:color="auto" w:fill="CCECFF"/>
          </w:tcPr>
          <w:p>
            <w:pPr>
              <w:spacing w:after="0"/>
              <w:rPr>
                <w:sz w:val="13"/>
                <w:szCs w:val="13"/>
                <w:color w:val="auto"/>
              </w:rPr>
            </w:pPr>
          </w:p>
        </w:tc>
        <w:tc>
          <w:tcPr>
            <w:tcW w:w="12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2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Investments at fair value</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4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Non-controlled, non-affiliated investments (amortized cost—$853,416 and $916,168, respectively)</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857,415</w:t>
            </w:r>
          </w:p>
        </w:tc>
        <w:tc>
          <w:tcPr>
            <w:tcW w:w="240" w:type="dxa"/>
            <w:vAlign w:val="bottom"/>
            <w:shd w:val="clear" w:color="auto" w:fill="CCECFF"/>
          </w:tcPr>
          <w:p>
            <w:pPr>
              <w:spacing w:after="0"/>
              <w:rPr>
                <w:sz w:val="13"/>
                <w:szCs w:val="13"/>
                <w:color w:val="auto"/>
              </w:rPr>
            </w:pP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910,323</w:t>
            </w:r>
          </w:p>
        </w:tc>
        <w:tc>
          <w:tcPr>
            <w:tcW w:w="10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4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Non-controlled, affiliated investments (amortized cost—$36,561 and $56,734, respectively)</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33,423</w:t>
            </w:r>
          </w:p>
        </w:tc>
      </w:tr>
      <w:tr>
        <w:trPr>
          <w:trHeight w:val="156"/>
        </w:trPr>
        <w:tc>
          <w:tcPr>
            <w:tcW w:w="20" w:type="dxa"/>
            <w:vAlign w:val="bottom"/>
          </w:tcPr>
          <w:p>
            <w:pPr>
              <w:spacing w:after="0"/>
              <w:rPr>
                <w:sz w:val="13"/>
                <w:szCs w:val="13"/>
                <w:color w:val="auto"/>
              </w:rPr>
            </w:pPr>
          </w:p>
        </w:tc>
        <w:tc>
          <w:tcPr>
            <w:tcW w:w="74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Controlled, affiliated investments (amortized cost—$346,911 and $343,970, respectively)</w:t>
            </w:r>
          </w:p>
        </w:tc>
        <w:tc>
          <w:tcPr>
            <w:tcW w:w="10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424,967</w:t>
            </w:r>
          </w:p>
        </w:tc>
        <w:tc>
          <w:tcPr>
            <w:tcW w:w="2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384,304</w:t>
            </w:r>
          </w:p>
        </w:tc>
        <w:tc>
          <w:tcPr>
            <w:tcW w:w="100" w:type="dxa"/>
            <w:vAlign w:val="bottom"/>
            <w:shd w:val="clear" w:color="auto" w:fill="CCECFF"/>
          </w:tcPr>
          <w:p>
            <w:pPr>
              <w:spacing w:after="0"/>
              <w:rPr>
                <w:sz w:val="13"/>
                <w:szCs w:val="13"/>
                <w:color w:val="auto"/>
              </w:rPr>
            </w:pPr>
          </w:p>
        </w:tc>
      </w:tr>
      <w:tr>
        <w:trPr>
          <w:trHeight w:val="228"/>
        </w:trPr>
        <w:tc>
          <w:tcPr>
            <w:tcW w:w="20" w:type="dxa"/>
            <w:vAlign w:val="bottom"/>
          </w:tcPr>
          <w:p>
            <w:pPr>
              <w:spacing w:after="0"/>
              <w:rPr>
                <w:sz w:val="19"/>
                <w:szCs w:val="19"/>
                <w:color w:val="auto"/>
              </w:rPr>
            </w:pPr>
          </w:p>
        </w:tc>
        <w:tc>
          <w:tcPr>
            <w:tcW w:w="74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investments (amortized cost—$1,236,888 and $1,316,872, respectively)</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1,287,273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1,328,050</w:t>
            </w:r>
          </w:p>
        </w:tc>
        <w:tc>
          <w:tcPr>
            <w:tcW w:w="100" w:type="dxa"/>
            <w:vAlign w:val="bottom"/>
          </w:tcPr>
          <w:p>
            <w:pPr>
              <w:spacing w:after="0"/>
              <w:rPr>
                <w:sz w:val="19"/>
                <w:szCs w:val="19"/>
                <w:color w:val="auto"/>
              </w:rPr>
            </w:pPr>
          </w:p>
        </w:tc>
      </w:tr>
      <w:tr>
        <w:trPr>
          <w:trHeight w:val="156"/>
        </w:trPr>
        <w:tc>
          <w:tcPr>
            <w:tcW w:w="20" w:type="dxa"/>
            <w:vAlign w:val="bottom"/>
          </w:tcPr>
          <w:p>
            <w:pPr>
              <w:spacing w:after="0"/>
              <w:rPr>
                <w:sz w:val="13"/>
                <w:szCs w:val="13"/>
                <w:color w:val="auto"/>
              </w:rPr>
            </w:pPr>
          </w:p>
        </w:tc>
        <w:tc>
          <w:tcPr>
            <w:tcW w:w="74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Cash and cash equivalents (cost—$51,739 and $49,833, respectively)</w:t>
            </w:r>
          </w:p>
        </w:tc>
        <w:tc>
          <w:tcPr>
            <w:tcW w:w="10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51,783</w:t>
            </w:r>
          </w:p>
        </w:tc>
        <w:tc>
          <w:tcPr>
            <w:tcW w:w="2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3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49,861</w:t>
            </w:r>
          </w:p>
        </w:tc>
      </w:tr>
      <w:tr>
        <w:trPr>
          <w:trHeight w:val="156"/>
        </w:trPr>
        <w:tc>
          <w:tcPr>
            <w:tcW w:w="20" w:type="dxa"/>
            <w:vAlign w:val="bottom"/>
          </w:tcPr>
          <w:p>
            <w:pPr>
              <w:spacing w:after="0"/>
              <w:rPr>
                <w:sz w:val="13"/>
                <w:szCs w:val="13"/>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Interest receivable</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5,261</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4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Distribution receivable</w:t>
            </w:r>
          </w:p>
        </w:tc>
        <w:tc>
          <w:tcPr>
            <w:tcW w:w="10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4,694</w:t>
            </w:r>
          </w:p>
        </w:tc>
        <w:tc>
          <w:tcPr>
            <w:tcW w:w="2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5,417</w:t>
            </w:r>
          </w:p>
        </w:tc>
        <w:tc>
          <w:tcPr>
            <w:tcW w:w="10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Due from affiliates</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4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0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2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10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46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1,349,554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1,389,086</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4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00" w:type="dxa"/>
            <w:vAlign w:val="bottom"/>
            <w:shd w:val="clear" w:color="auto" w:fill="CCECFF"/>
          </w:tcPr>
          <w:p>
            <w:pPr>
              <w:spacing w:after="0"/>
              <w:rPr>
                <w:sz w:val="13"/>
                <w:szCs w:val="13"/>
                <w:color w:val="auto"/>
              </w:rPr>
            </w:pPr>
          </w:p>
        </w:tc>
        <w:tc>
          <w:tcPr>
            <w:tcW w:w="12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2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Truist Credit Facility payable, at fair value (cost—$426,456 and $461,456, respectively)</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425,477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460,361</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4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2026 Notes payable (par— $150,000, unamortized deferred financing cost of $527 and $1,429, respectively)</w:t>
            </w:r>
          </w:p>
        </w:tc>
        <w:tc>
          <w:tcPr>
            <w:tcW w:w="10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149,473</w:t>
            </w:r>
          </w:p>
        </w:tc>
        <w:tc>
          <w:tcPr>
            <w:tcW w:w="2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148,571</w:t>
            </w:r>
          </w:p>
        </w:tc>
        <w:tc>
          <w:tcPr>
            <w:tcW w:w="10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2026 Notes-2 payable (par— $165,000, unamortized deferred financing cost of $1,067 and $1,920, respectively)</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163,933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163,080</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4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Payable for investment purchased</w:t>
            </w:r>
          </w:p>
        </w:tc>
        <w:tc>
          <w:tcPr>
            <w:tcW w:w="10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130,007</w:t>
            </w:r>
          </w:p>
        </w:tc>
        <w:tc>
          <w:tcPr>
            <w:tcW w:w="2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100,096</w:t>
            </w:r>
          </w:p>
        </w:tc>
        <w:tc>
          <w:tcPr>
            <w:tcW w:w="10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Interest payable on debt</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6,406</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4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Distributions payable</w:t>
            </w:r>
          </w:p>
        </w:tc>
        <w:tc>
          <w:tcPr>
            <w:tcW w:w="100" w:type="dxa"/>
            <w:vAlign w:val="bottom"/>
            <w:shd w:val="clear" w:color="auto" w:fill="CCECFF"/>
          </w:tcPr>
          <w:p>
            <w:pPr>
              <w:spacing w:after="0"/>
              <w:rPr>
                <w:sz w:val="13"/>
                <w:szCs w:val="13"/>
                <w:color w:val="auto"/>
              </w:rPr>
            </w:pPr>
          </w:p>
        </w:tc>
        <w:tc>
          <w:tcPr>
            <w:tcW w:w="15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3"/>
                <w:szCs w:val="13"/>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5,224</w:t>
            </w:r>
          </w:p>
        </w:tc>
        <w:tc>
          <w:tcPr>
            <w:tcW w:w="10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4,053</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4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Base management fee payable</w:t>
            </w:r>
          </w:p>
        </w:tc>
        <w:tc>
          <w:tcPr>
            <w:tcW w:w="10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4,005</w:t>
            </w:r>
          </w:p>
        </w:tc>
        <w:tc>
          <w:tcPr>
            <w:tcW w:w="2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4,297</w:t>
            </w:r>
          </w:p>
        </w:tc>
        <w:tc>
          <w:tcPr>
            <w:tcW w:w="10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Incentive fee payable</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3,057</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4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Due to affiliate</w:t>
            </w:r>
          </w:p>
        </w:tc>
        <w:tc>
          <w:tcPr>
            <w:tcW w:w="100" w:type="dxa"/>
            <w:vAlign w:val="bottom"/>
            <w:shd w:val="clear" w:color="auto" w:fill="CCECFF"/>
          </w:tcPr>
          <w:p>
            <w:pPr>
              <w:spacing w:after="0"/>
              <w:rPr>
                <w:sz w:val="13"/>
                <w:szCs w:val="13"/>
                <w:color w:val="auto"/>
              </w:rPr>
            </w:pPr>
          </w:p>
        </w:tc>
        <w:tc>
          <w:tcPr>
            <w:tcW w:w="15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3"/>
                <w:szCs w:val="13"/>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46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885,604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895,178</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4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Commitments and contingencies (See Note 12)</w:t>
            </w:r>
          </w:p>
        </w:tc>
        <w:tc>
          <w:tcPr>
            <w:tcW w:w="100" w:type="dxa"/>
            <w:vAlign w:val="bottom"/>
            <w:shd w:val="clear" w:color="auto" w:fill="CCECFF"/>
          </w:tcPr>
          <w:p>
            <w:pPr>
              <w:spacing w:after="0"/>
              <w:rPr>
                <w:sz w:val="13"/>
                <w:szCs w:val="13"/>
                <w:color w:val="auto"/>
              </w:rPr>
            </w:pPr>
          </w:p>
        </w:tc>
        <w:tc>
          <w:tcPr>
            <w:tcW w:w="12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2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7460" w:type="dxa"/>
            <w:vAlign w:val="bottom"/>
            <w:shd w:val="clear" w:color="auto" w:fill="CCECFF"/>
          </w:tcPr>
          <w:p>
            <w:pPr>
              <w:spacing w:after="0" w:line="144" w:lineRule="exact"/>
              <w:rPr>
                <w:sz w:val="20"/>
                <w:szCs w:val="20"/>
                <w:color w:val="auto"/>
              </w:rPr>
            </w:pPr>
            <w:r>
              <w:rPr>
                <w:rFonts w:ascii="Times New Roman" w:cs="Times New Roman" w:eastAsia="Times New Roman" w:hAnsi="Times New Roman"/>
                <w:sz w:val="13"/>
                <w:szCs w:val="13"/>
                <w:color w:val="auto"/>
              </w:rPr>
              <w:t>Common stock, 65,296,094 and 65,296,094 shares issued and outstanding, respectively</w:t>
            </w:r>
          </w:p>
        </w:tc>
        <w:tc>
          <w:tcPr>
            <w:tcW w:w="100" w:type="dxa"/>
            <w:vAlign w:val="bottom"/>
            <w:shd w:val="clear" w:color="auto" w:fill="CCECFF"/>
          </w:tcPr>
          <w:p>
            <w:pPr>
              <w:spacing w:after="0"/>
              <w:rPr>
                <w:sz w:val="12"/>
                <w:szCs w:val="12"/>
                <w:color w:val="auto"/>
              </w:rPr>
            </w:pPr>
          </w:p>
        </w:tc>
        <w:tc>
          <w:tcPr>
            <w:tcW w:w="12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2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746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3"/>
                <w:szCs w:val="13"/>
                <w:color w:val="auto"/>
              </w:rPr>
              <w:t>Par value $0.001 per share and 200,000,000 shares authorized</w:t>
            </w:r>
          </w:p>
        </w:tc>
        <w:tc>
          <w:tcPr>
            <w:tcW w:w="100" w:type="dxa"/>
            <w:vAlign w:val="bottom"/>
            <w:shd w:val="clear" w:color="auto" w:fill="CCECFF"/>
          </w:tcPr>
          <w:p>
            <w:pPr>
              <w:spacing w:after="0"/>
              <w:rPr>
                <w:sz w:val="14"/>
                <w:szCs w:val="14"/>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C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Paid-in capital in excess of par value</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740,506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743,968</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4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100" w:type="dxa"/>
            <w:vAlign w:val="bottom"/>
            <w:shd w:val="clear" w:color="auto" w:fill="CCECFF"/>
          </w:tcPr>
          <w:p>
            <w:pPr>
              <w:spacing w:after="0"/>
              <w:rPr>
                <w:sz w:val="13"/>
                <w:szCs w:val="13"/>
                <w:color w:val="auto"/>
              </w:rPr>
            </w:pPr>
          </w:p>
        </w:tc>
        <w:tc>
          <w:tcPr>
            <w:tcW w:w="15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(276,621)</w:t>
            </w:r>
          </w:p>
        </w:tc>
        <w:tc>
          <w:tcPr>
            <w:tcW w:w="100" w:type="dxa"/>
            <w:vAlign w:val="bottom"/>
            <w:shd w:val="clear" w:color="auto" w:fill="CCECFF"/>
          </w:tcPr>
          <w:p>
            <w:pPr>
              <w:spacing w:after="0"/>
              <w:rPr>
                <w:sz w:val="13"/>
                <w:szCs w:val="13"/>
                <w:color w:val="auto"/>
              </w:rPr>
            </w:pPr>
          </w:p>
        </w:tc>
        <w:tc>
          <w:tcPr>
            <w:tcW w:w="13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(250,125)</w:t>
            </w:r>
          </w:p>
        </w:tc>
      </w:tr>
      <w:tr>
        <w:trPr>
          <w:trHeight w:val="156"/>
        </w:trPr>
        <w:tc>
          <w:tcPr>
            <w:tcW w:w="20" w:type="dxa"/>
            <w:vAlign w:val="bottom"/>
          </w:tcPr>
          <w:p>
            <w:pPr>
              <w:spacing w:after="0"/>
              <w:rPr>
                <w:sz w:val="13"/>
                <w:szCs w:val="13"/>
                <w:color w:val="auto"/>
              </w:rPr>
            </w:pPr>
          </w:p>
        </w:tc>
        <w:tc>
          <w:tcPr>
            <w:tcW w:w="746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Total net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463,950</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493,908</w:t>
            </w:r>
          </w:p>
        </w:tc>
        <w:tc>
          <w:tcPr>
            <w:tcW w:w="10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7460" w:type="dxa"/>
            <w:vAlign w:val="bottom"/>
            <w:tcBorders>
              <w:bottom w:val="single" w:sz="8" w:color="CCECFF"/>
            </w:tcBorders>
            <w:shd w:val="clear" w:color="auto" w:fill="CCECFF"/>
          </w:tcPr>
          <w:p>
            <w:pPr>
              <w:ind w:left="520"/>
              <w:spacing w:after="0"/>
              <w:rPr>
                <w:sz w:val="20"/>
                <w:szCs w:val="20"/>
                <w:color w:val="auto"/>
              </w:rPr>
            </w:pPr>
            <w:r>
              <w:rPr>
                <w:rFonts w:ascii="Times New Roman" w:cs="Times New Roman" w:eastAsia="Times New Roman" w:hAnsi="Times New Roman"/>
                <w:sz w:val="13"/>
                <w:szCs w:val="13"/>
                <w:b w:val="1"/>
                <w:bCs w:val="1"/>
                <w:color w:val="auto"/>
              </w:rPr>
              <w:t>Total liabilities and net assets</w:t>
            </w: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1,349,554</w:t>
            </w:r>
          </w:p>
        </w:tc>
        <w:tc>
          <w:tcPr>
            <w:tcW w:w="24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1,389,086</w:t>
            </w:r>
          </w:p>
        </w:tc>
        <w:tc>
          <w:tcPr>
            <w:tcW w:w="100" w:type="dxa"/>
            <w:vAlign w:val="bottom"/>
            <w:tcBorders>
              <w:bottom w:val="single" w:sz="8" w:color="CCECFF"/>
            </w:tcBorders>
            <w:shd w:val="clear" w:color="auto" w:fill="CCECFF"/>
          </w:tcPr>
          <w:p>
            <w:pPr>
              <w:spacing w:after="0"/>
              <w:rPr>
                <w:sz w:val="17"/>
                <w:szCs w:val="17"/>
                <w:color w:val="auto"/>
              </w:rPr>
            </w:pPr>
          </w:p>
        </w:tc>
      </w:tr>
      <w:tr>
        <w:trPr>
          <w:trHeight w:val="132"/>
        </w:trPr>
        <w:tc>
          <w:tcPr>
            <w:tcW w:w="20" w:type="dxa"/>
            <w:vAlign w:val="bottom"/>
          </w:tcPr>
          <w:p>
            <w:pPr>
              <w:spacing w:after="0"/>
              <w:rPr>
                <w:sz w:val="11"/>
                <w:szCs w:val="11"/>
                <w:color w:val="auto"/>
              </w:rPr>
            </w:pPr>
          </w:p>
        </w:tc>
        <w:tc>
          <w:tcPr>
            <w:tcW w:w="746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Net asset value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7.11</w:t>
            </w:r>
          </w:p>
        </w:tc>
        <w:tc>
          <w:tcPr>
            <w:tcW w:w="2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7.56</w:t>
            </w: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56"/>
        </w:trPr>
        <w:tc>
          <w:tcPr>
            <w:tcW w:w="7540" w:type="dxa"/>
            <w:vAlign w:val="bottom"/>
            <w:gridSpan w:val="5"/>
          </w:tcPr>
          <w:p>
            <w:pPr>
              <w:ind w:left="316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7000" w:type="dxa"/>
            <w:vAlign w:val="bottom"/>
            <w:gridSpan w:val="3"/>
          </w:tcPr>
          <w:p>
            <w:pPr>
              <w:ind w:left="3720"/>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2"/>
        </w:trPr>
        <w:tc>
          <w:tcPr>
            <w:tcW w:w="5500" w:type="dxa"/>
            <w:vAlign w:val="bottom"/>
          </w:tcPr>
          <w:p>
            <w:pPr>
              <w:ind w:left="4040"/>
              <w:spacing w:after="0"/>
              <w:rPr>
                <w:sz w:val="20"/>
                <w:szCs w:val="20"/>
                <w:color w:val="auto"/>
              </w:rPr>
            </w:pPr>
            <w:r>
              <w:rPr>
                <w:rFonts w:ascii="Times New Roman" w:cs="Times New Roman" w:eastAsia="Times New Roman" w:hAnsi="Times New Roman"/>
                <w:sz w:val="13"/>
                <w:szCs w:val="13"/>
                <w:color w:val="auto"/>
              </w:rPr>
              <w:t>(In thousands, except share</w:t>
            </w:r>
          </w:p>
        </w:tc>
        <w:tc>
          <w:tcPr>
            <w:tcW w:w="1500" w:type="dxa"/>
            <w:vAlign w:val="bottom"/>
            <w:gridSpan w:val="2"/>
          </w:tcPr>
          <w:p>
            <w:pPr>
              <w:jc w:val="right"/>
              <w:ind w:right="405"/>
              <w:spacing w:after="0"/>
              <w:rPr>
                <w:sz w:val="20"/>
                <w:szCs w:val="20"/>
                <w:color w:val="auto"/>
              </w:rPr>
            </w:pPr>
            <w:r>
              <w:rPr>
                <w:rFonts w:ascii="Times New Roman" w:cs="Times New Roman" w:eastAsia="Times New Roman" w:hAnsi="Times New Roman"/>
                <w:sz w:val="13"/>
                <w:szCs w:val="13"/>
                <w:color w:val="auto"/>
              </w:rPr>
              <w:t>and per share data)</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18"/>
        </w:trPr>
        <w:tc>
          <w:tcPr>
            <w:tcW w:w="5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0"/>
        </w:trPr>
        <w:tc>
          <w:tcPr>
            <w:tcW w:w="550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55"/>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r>
      <w:tr>
        <w:trPr>
          <w:trHeight w:val="156"/>
        </w:trPr>
        <w:tc>
          <w:tcPr>
            <w:tcW w:w="55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7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5500" w:type="dxa"/>
            <w:vAlign w:val="bottom"/>
          </w:tcPr>
          <w:p>
            <w:pPr>
              <w:spacing w:after="0"/>
              <w:rPr>
                <w:sz w:val="20"/>
                <w:szCs w:val="20"/>
                <w:color w:val="auto"/>
              </w:rPr>
            </w:pPr>
            <w:r>
              <w:rPr>
                <w:rFonts w:ascii="Times New Roman" w:cs="Times New Roman" w:eastAsia="Times New Roman" w:hAnsi="Times New Roman"/>
                <w:sz w:val="13"/>
                <w:szCs w:val="13"/>
                <w:color w:val="auto"/>
              </w:rPr>
              <w:t>From non-controlled, non-affiliated investments:</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55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Interest</w:t>
            </w:r>
          </w:p>
        </w:tc>
        <w:tc>
          <w:tcPr>
            <w:tcW w:w="1500" w:type="dxa"/>
            <w:vAlign w:val="bottom"/>
            <w:gridSpan w:val="2"/>
            <w:shd w:val="clear" w:color="auto" w:fill="CCECFF"/>
          </w:tcPr>
          <w:p>
            <w:pPr>
              <w:jc w:val="right"/>
              <w:ind w:right="685"/>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60,351</w:t>
            </w:r>
          </w:p>
        </w:tc>
        <w:tc>
          <w:tcPr>
            <w:tcW w:w="60" w:type="dxa"/>
            <w:vAlign w:val="bottom"/>
            <w:shd w:val="clear" w:color="auto" w:fill="CCECFF"/>
          </w:tcPr>
          <w:p>
            <w:pPr>
              <w:spacing w:after="0"/>
              <w:rPr>
                <w:sz w:val="13"/>
                <w:szCs w:val="13"/>
                <w:color w:val="auto"/>
              </w:rPr>
            </w:pPr>
          </w:p>
        </w:tc>
        <w:tc>
          <w:tcPr>
            <w:tcW w:w="440" w:type="dxa"/>
            <w:vAlign w:val="bottom"/>
            <w:gridSpan w:val="2"/>
            <w:shd w:val="clear" w:color="auto" w:fill="CCECFF"/>
          </w:tcPr>
          <w:p>
            <w:pPr>
              <w:jc w:val="right"/>
              <w:ind w:right="165"/>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80,527</w:t>
            </w:r>
          </w:p>
        </w:tc>
        <w:tc>
          <w:tcPr>
            <w:tcW w:w="280" w:type="dxa"/>
            <w:vAlign w:val="bottom"/>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93,420</w:t>
            </w:r>
          </w:p>
        </w:tc>
      </w:tr>
      <w:tr>
        <w:trPr>
          <w:trHeight w:val="156"/>
        </w:trPr>
        <w:tc>
          <w:tcPr>
            <w:tcW w:w="5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Payment-in-kind</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5,140</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1,236</w:t>
            </w:r>
          </w:p>
        </w:tc>
        <w:tc>
          <w:tcPr>
            <w:tcW w:w="80" w:type="dxa"/>
            <w:vAlign w:val="bottom"/>
          </w:tcPr>
          <w:p>
            <w:pPr>
              <w:spacing w:after="0"/>
              <w:rPr>
                <w:sz w:val="13"/>
                <w:szCs w:val="13"/>
                <w:color w:val="auto"/>
              </w:rPr>
            </w:pPr>
          </w:p>
        </w:tc>
      </w:tr>
      <w:tr>
        <w:trPr>
          <w:trHeight w:val="156"/>
        </w:trPr>
        <w:tc>
          <w:tcPr>
            <w:tcW w:w="55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Dividend income</w:t>
            </w:r>
          </w:p>
        </w:tc>
        <w:tc>
          <w:tcPr>
            <w:tcW w:w="7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1,931</w:t>
            </w:r>
          </w:p>
        </w:tc>
        <w:tc>
          <w:tcPr>
            <w:tcW w:w="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2,869</w:t>
            </w:r>
          </w:p>
        </w:tc>
        <w:tc>
          <w:tcPr>
            <w:tcW w:w="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13,945</w:t>
            </w:r>
          </w:p>
        </w:tc>
      </w:tr>
      <w:tr>
        <w:trPr>
          <w:trHeight w:val="156"/>
        </w:trPr>
        <w:tc>
          <w:tcPr>
            <w:tcW w:w="5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income</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3,508</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2,316</w:t>
            </w:r>
          </w:p>
        </w:tc>
        <w:tc>
          <w:tcPr>
            <w:tcW w:w="80" w:type="dxa"/>
            <w:vAlign w:val="bottom"/>
          </w:tcPr>
          <w:p>
            <w:pPr>
              <w:spacing w:after="0"/>
              <w:rPr>
                <w:sz w:val="13"/>
                <w:szCs w:val="13"/>
                <w:color w:val="auto"/>
              </w:rPr>
            </w:pPr>
          </w:p>
        </w:tc>
      </w:tr>
      <w:tr>
        <w:trPr>
          <w:trHeight w:val="156"/>
        </w:trPr>
        <w:tc>
          <w:tcPr>
            <w:tcW w:w="55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From non-controlled, affiliated investments:</w:t>
            </w:r>
          </w:p>
        </w:tc>
        <w:tc>
          <w:tcPr>
            <w:tcW w:w="7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5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Pr>
          <w:p>
            <w:pPr>
              <w:spacing w:after="0"/>
              <w:rPr>
                <w:sz w:val="13"/>
                <w:szCs w:val="13"/>
                <w:color w:val="auto"/>
              </w:rPr>
            </w:pPr>
          </w:p>
        </w:tc>
      </w:tr>
      <w:tr>
        <w:trPr>
          <w:trHeight w:val="156"/>
        </w:trPr>
        <w:tc>
          <w:tcPr>
            <w:tcW w:w="55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Payment-in-kind</w:t>
            </w:r>
          </w:p>
        </w:tc>
        <w:tc>
          <w:tcPr>
            <w:tcW w:w="7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5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80" w:type="dxa"/>
            <w:vAlign w:val="bottom"/>
            <w:shd w:val="clear" w:color="auto" w:fill="CCECFF"/>
          </w:tcPr>
          <w:p>
            <w:pPr>
              <w:spacing w:after="0"/>
              <w:rPr>
                <w:sz w:val="13"/>
                <w:szCs w:val="13"/>
                <w:color w:val="auto"/>
              </w:rPr>
            </w:pPr>
          </w:p>
        </w:tc>
      </w:tr>
      <w:tr>
        <w:trPr>
          <w:trHeight w:val="156"/>
        </w:trPr>
        <w:tc>
          <w:tcPr>
            <w:tcW w:w="5500" w:type="dxa"/>
            <w:vAlign w:val="bottom"/>
          </w:tcPr>
          <w:p>
            <w:pPr>
              <w:spacing w:after="0"/>
              <w:rPr>
                <w:sz w:val="20"/>
                <w:szCs w:val="20"/>
                <w:color w:val="auto"/>
              </w:rPr>
            </w:pPr>
            <w:r>
              <w:rPr>
                <w:rFonts w:ascii="Times New Roman" w:cs="Times New Roman" w:eastAsia="Times New Roman" w:hAnsi="Times New Roman"/>
                <w:sz w:val="13"/>
                <w:szCs w:val="13"/>
                <w:color w:val="auto"/>
              </w:rPr>
              <w:t>From controlled, affiliated investments:</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55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Interest</w:t>
            </w:r>
          </w:p>
        </w:tc>
        <w:tc>
          <w:tcPr>
            <w:tcW w:w="7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30,049</w:t>
            </w:r>
          </w:p>
        </w:tc>
        <w:tc>
          <w:tcPr>
            <w:tcW w:w="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25,738</w:t>
            </w:r>
          </w:p>
        </w:tc>
        <w:tc>
          <w:tcPr>
            <w:tcW w:w="28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15,425</w:t>
            </w:r>
          </w:p>
        </w:tc>
      </w:tr>
      <w:tr>
        <w:trPr>
          <w:trHeight w:val="156"/>
        </w:trPr>
        <w:tc>
          <w:tcPr>
            <w:tcW w:w="5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Payment-in-kind</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4,084</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2,596</w:t>
            </w:r>
          </w:p>
        </w:tc>
        <w:tc>
          <w:tcPr>
            <w:tcW w:w="80" w:type="dxa"/>
            <w:vAlign w:val="bottom"/>
          </w:tcPr>
          <w:p>
            <w:pPr>
              <w:spacing w:after="0"/>
              <w:rPr>
                <w:sz w:val="13"/>
                <w:szCs w:val="13"/>
                <w:color w:val="auto"/>
              </w:rPr>
            </w:pPr>
          </w:p>
        </w:tc>
      </w:tr>
      <w:tr>
        <w:trPr>
          <w:trHeight w:val="156"/>
        </w:trPr>
        <w:tc>
          <w:tcPr>
            <w:tcW w:w="55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Dividend income</w:t>
            </w:r>
          </w:p>
        </w:tc>
        <w:tc>
          <w:tcPr>
            <w:tcW w:w="7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20,471</w:t>
            </w:r>
          </w:p>
        </w:tc>
        <w:tc>
          <w:tcPr>
            <w:tcW w:w="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21,605</w:t>
            </w:r>
          </w:p>
        </w:tc>
        <w:tc>
          <w:tcPr>
            <w:tcW w:w="28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15,730</w:t>
            </w:r>
          </w:p>
        </w:tc>
      </w:tr>
      <w:tr>
        <w:trPr>
          <w:trHeight w:val="156"/>
        </w:trPr>
        <w:tc>
          <w:tcPr>
            <w:tcW w:w="5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income</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55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7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122,377</w:t>
            </w:r>
          </w:p>
        </w:tc>
        <w:tc>
          <w:tcPr>
            <w:tcW w:w="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143,818</w:t>
            </w:r>
          </w:p>
        </w:tc>
        <w:tc>
          <w:tcPr>
            <w:tcW w:w="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145,366</w:t>
            </w:r>
          </w:p>
        </w:tc>
        <w:tc>
          <w:tcPr>
            <w:tcW w:w="80" w:type="dxa"/>
            <w:vAlign w:val="bottom"/>
            <w:shd w:val="clear" w:color="auto" w:fill="CCECFF"/>
          </w:tcPr>
          <w:p>
            <w:pPr>
              <w:spacing w:after="0"/>
              <w:rPr>
                <w:sz w:val="13"/>
                <w:szCs w:val="13"/>
                <w:color w:val="auto"/>
              </w:rPr>
            </w:pPr>
          </w:p>
        </w:tc>
      </w:tr>
      <w:tr>
        <w:trPr>
          <w:trHeight w:val="156"/>
        </w:trPr>
        <w:tc>
          <w:tcPr>
            <w:tcW w:w="5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55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Base management fee</w:t>
            </w:r>
          </w:p>
        </w:tc>
        <w:tc>
          <w:tcPr>
            <w:tcW w:w="7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16,179</w:t>
            </w:r>
          </w:p>
        </w:tc>
        <w:tc>
          <w:tcPr>
            <w:tcW w:w="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16,654</w:t>
            </w:r>
          </w:p>
        </w:tc>
        <w:tc>
          <w:tcPr>
            <w:tcW w:w="28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16,549</w:t>
            </w:r>
          </w:p>
        </w:tc>
      </w:tr>
      <w:tr>
        <w:trPr>
          <w:trHeight w:val="156"/>
        </w:trPr>
        <w:tc>
          <w:tcPr>
            <w:tcW w:w="5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Incentive fee</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9,768</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12,741</w:t>
            </w:r>
          </w:p>
        </w:tc>
        <w:tc>
          <w:tcPr>
            <w:tcW w:w="28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13,901</w:t>
            </w:r>
          </w:p>
        </w:tc>
      </w:tr>
      <w:tr>
        <w:trPr>
          <w:trHeight w:val="156"/>
        </w:trPr>
        <w:tc>
          <w:tcPr>
            <w:tcW w:w="55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Interest and expenses on debt</w:t>
            </w:r>
          </w:p>
        </w:tc>
        <w:tc>
          <w:tcPr>
            <w:tcW w:w="7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41,315</w:t>
            </w:r>
          </w:p>
        </w:tc>
        <w:tc>
          <w:tcPr>
            <w:tcW w:w="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45,188</w:t>
            </w:r>
          </w:p>
        </w:tc>
        <w:tc>
          <w:tcPr>
            <w:tcW w:w="28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39,408</w:t>
            </w:r>
          </w:p>
        </w:tc>
      </w:tr>
      <w:tr>
        <w:trPr>
          <w:trHeight w:val="156"/>
        </w:trPr>
        <w:tc>
          <w:tcPr>
            <w:tcW w:w="5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Administrative services expenses</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1,689</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1,843</w:t>
            </w:r>
          </w:p>
        </w:tc>
        <w:tc>
          <w:tcPr>
            <w:tcW w:w="80" w:type="dxa"/>
            <w:vAlign w:val="bottom"/>
          </w:tcPr>
          <w:p>
            <w:pPr>
              <w:spacing w:after="0"/>
              <w:rPr>
                <w:sz w:val="13"/>
                <w:szCs w:val="13"/>
                <w:color w:val="auto"/>
              </w:rPr>
            </w:pPr>
          </w:p>
        </w:tc>
      </w:tr>
      <w:tr>
        <w:trPr>
          <w:trHeight w:val="288"/>
        </w:trPr>
        <w:tc>
          <w:tcPr>
            <w:tcW w:w="55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700" w:type="dxa"/>
            <w:vAlign w:val="bottom"/>
            <w:shd w:val="clear" w:color="auto" w:fill="CCECFF"/>
          </w:tcPr>
          <w:p>
            <w:pPr>
              <w:spacing w:after="0"/>
              <w:rPr>
                <w:sz w:val="24"/>
                <w:szCs w:val="24"/>
                <w:color w:val="auto"/>
              </w:rPr>
            </w:pPr>
          </w:p>
        </w:tc>
        <w:tc>
          <w:tcPr>
            <w:tcW w:w="800" w:type="dxa"/>
            <w:vAlign w:val="bottom"/>
            <w:shd w:val="clear" w:color="auto" w:fill="CCECFF"/>
          </w:tcPr>
          <w:p>
            <w:pPr>
              <w:spacing w:after="0"/>
              <w:rPr>
                <w:sz w:val="24"/>
                <w:szCs w:val="24"/>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4,300</w:t>
            </w:r>
          </w:p>
        </w:tc>
        <w:tc>
          <w:tcPr>
            <w:tcW w:w="60" w:type="dxa"/>
            <w:vAlign w:val="bottom"/>
            <w:shd w:val="clear" w:color="auto" w:fill="CCECFF"/>
          </w:tcPr>
          <w:p>
            <w:pPr>
              <w:spacing w:after="0"/>
              <w:rPr>
                <w:sz w:val="24"/>
                <w:szCs w:val="24"/>
                <w:color w:val="auto"/>
              </w:rPr>
            </w:pPr>
          </w:p>
        </w:tc>
        <w:tc>
          <w:tcPr>
            <w:tcW w:w="160" w:type="dxa"/>
            <w:vAlign w:val="bottom"/>
            <w:shd w:val="clear" w:color="auto" w:fill="CCECFF"/>
          </w:tcPr>
          <w:p>
            <w:pPr>
              <w:spacing w:after="0"/>
              <w:rPr>
                <w:sz w:val="24"/>
                <w:szCs w:val="24"/>
                <w:color w:val="auto"/>
              </w:rPr>
            </w:pPr>
          </w:p>
        </w:tc>
        <w:tc>
          <w:tcPr>
            <w:tcW w:w="280" w:type="dxa"/>
            <w:vAlign w:val="bottom"/>
            <w:shd w:val="clear" w:color="auto" w:fill="CCECFF"/>
          </w:tcPr>
          <w:p>
            <w:pPr>
              <w:spacing w:after="0"/>
              <w:rPr>
                <w:sz w:val="24"/>
                <w:szCs w:val="2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4,874</w:t>
            </w:r>
          </w:p>
        </w:tc>
        <w:tc>
          <w:tcPr>
            <w:tcW w:w="220" w:type="dxa"/>
            <w:vAlign w:val="bottom"/>
            <w:shd w:val="clear" w:color="auto" w:fill="CCECFF"/>
          </w:tcPr>
          <w:p>
            <w:pPr>
              <w:spacing w:after="0"/>
              <w:rPr>
                <w:sz w:val="24"/>
                <w:szCs w:val="24"/>
                <w:color w:val="auto"/>
              </w:rPr>
            </w:pPr>
          </w:p>
        </w:tc>
        <w:tc>
          <w:tcPr>
            <w:tcW w:w="280" w:type="dxa"/>
            <w:vAlign w:val="bottom"/>
            <w:shd w:val="clear" w:color="auto" w:fill="CCECFF"/>
          </w:tcPr>
          <w:p>
            <w:pPr>
              <w:spacing w:after="0"/>
              <w:rPr>
                <w:sz w:val="24"/>
                <w:szCs w:val="2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3,837</w:t>
            </w:r>
          </w:p>
        </w:tc>
        <w:tc>
          <w:tcPr>
            <w:tcW w:w="80" w:type="dxa"/>
            <w:vAlign w:val="bottom"/>
            <w:shd w:val="clear" w:color="auto" w:fill="CCECFF"/>
          </w:tcPr>
          <w:p>
            <w:pPr>
              <w:spacing w:after="0"/>
              <w:rPr>
                <w:sz w:val="24"/>
                <w:szCs w:val="24"/>
                <w:color w:val="auto"/>
              </w:rPr>
            </w:pPr>
          </w:p>
        </w:tc>
      </w:tr>
      <w:tr>
        <w:trPr>
          <w:trHeight w:val="156"/>
        </w:trPr>
        <w:tc>
          <w:tcPr>
            <w:tcW w:w="55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Expenses before provision for taxes and financing costs</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73,412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81,146</w:t>
            </w:r>
          </w:p>
        </w:tc>
        <w:tc>
          <w:tcPr>
            <w:tcW w:w="28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75,538</w:t>
            </w:r>
          </w:p>
        </w:tc>
      </w:tr>
      <w:tr>
        <w:trPr>
          <w:trHeight w:val="156"/>
        </w:trPr>
        <w:tc>
          <w:tcPr>
            <w:tcW w:w="55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Provision for taxes on net investment income</w:t>
            </w:r>
          </w:p>
        </w:tc>
        <w:tc>
          <w:tcPr>
            <w:tcW w:w="7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2,590</w:t>
            </w:r>
          </w:p>
        </w:tc>
        <w:tc>
          <w:tcPr>
            <w:tcW w:w="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2,602</w:t>
            </w:r>
          </w:p>
        </w:tc>
        <w:tc>
          <w:tcPr>
            <w:tcW w:w="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4,295</w:t>
            </w:r>
          </w:p>
        </w:tc>
        <w:tc>
          <w:tcPr>
            <w:tcW w:w="80" w:type="dxa"/>
            <w:vAlign w:val="bottom"/>
            <w:shd w:val="clear" w:color="auto" w:fill="CCECFF"/>
          </w:tcPr>
          <w:p>
            <w:pPr>
              <w:spacing w:after="0"/>
              <w:rPr>
                <w:sz w:val="13"/>
                <w:szCs w:val="13"/>
                <w:color w:val="auto"/>
              </w:rPr>
            </w:pPr>
          </w:p>
        </w:tc>
      </w:tr>
      <w:tr>
        <w:trPr>
          <w:trHeight w:val="156"/>
        </w:trPr>
        <w:tc>
          <w:tcPr>
            <w:tcW w:w="5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Credit facility amendment and debt issuance costs</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55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b w:val="1"/>
                <w:bCs w:val="1"/>
                <w:color w:val="auto"/>
              </w:rPr>
              <w:t>Net expenses</w:t>
            </w:r>
          </w:p>
        </w:tc>
        <w:tc>
          <w:tcPr>
            <w:tcW w:w="7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76,326</w:t>
            </w:r>
          </w:p>
        </w:tc>
        <w:tc>
          <w:tcPr>
            <w:tcW w:w="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83,748</w:t>
            </w:r>
          </w:p>
        </w:tc>
        <w:tc>
          <w:tcPr>
            <w:tcW w:w="28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79,833</w:t>
            </w:r>
          </w:p>
        </w:tc>
      </w:tr>
      <w:tr>
        <w:trPr>
          <w:trHeight w:val="156"/>
        </w:trPr>
        <w:tc>
          <w:tcPr>
            <w:tcW w:w="55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46,051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60,070</w:t>
            </w:r>
          </w:p>
        </w:tc>
        <w:tc>
          <w:tcPr>
            <w:tcW w:w="28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65,533</w:t>
            </w:r>
          </w:p>
        </w:tc>
      </w:tr>
      <w:tr>
        <w:trPr>
          <w:trHeight w:val="156"/>
        </w:trPr>
        <w:tc>
          <w:tcPr>
            <w:tcW w:w="55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 and debt:</w:t>
            </w:r>
          </w:p>
        </w:tc>
        <w:tc>
          <w:tcPr>
            <w:tcW w:w="7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5500" w:type="dxa"/>
            <w:vAlign w:val="bottom"/>
          </w:tcPr>
          <w:p>
            <w:pPr>
              <w:spacing w:after="0"/>
              <w:rPr>
                <w:sz w:val="20"/>
                <w:szCs w:val="20"/>
                <w:color w:val="auto"/>
              </w:rPr>
            </w:pPr>
            <w:r>
              <w:rPr>
                <w:rFonts w:ascii="Times New Roman" w:cs="Times New Roman" w:eastAsia="Times New Roman" w:hAnsi="Times New Roman"/>
                <w:sz w:val="13"/>
                <w:szCs w:val="13"/>
                <w:color w:val="auto"/>
              </w:rPr>
              <w:t>Net realized gain (loss) on investments and debt:</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55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7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5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(30,514)</w:t>
            </w:r>
          </w:p>
        </w:tc>
        <w:tc>
          <w:tcPr>
            <w:tcW w:w="1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1,166</w:t>
            </w:r>
          </w:p>
        </w:tc>
        <w:tc>
          <w:tcPr>
            <w:tcW w:w="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(18,418)</w:t>
            </w:r>
          </w:p>
        </w:tc>
      </w:tr>
      <w:tr>
        <w:trPr>
          <w:trHeight w:val="156"/>
        </w:trPr>
        <w:tc>
          <w:tcPr>
            <w:tcW w:w="5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Non-controlled and controlled, affiliated investments</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(21,946)</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(34,999)</w:t>
            </w:r>
          </w:p>
        </w:tc>
        <w:tc>
          <w:tcPr>
            <w:tcW w:w="28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(133,098)</w:t>
            </w:r>
          </w:p>
        </w:tc>
      </w:tr>
      <w:tr>
        <w:trPr>
          <w:trHeight w:val="156"/>
        </w:trPr>
        <w:tc>
          <w:tcPr>
            <w:tcW w:w="55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Debt extinguishment</w:t>
            </w:r>
          </w:p>
        </w:tc>
        <w:tc>
          <w:tcPr>
            <w:tcW w:w="7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5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(289)</w:t>
            </w:r>
          </w:p>
        </w:tc>
      </w:tr>
      <w:tr>
        <w:trPr>
          <w:trHeight w:val="156"/>
        </w:trPr>
        <w:tc>
          <w:tcPr>
            <w:tcW w:w="5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Provision for taxes on realized gain on investments</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(4,952)</w:t>
            </w:r>
          </w:p>
        </w:tc>
      </w:tr>
      <w:tr>
        <w:trPr>
          <w:trHeight w:val="156"/>
        </w:trPr>
        <w:tc>
          <w:tcPr>
            <w:tcW w:w="55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b w:val="1"/>
                <w:bCs w:val="1"/>
                <w:color w:val="auto"/>
              </w:rPr>
              <w:t>Net realized gain (loss) on investments and debt</w:t>
            </w:r>
          </w:p>
        </w:tc>
        <w:tc>
          <w:tcPr>
            <w:tcW w:w="7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5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(52,434)</w:t>
            </w:r>
          </w:p>
        </w:tc>
        <w:tc>
          <w:tcPr>
            <w:tcW w:w="1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(33,647)</w:t>
            </w:r>
          </w:p>
        </w:tc>
        <w:tc>
          <w:tcPr>
            <w:tcW w:w="28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(156,757)</w:t>
            </w:r>
          </w:p>
        </w:tc>
      </w:tr>
      <w:tr>
        <w:trPr>
          <w:trHeight w:val="156"/>
        </w:trPr>
        <w:tc>
          <w:tcPr>
            <w:tcW w:w="5500" w:type="dxa"/>
            <w:vAlign w:val="bottom"/>
          </w:tcPr>
          <w:p>
            <w:pPr>
              <w:spacing w:after="0"/>
              <w:rPr>
                <w:sz w:val="20"/>
                <w:szCs w:val="20"/>
                <w:color w:val="auto"/>
              </w:rPr>
            </w:pPr>
            <w:r>
              <w:rPr>
                <w:rFonts w:ascii="Times New Roman" w:cs="Times New Roman" w:eastAsia="Times New Roman" w:hAnsi="Times New Roman"/>
                <w:sz w:val="13"/>
                <w:szCs w:val="13"/>
                <w:color w:val="auto"/>
              </w:rPr>
              <w:t>Net change in unrealized appreciation (depreciation) on:</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55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7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9,862</w:t>
            </w:r>
          </w:p>
        </w:tc>
        <w:tc>
          <w:tcPr>
            <w:tcW w:w="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(20,895)</w:t>
            </w:r>
          </w:p>
        </w:tc>
        <w:tc>
          <w:tcPr>
            <w:tcW w:w="28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(35,440)</w:t>
            </w:r>
          </w:p>
        </w:tc>
      </w:tr>
      <w:tr>
        <w:trPr>
          <w:trHeight w:val="156"/>
        </w:trPr>
        <w:tc>
          <w:tcPr>
            <w:tcW w:w="5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Non-controlled and controlled, affiliated investments</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29,363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48,388</w:t>
            </w:r>
          </w:p>
        </w:tc>
        <w:tc>
          <w:tcPr>
            <w:tcW w:w="28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95,034</w:t>
            </w:r>
          </w:p>
        </w:tc>
      </w:tr>
      <w:tr>
        <w:trPr>
          <w:trHeight w:val="156"/>
        </w:trPr>
        <w:tc>
          <w:tcPr>
            <w:tcW w:w="55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Provision for taxes on unrealized appreciation (depreciation) on investments</w:t>
            </w:r>
          </w:p>
        </w:tc>
        <w:tc>
          <w:tcPr>
            <w:tcW w:w="7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5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(680)</w:t>
            </w: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1,576</w:t>
            </w:r>
          </w:p>
        </w:tc>
        <w:tc>
          <w:tcPr>
            <w:tcW w:w="80" w:type="dxa"/>
            <w:vAlign w:val="bottom"/>
            <w:shd w:val="clear" w:color="auto" w:fill="CCECFF"/>
          </w:tcPr>
          <w:p>
            <w:pPr>
              <w:spacing w:after="0"/>
              <w:rPr>
                <w:sz w:val="13"/>
                <w:szCs w:val="13"/>
                <w:color w:val="auto"/>
              </w:rPr>
            </w:pPr>
          </w:p>
        </w:tc>
      </w:tr>
      <w:tr>
        <w:trPr>
          <w:trHeight w:val="156"/>
        </w:trPr>
        <w:tc>
          <w:tcPr>
            <w:tcW w:w="5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Debt appreciation (depreciation)</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(116)</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(4,385)</w:t>
            </w:r>
          </w:p>
        </w:tc>
        <w:tc>
          <w:tcPr>
            <w:tcW w:w="28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(3,753)</w:t>
            </w:r>
          </w:p>
        </w:tc>
      </w:tr>
      <w:tr>
        <w:trPr>
          <w:trHeight w:val="156"/>
        </w:trPr>
        <w:tc>
          <w:tcPr>
            <w:tcW w:w="55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b w:val="1"/>
                <w:bCs w:val="1"/>
                <w:color w:val="auto"/>
              </w:rPr>
              <w:t>Net change in unrealized appreciation (depreciation) on investments and debt</w:t>
            </w:r>
          </w:p>
        </w:tc>
        <w:tc>
          <w:tcPr>
            <w:tcW w:w="7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39,109</w:t>
            </w:r>
          </w:p>
        </w:tc>
        <w:tc>
          <w:tcPr>
            <w:tcW w:w="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22,428</w:t>
            </w:r>
          </w:p>
        </w:tc>
        <w:tc>
          <w:tcPr>
            <w:tcW w:w="28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57,417</w:t>
            </w:r>
          </w:p>
        </w:tc>
      </w:tr>
      <w:tr>
        <w:trPr>
          <w:trHeight w:val="156"/>
        </w:trPr>
        <w:tc>
          <w:tcPr>
            <w:tcW w:w="5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from investments and debt</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(13,325)</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(11,219)</w:t>
            </w:r>
          </w:p>
        </w:tc>
        <w:tc>
          <w:tcPr>
            <w:tcW w:w="28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(99,340)</w:t>
            </w:r>
          </w:p>
        </w:tc>
      </w:tr>
      <w:tr>
        <w:trPr>
          <w:trHeight w:val="156"/>
        </w:trPr>
        <w:tc>
          <w:tcPr>
            <w:tcW w:w="55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1500" w:type="dxa"/>
            <w:vAlign w:val="bottom"/>
            <w:gridSpan w:val="2"/>
            <w:shd w:val="clear" w:color="auto" w:fill="CCECFF"/>
          </w:tcPr>
          <w:p>
            <w:pPr>
              <w:jc w:val="right"/>
              <w:ind w:right="685"/>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32,726</w:t>
            </w:r>
          </w:p>
        </w:tc>
        <w:tc>
          <w:tcPr>
            <w:tcW w:w="60" w:type="dxa"/>
            <w:vAlign w:val="bottom"/>
            <w:shd w:val="clear" w:color="auto" w:fill="CCECFF"/>
          </w:tcPr>
          <w:p>
            <w:pPr>
              <w:spacing w:after="0"/>
              <w:rPr>
                <w:sz w:val="13"/>
                <w:szCs w:val="13"/>
                <w:color w:val="auto"/>
              </w:rPr>
            </w:pPr>
          </w:p>
        </w:tc>
        <w:tc>
          <w:tcPr>
            <w:tcW w:w="440" w:type="dxa"/>
            <w:vAlign w:val="bottom"/>
            <w:gridSpan w:val="2"/>
            <w:shd w:val="clear" w:color="auto" w:fill="CCECFF"/>
          </w:tcPr>
          <w:p>
            <w:pPr>
              <w:jc w:val="right"/>
              <w:ind w:right="165"/>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48,851</w:t>
            </w:r>
          </w:p>
        </w:tc>
        <w:tc>
          <w:tcPr>
            <w:tcW w:w="280" w:type="dxa"/>
            <w:vAlign w:val="bottom"/>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(33,807)</w:t>
            </w:r>
          </w:p>
        </w:tc>
      </w:tr>
      <w:tr>
        <w:trPr>
          <w:trHeight w:val="156"/>
        </w:trPr>
        <w:tc>
          <w:tcPr>
            <w:tcW w:w="5500" w:type="dxa"/>
            <w:vAlign w:val="bottom"/>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 per common share</w:t>
            </w:r>
          </w:p>
        </w:tc>
        <w:tc>
          <w:tcPr>
            <w:tcW w:w="1500" w:type="dxa"/>
            <w:vAlign w:val="bottom"/>
            <w:gridSpan w:val="2"/>
          </w:tcPr>
          <w:p>
            <w:pPr>
              <w:jc w:val="right"/>
              <w:ind w:right="685"/>
              <w:spacing w:after="0" w:line="136"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0.50</w:t>
            </w:r>
          </w:p>
        </w:tc>
        <w:tc>
          <w:tcPr>
            <w:tcW w:w="60" w:type="dxa"/>
            <w:vAlign w:val="bottom"/>
          </w:tcPr>
          <w:p>
            <w:pPr>
              <w:spacing w:after="0"/>
              <w:rPr>
                <w:sz w:val="13"/>
                <w:szCs w:val="13"/>
                <w:color w:val="auto"/>
              </w:rPr>
            </w:pPr>
          </w:p>
        </w:tc>
        <w:tc>
          <w:tcPr>
            <w:tcW w:w="440" w:type="dxa"/>
            <w:vAlign w:val="bottom"/>
            <w:gridSpan w:val="2"/>
          </w:tcPr>
          <w:p>
            <w:pPr>
              <w:jc w:val="right"/>
              <w:ind w:right="165"/>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0.75</w:t>
            </w: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(0.52</w:t>
            </w:r>
            <w:r>
              <w:rPr>
                <w:rFonts w:ascii="Times New Roman" w:cs="Times New Roman" w:eastAsia="Times New Roman" w:hAnsi="Times New Roman"/>
                <w:sz w:val="15"/>
                <w:szCs w:val="15"/>
                <w:color w:val="auto"/>
                <w:vertAlign w:val="subscript"/>
              </w:rPr>
              <w:t>)</w:t>
            </w:r>
          </w:p>
        </w:tc>
      </w:tr>
      <w:tr>
        <w:trPr>
          <w:trHeight w:val="20"/>
        </w:trPr>
        <w:tc>
          <w:tcPr>
            <w:tcW w:w="5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2"/>
        </w:trPr>
        <w:tc>
          <w:tcPr>
            <w:tcW w:w="5500" w:type="dxa"/>
            <w:vAlign w:val="bottom"/>
            <w:tcBorders>
              <w:bottom w:val="single" w:sz="8" w:color="CCECFF"/>
            </w:tcBorders>
            <w:shd w:val="clear" w:color="auto" w:fill="CCECFF"/>
          </w:tcPr>
          <w:p>
            <w:pPr>
              <w:spacing w:after="0" w:line="133" w:lineRule="exact"/>
              <w:rPr>
                <w:sz w:val="20"/>
                <w:szCs w:val="20"/>
                <w:color w:val="auto"/>
              </w:rPr>
            </w:pPr>
            <w:r>
              <w:rPr>
                <w:rFonts w:ascii="Times New Roman" w:cs="Times New Roman" w:eastAsia="Times New Roman" w:hAnsi="Times New Roman"/>
                <w:sz w:val="13"/>
                <w:szCs w:val="13"/>
                <w:color w:val="auto"/>
              </w:rPr>
              <w:t>Net investment income per common share</w:t>
            </w:r>
          </w:p>
        </w:tc>
        <w:tc>
          <w:tcPr>
            <w:tcW w:w="700" w:type="dxa"/>
            <w:vAlign w:val="bottom"/>
            <w:tcBorders>
              <w:bottom w:val="single" w:sz="8" w:color="CCECFF"/>
            </w:tcBorders>
            <w:shd w:val="clear" w:color="auto" w:fill="CCECFF"/>
          </w:tcPr>
          <w:p>
            <w:pPr>
              <w:spacing w:after="0"/>
              <w:rPr>
                <w:sz w:val="14"/>
                <w:szCs w:val="14"/>
                <w:color w:val="auto"/>
              </w:rPr>
            </w:pPr>
          </w:p>
        </w:tc>
        <w:tc>
          <w:tcPr>
            <w:tcW w:w="800" w:type="dxa"/>
            <w:vAlign w:val="bottom"/>
            <w:tcBorders>
              <w:bottom w:val="single" w:sz="8" w:color="auto"/>
            </w:tcBorders>
            <w:shd w:val="clear" w:color="auto" w:fill="CCECFF"/>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0.71</w:t>
            </w:r>
          </w:p>
        </w:tc>
        <w:tc>
          <w:tcPr>
            <w:tcW w:w="6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0.92</w:t>
            </w:r>
          </w:p>
        </w:tc>
        <w:tc>
          <w:tcPr>
            <w:tcW w:w="22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1.00</w:t>
            </w:r>
          </w:p>
        </w:tc>
        <w:tc>
          <w:tcPr>
            <w:tcW w:w="80" w:type="dxa"/>
            <w:vAlign w:val="bottom"/>
            <w:tcBorders>
              <w:bottom w:val="single" w:sz="8" w:color="CCECFF"/>
            </w:tcBorders>
            <w:shd w:val="clear" w:color="auto" w:fill="CCECFF"/>
          </w:tcPr>
          <w:p>
            <w:pPr>
              <w:spacing w:after="0"/>
              <w:rPr>
                <w:sz w:val="14"/>
                <w:szCs w:val="14"/>
                <w:color w:val="auto"/>
              </w:rPr>
            </w:pP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CHANGES IN NET ASSETS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9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4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investment income</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46,051</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60,070</w:t>
            </w: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65,533</w:t>
            </w:r>
          </w:p>
        </w:tc>
      </w:tr>
      <w:tr>
        <w:trPr>
          <w:trHeight w:val="156"/>
        </w:trPr>
        <w:tc>
          <w:tcPr>
            <w:tcW w:w="20" w:type="dxa"/>
            <w:vAlign w:val="bottom"/>
          </w:tcPr>
          <w:p>
            <w:pPr>
              <w:spacing w:after="0"/>
              <w:rPr>
                <w:sz w:val="13"/>
                <w:szCs w:val="13"/>
                <w:color w:val="auto"/>
              </w:rPr>
            </w:pPr>
          </w:p>
        </w:tc>
        <w:tc>
          <w:tcPr>
            <w:tcW w:w="59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Net realized gain (loss) on investments and debt</w:t>
            </w:r>
          </w:p>
        </w:tc>
        <w:tc>
          <w:tcPr>
            <w:tcW w:w="4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(52,460)</w:t>
            </w: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(33,833)</w:t>
            </w: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(151,805)</w:t>
            </w:r>
          </w:p>
        </w:tc>
      </w:tr>
      <w:tr>
        <w:trPr>
          <w:trHeight w:val="156"/>
        </w:trPr>
        <w:tc>
          <w:tcPr>
            <w:tcW w:w="20" w:type="dxa"/>
            <w:vAlign w:val="bottom"/>
          </w:tcPr>
          <w:p>
            <w:pPr>
              <w:spacing w:after="0"/>
              <w:rPr>
                <w:sz w:val="13"/>
                <w:szCs w:val="13"/>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39,225</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27,493</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59,594</w:t>
            </w:r>
          </w:p>
        </w:tc>
      </w:tr>
      <w:tr>
        <w:trPr>
          <w:trHeight w:val="156"/>
        </w:trPr>
        <w:tc>
          <w:tcPr>
            <w:tcW w:w="20" w:type="dxa"/>
            <w:vAlign w:val="bottom"/>
          </w:tcPr>
          <w:p>
            <w:pPr>
              <w:spacing w:after="0"/>
              <w:rPr>
                <w:sz w:val="13"/>
                <w:szCs w:val="13"/>
                <w:color w:val="auto"/>
              </w:rPr>
            </w:pPr>
          </w:p>
        </w:tc>
        <w:tc>
          <w:tcPr>
            <w:tcW w:w="59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Net change in provision for taxes on realized gain (loss) on investments</w:t>
            </w:r>
          </w:p>
        </w:tc>
        <w:tc>
          <w:tcPr>
            <w:tcW w:w="4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2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(4,952)</w:t>
            </w:r>
          </w:p>
        </w:tc>
      </w:tr>
      <w:tr>
        <w:trPr>
          <w:trHeight w:val="156"/>
        </w:trPr>
        <w:tc>
          <w:tcPr>
            <w:tcW w:w="20" w:type="dxa"/>
            <w:vAlign w:val="bottom"/>
          </w:tcPr>
          <w:p>
            <w:pPr>
              <w:spacing w:after="0"/>
              <w:rPr>
                <w:sz w:val="13"/>
                <w:szCs w:val="13"/>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change in provision for taxes on change in unrealized appreciation (depreciation) on investments</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(680)</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1,576</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9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Net change in unrealized appreciation (depreciation) on debt</w:t>
            </w:r>
          </w:p>
        </w:tc>
        <w:tc>
          <w:tcPr>
            <w:tcW w:w="4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(4,385)</w:t>
            </w: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(3,753)</w:t>
            </w:r>
          </w:p>
        </w:tc>
      </w:tr>
      <w:tr>
        <w:trPr>
          <w:trHeight w:val="156"/>
        </w:trPr>
        <w:tc>
          <w:tcPr>
            <w:tcW w:w="20" w:type="dxa"/>
            <w:vAlign w:val="bottom"/>
          </w:tcPr>
          <w:p>
            <w:pPr>
              <w:spacing w:after="0"/>
              <w:rPr>
                <w:sz w:val="13"/>
                <w:szCs w:val="13"/>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32,726</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48,851</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(33,807)</w:t>
            </w:r>
          </w:p>
        </w:tc>
      </w:tr>
      <w:tr>
        <w:trPr>
          <w:trHeight w:val="156"/>
        </w:trPr>
        <w:tc>
          <w:tcPr>
            <w:tcW w:w="20" w:type="dxa"/>
            <w:vAlign w:val="bottom"/>
          </w:tcPr>
          <w:p>
            <w:pPr>
              <w:spacing w:after="0"/>
              <w:rPr>
                <w:sz w:val="13"/>
                <w:szCs w:val="13"/>
                <w:color w:val="auto"/>
              </w:rPr>
            </w:pPr>
          </w:p>
        </w:tc>
        <w:tc>
          <w:tcPr>
            <w:tcW w:w="59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Distributions to stockholders:</w:t>
            </w:r>
          </w:p>
        </w:tc>
        <w:tc>
          <w:tcPr>
            <w:tcW w:w="4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Distribution of net investment income</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(62,684)</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(57,432)</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(49,571)</w:t>
            </w:r>
          </w:p>
        </w:tc>
      </w:tr>
      <w:tr>
        <w:trPr>
          <w:trHeight w:val="156"/>
        </w:trPr>
        <w:tc>
          <w:tcPr>
            <w:tcW w:w="20" w:type="dxa"/>
            <w:vAlign w:val="bottom"/>
          </w:tcPr>
          <w:p>
            <w:pPr>
              <w:spacing w:after="0"/>
              <w:rPr>
                <w:sz w:val="13"/>
                <w:szCs w:val="13"/>
                <w:color w:val="auto"/>
              </w:rPr>
            </w:pPr>
          </w:p>
        </w:tc>
        <w:tc>
          <w:tcPr>
            <w:tcW w:w="59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distributions to stockholders</w:t>
            </w:r>
          </w:p>
        </w:tc>
        <w:tc>
          <w:tcPr>
            <w:tcW w:w="4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(62,684)</w:t>
            </w: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(57,432)</w:t>
            </w: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(49,571)</w:t>
            </w:r>
          </w:p>
        </w:tc>
      </w:tr>
      <w:tr>
        <w:trPr>
          <w:trHeight w:val="156"/>
        </w:trPr>
        <w:tc>
          <w:tcPr>
            <w:tcW w:w="20" w:type="dxa"/>
            <w:vAlign w:val="bottom"/>
          </w:tcPr>
          <w:p>
            <w:pPr>
              <w:spacing w:after="0"/>
              <w:rPr>
                <w:sz w:val="13"/>
                <w:szCs w:val="13"/>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Capital transactions:</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8"/>
        </w:trPr>
        <w:tc>
          <w:tcPr>
            <w:tcW w:w="20" w:type="dxa"/>
            <w:vAlign w:val="bottom"/>
          </w:tcPr>
          <w:p>
            <w:pPr>
              <w:spacing w:after="0"/>
              <w:rPr>
                <w:sz w:val="18"/>
                <w:szCs w:val="18"/>
                <w:color w:val="auto"/>
              </w:rPr>
            </w:pPr>
          </w:p>
        </w:tc>
        <w:tc>
          <w:tcPr>
            <w:tcW w:w="5900" w:type="dxa"/>
            <w:vAlign w:val="bottom"/>
            <w:tcBorders>
              <w:bottom w:val="single" w:sz="8" w:color="CCECFF"/>
            </w:tcBorders>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Public offering</w:t>
            </w:r>
          </w:p>
        </w:tc>
        <w:tc>
          <w:tcPr>
            <w:tcW w:w="46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CCECFF"/>
            </w:tcBorders>
            <w:shd w:val="clear" w:color="auto" w:fill="CCECFF"/>
          </w:tcPr>
          <w:p>
            <w:pPr>
              <w:spacing w:after="0"/>
              <w:rPr>
                <w:sz w:val="18"/>
                <w:szCs w:val="18"/>
                <w:color w:val="auto"/>
              </w:rPr>
            </w:pPr>
          </w:p>
        </w:tc>
        <w:tc>
          <w:tcPr>
            <w:tcW w:w="980" w:type="dxa"/>
            <w:vAlign w:val="bottom"/>
            <w:tcBorders>
              <w:bottom w:val="single" w:sz="8" w:color="CCECFF"/>
            </w:tcBorders>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CCECFF"/>
            </w:tcBorders>
            <w:shd w:val="clear" w:color="auto" w:fill="CCECFF"/>
          </w:tcPr>
          <w:p>
            <w:pPr>
              <w:spacing w:after="0"/>
              <w:rPr>
                <w:sz w:val="18"/>
                <w:szCs w:val="18"/>
                <w:color w:val="auto"/>
              </w:rPr>
            </w:pPr>
          </w:p>
        </w:tc>
        <w:tc>
          <w:tcPr>
            <w:tcW w:w="9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200" w:type="dxa"/>
            <w:vAlign w:val="bottom"/>
            <w:tcBorders>
              <w:bottom w:val="single" w:sz="8" w:color="CCECFF"/>
            </w:tcBorders>
            <w:shd w:val="clear" w:color="auto" w:fill="CCECFF"/>
          </w:tcPr>
          <w:p>
            <w:pPr>
              <w:spacing w:after="0"/>
              <w:rPr>
                <w:sz w:val="18"/>
                <w:szCs w:val="18"/>
                <w:color w:val="auto"/>
              </w:rPr>
            </w:pPr>
          </w:p>
        </w:tc>
        <w:tc>
          <w:tcPr>
            <w:tcW w:w="2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CCECFF"/>
            </w:tcBorders>
            <w:shd w:val="clear" w:color="auto" w:fill="CCECFF"/>
          </w:tcPr>
          <w:p>
            <w:pPr>
              <w:spacing w:after="0"/>
              <w:rPr>
                <w:sz w:val="18"/>
                <w:szCs w:val="18"/>
                <w:color w:val="auto"/>
              </w:rPr>
            </w:pPr>
          </w:p>
        </w:tc>
        <w:tc>
          <w:tcPr>
            <w:tcW w:w="1040" w:type="dxa"/>
            <w:vAlign w:val="bottom"/>
            <w:tcBorders>
              <w:bottom w:val="single" w:sz="8" w:color="CCECFF"/>
            </w:tcBorders>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0" w:type="dxa"/>
            <w:vAlign w:val="bottom"/>
          </w:tcPr>
          <w:p>
            <w:pPr>
              <w:spacing w:after="0"/>
              <w:rPr>
                <w:sz w:val="13"/>
                <w:szCs w:val="13"/>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Offering costs</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(250)</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0" w:type="dxa"/>
            <w:vAlign w:val="bottom"/>
          </w:tcPr>
          <w:p>
            <w:pPr>
              <w:spacing w:after="0"/>
              <w:rPr>
                <w:sz w:val="13"/>
                <w:szCs w:val="13"/>
                <w:color w:val="auto"/>
              </w:rPr>
            </w:pPr>
          </w:p>
        </w:tc>
        <w:tc>
          <w:tcPr>
            <w:tcW w:w="59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b w:val="1"/>
                <w:bCs w:val="1"/>
                <w:color w:val="auto"/>
              </w:rPr>
              <w:t>Net increase in net assets resulting from capital transactions</w:t>
            </w:r>
          </w:p>
        </w:tc>
        <w:tc>
          <w:tcPr>
            <w:tcW w:w="4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2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0" w:type="dxa"/>
            <w:vAlign w:val="bottom"/>
          </w:tcPr>
          <w:p>
            <w:pPr>
              <w:spacing w:after="0"/>
              <w:rPr>
                <w:sz w:val="13"/>
                <w:szCs w:val="13"/>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increase (decrease) in net assets</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(29,958)</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(8,279)</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(83,378)</w:t>
            </w:r>
          </w:p>
        </w:tc>
      </w:tr>
      <w:tr>
        <w:trPr>
          <w:trHeight w:val="156"/>
        </w:trPr>
        <w:tc>
          <w:tcPr>
            <w:tcW w:w="20" w:type="dxa"/>
            <w:vAlign w:val="bottom"/>
          </w:tcPr>
          <w:p>
            <w:pPr>
              <w:spacing w:after="0"/>
              <w:rPr>
                <w:sz w:val="13"/>
                <w:szCs w:val="13"/>
                <w:color w:val="auto"/>
              </w:rPr>
            </w:pPr>
          </w:p>
        </w:tc>
        <w:tc>
          <w:tcPr>
            <w:tcW w:w="59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4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Beginning of year</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493,908</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502,187</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585,565</w:t>
            </w:r>
          </w:p>
        </w:tc>
        <w:tc>
          <w:tcPr>
            <w:tcW w:w="10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5900" w:type="dxa"/>
            <w:vAlign w:val="bottom"/>
            <w:shd w:val="clear" w:color="auto" w:fill="CCECFF"/>
          </w:tcPr>
          <w:p>
            <w:pPr>
              <w:ind w:left="100"/>
              <w:spacing w:after="0" w:line="136" w:lineRule="exact"/>
              <w:rPr>
                <w:sz w:val="20"/>
                <w:szCs w:val="20"/>
                <w:color w:val="auto"/>
              </w:rPr>
            </w:pPr>
            <w:r>
              <w:rPr>
                <w:rFonts w:ascii="Times New Roman" w:cs="Times New Roman" w:eastAsia="Times New Roman" w:hAnsi="Times New Roman"/>
                <w:sz w:val="13"/>
                <w:szCs w:val="13"/>
                <w:color w:val="auto"/>
              </w:rPr>
              <w:t>End of year</w:t>
            </w:r>
          </w:p>
        </w:tc>
        <w:tc>
          <w:tcPr>
            <w:tcW w:w="720" w:type="dxa"/>
            <w:vAlign w:val="bottom"/>
            <w:gridSpan w:val="2"/>
            <w:shd w:val="clear" w:color="auto" w:fill="CCECFF"/>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463,950</w:t>
            </w:r>
          </w:p>
        </w:tc>
        <w:tc>
          <w:tcPr>
            <w:tcW w:w="40" w:type="dxa"/>
            <w:vAlign w:val="bottom"/>
            <w:shd w:val="clear" w:color="auto" w:fill="CCECFF"/>
          </w:tcPr>
          <w:p>
            <w:pPr>
              <w:spacing w:after="0"/>
              <w:rPr>
                <w:sz w:val="17"/>
                <w:szCs w:val="17"/>
                <w:color w:val="auto"/>
              </w:rPr>
            </w:pPr>
          </w:p>
        </w:tc>
        <w:tc>
          <w:tcPr>
            <w:tcW w:w="460" w:type="dxa"/>
            <w:vAlign w:val="bottom"/>
            <w:gridSpan w:val="2"/>
            <w:shd w:val="clear" w:color="auto" w:fill="CCECFF"/>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493,908</w:t>
            </w:r>
          </w:p>
        </w:tc>
        <w:tc>
          <w:tcPr>
            <w:tcW w:w="200" w:type="dxa"/>
            <w:vAlign w:val="bottom"/>
            <w:shd w:val="clear" w:color="auto" w:fill="CCECFF"/>
          </w:tcPr>
          <w:p>
            <w:pPr>
              <w:spacing w:after="0"/>
              <w:rPr>
                <w:sz w:val="17"/>
                <w:szCs w:val="17"/>
                <w:color w:val="auto"/>
              </w:rPr>
            </w:pPr>
          </w:p>
        </w:tc>
        <w:tc>
          <w:tcPr>
            <w:tcW w:w="300" w:type="dxa"/>
            <w:vAlign w:val="bottom"/>
            <w:gridSpan w:val="2"/>
            <w:shd w:val="clear" w:color="auto" w:fill="CCECFF"/>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502,187</w:t>
            </w:r>
          </w:p>
        </w:tc>
        <w:tc>
          <w:tcPr>
            <w:tcW w:w="100" w:type="dxa"/>
            <w:vAlign w:val="bottom"/>
            <w:shd w:val="clear" w:color="auto" w:fill="CCECFF"/>
          </w:tcPr>
          <w:p>
            <w:pPr>
              <w:spacing w:after="0"/>
              <w:rPr>
                <w:sz w:val="17"/>
                <w:szCs w:val="17"/>
                <w:color w:val="auto"/>
              </w:rPr>
            </w:pPr>
          </w:p>
        </w:tc>
      </w:tr>
      <w:tr>
        <w:trPr>
          <w:trHeight w:val="132"/>
        </w:trPr>
        <w:tc>
          <w:tcPr>
            <w:tcW w:w="20" w:type="dxa"/>
            <w:vAlign w:val="bottom"/>
          </w:tcPr>
          <w:p>
            <w:pPr>
              <w:spacing w:after="0"/>
              <w:rPr>
                <w:sz w:val="11"/>
                <w:szCs w:val="11"/>
                <w:color w:val="auto"/>
              </w:rPr>
            </w:pPr>
          </w:p>
        </w:tc>
        <w:tc>
          <w:tcPr>
            <w:tcW w:w="5900" w:type="dxa"/>
            <w:vAlign w:val="bottom"/>
            <w:tcBorders>
              <w:top w:val="single" w:sz="8" w:color="CCECFF"/>
            </w:tcBorders>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Capital share activity:</w:t>
            </w:r>
          </w:p>
        </w:tc>
        <w:tc>
          <w:tcPr>
            <w:tcW w:w="460" w:type="dxa"/>
            <w:vAlign w:val="bottom"/>
            <w:tcBorders>
              <w:top w:val="single" w:sz="8" w:color="CCEC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40" w:type="dxa"/>
            <w:vAlign w:val="bottom"/>
            <w:tcBorders>
              <w:top w:val="single" w:sz="8" w:color="CCECFF"/>
            </w:tcBorders>
          </w:tcPr>
          <w:p>
            <w:pPr>
              <w:spacing w:after="0"/>
              <w:rPr>
                <w:sz w:val="11"/>
                <w:szCs w:val="11"/>
                <w:color w:val="auto"/>
              </w:rPr>
            </w:pPr>
          </w:p>
        </w:tc>
        <w:tc>
          <w:tcPr>
            <w:tcW w:w="180" w:type="dxa"/>
            <w:vAlign w:val="bottom"/>
            <w:tcBorders>
              <w:top w:val="single" w:sz="8" w:color="CCEC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0" w:type="dxa"/>
            <w:vAlign w:val="bottom"/>
            <w:tcBorders>
              <w:top w:val="single" w:sz="8" w:color="CCECFF"/>
            </w:tcBorders>
          </w:tcPr>
          <w:p>
            <w:pPr>
              <w:spacing w:after="0"/>
              <w:rPr>
                <w:sz w:val="11"/>
                <w:szCs w:val="11"/>
                <w:color w:val="auto"/>
              </w:rPr>
            </w:pPr>
          </w:p>
        </w:tc>
        <w:tc>
          <w:tcPr>
            <w:tcW w:w="20" w:type="dxa"/>
            <w:vAlign w:val="bottom"/>
            <w:tcBorders>
              <w:top w:val="single" w:sz="8" w:color="CCEC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CCECFF"/>
            </w:tcBorders>
          </w:tcPr>
          <w:p>
            <w:pPr>
              <w:spacing w:after="0"/>
              <w:rPr>
                <w:sz w:val="11"/>
                <w:szCs w:val="11"/>
                <w:color w:val="auto"/>
              </w:rPr>
            </w:pPr>
          </w:p>
        </w:tc>
      </w:tr>
      <w:tr>
        <w:trPr>
          <w:trHeight w:val="196"/>
        </w:trPr>
        <w:tc>
          <w:tcPr>
            <w:tcW w:w="20" w:type="dxa"/>
            <w:vAlign w:val="bottom"/>
          </w:tcPr>
          <w:p>
            <w:pPr>
              <w:spacing w:after="0"/>
              <w:rPr>
                <w:sz w:val="17"/>
                <w:szCs w:val="17"/>
                <w:color w:val="auto"/>
              </w:rPr>
            </w:pPr>
          </w:p>
        </w:tc>
        <w:tc>
          <w:tcPr>
            <w:tcW w:w="5900" w:type="dxa"/>
            <w:vAlign w:val="bottom"/>
            <w:shd w:val="clear" w:color="auto" w:fill="CCECFF"/>
          </w:tcPr>
          <w:p>
            <w:pPr>
              <w:ind w:left="100"/>
              <w:spacing w:after="0" w:line="136" w:lineRule="exact"/>
              <w:rPr>
                <w:sz w:val="20"/>
                <w:szCs w:val="20"/>
                <w:color w:val="auto"/>
              </w:rPr>
            </w:pPr>
            <w:r>
              <w:rPr>
                <w:rFonts w:ascii="Times New Roman" w:cs="Times New Roman" w:eastAsia="Times New Roman" w:hAnsi="Times New Roman"/>
                <w:sz w:val="13"/>
                <w:szCs w:val="13"/>
                <w:color w:val="auto"/>
              </w:rPr>
              <w:t>Shares of common stock issued from public offering</w:t>
            </w:r>
          </w:p>
        </w:tc>
        <w:tc>
          <w:tcPr>
            <w:tcW w:w="46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940" w:type="dxa"/>
            <w:vAlign w:val="bottom"/>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140" w:type="dxa"/>
            <w:vAlign w:val="bottom"/>
            <w:gridSpan w:val="2"/>
            <w:shd w:val="clear" w:color="auto" w:fill="CCECFF"/>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71,594</w:t>
            </w:r>
          </w:p>
        </w:tc>
        <w:tc>
          <w:tcPr>
            <w:tcW w:w="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040" w:type="dxa"/>
            <w:vAlign w:val="bottom"/>
            <w:gridSpan w:val="2"/>
            <w:shd w:val="clear" w:color="auto" w:fill="CCECFF"/>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32"/>
        </w:trPr>
        <w:tc>
          <w:tcPr>
            <w:tcW w:w="20" w:type="dxa"/>
            <w:vAlign w:val="bottom"/>
          </w:tcPr>
          <w:p>
            <w:pPr>
              <w:spacing w:after="0"/>
              <w:rPr>
                <w:sz w:val="11"/>
                <w:szCs w:val="11"/>
                <w:color w:val="auto"/>
              </w:rPr>
            </w:pPr>
          </w:p>
        </w:tc>
        <w:tc>
          <w:tcPr>
            <w:tcW w:w="5900" w:type="dxa"/>
            <w:vAlign w:val="bottom"/>
            <w:tcBorders>
              <w:top w:val="single" w:sz="8" w:color="CCECFF"/>
            </w:tcBorders>
          </w:tcPr>
          <w:p>
            <w:pPr>
              <w:ind w:left="100"/>
              <w:spacing w:after="0" w:line="133" w:lineRule="exact"/>
              <w:rPr>
                <w:sz w:val="20"/>
                <w:szCs w:val="20"/>
                <w:color w:val="auto"/>
              </w:rPr>
            </w:pPr>
            <w:r>
              <w:rPr>
                <w:rFonts w:ascii="Times New Roman" w:cs="Times New Roman" w:eastAsia="Times New Roman" w:hAnsi="Times New Roman"/>
                <w:sz w:val="13"/>
                <w:szCs w:val="13"/>
                <w:color w:val="auto"/>
              </w:rPr>
              <w:t>Shares of common stock repurchased</w:t>
            </w:r>
          </w:p>
        </w:tc>
        <w:tc>
          <w:tcPr>
            <w:tcW w:w="460" w:type="dxa"/>
            <w:vAlign w:val="bottom"/>
            <w:tcBorders>
              <w:top w:val="single" w:sz="8" w:color="CCEC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CFF"/>
            </w:tcBorders>
          </w:tcPr>
          <w:p>
            <w:pPr>
              <w:spacing w:after="0"/>
              <w:rPr>
                <w:sz w:val="11"/>
                <w:szCs w:val="11"/>
                <w:color w:val="auto"/>
              </w:rPr>
            </w:pPr>
          </w:p>
        </w:tc>
        <w:tc>
          <w:tcPr>
            <w:tcW w:w="180" w:type="dxa"/>
            <w:vAlign w:val="bottom"/>
            <w:tcBorders>
              <w:top w:val="single" w:sz="8" w:color="CCEC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CFF"/>
            </w:tcBorders>
          </w:tcPr>
          <w:p>
            <w:pPr>
              <w:spacing w:after="0"/>
              <w:rPr>
                <w:sz w:val="11"/>
                <w:szCs w:val="11"/>
                <w:color w:val="auto"/>
              </w:rPr>
            </w:pPr>
          </w:p>
        </w:tc>
        <w:tc>
          <w:tcPr>
            <w:tcW w:w="20" w:type="dxa"/>
            <w:vAlign w:val="bottom"/>
            <w:tcBorders>
              <w:top w:val="single" w:sz="8" w:color="CCEC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CFF"/>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STEATEMENTS OF CASH FLOWS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3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32,726</w:t>
            </w:r>
          </w:p>
        </w:tc>
        <w:tc>
          <w:tcPr>
            <w:tcW w:w="40" w:type="dxa"/>
            <w:vAlign w:val="bottom"/>
          </w:tcPr>
          <w:p>
            <w:pPr>
              <w:spacing w:after="0"/>
              <w:rPr>
                <w:sz w:val="13"/>
                <w:szCs w:val="13"/>
                <w:color w:val="auto"/>
              </w:rPr>
            </w:pPr>
          </w:p>
        </w:tc>
        <w:tc>
          <w:tcPr>
            <w:tcW w:w="46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48,851</w:t>
            </w:r>
          </w:p>
        </w:tc>
        <w:tc>
          <w:tcPr>
            <w:tcW w:w="30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(33,807)</w:t>
            </w:r>
          </w:p>
        </w:tc>
      </w:tr>
      <w:tr>
        <w:trPr>
          <w:trHeight w:val="144"/>
        </w:trPr>
        <w:tc>
          <w:tcPr>
            <w:tcW w:w="20" w:type="dxa"/>
            <w:vAlign w:val="bottom"/>
          </w:tcPr>
          <w:p>
            <w:pPr>
              <w:spacing w:after="0"/>
              <w:rPr>
                <w:sz w:val="12"/>
                <w:szCs w:val="12"/>
                <w:color w:val="auto"/>
              </w:rPr>
            </w:pPr>
          </w:p>
        </w:tc>
        <w:tc>
          <w:tcPr>
            <w:tcW w:w="6360" w:type="dxa"/>
            <w:vAlign w:val="bottom"/>
            <w:shd w:val="clear" w:color="auto" w:fill="CCECFF"/>
          </w:tcPr>
          <w:p>
            <w:pPr>
              <w:ind w:left="220"/>
              <w:spacing w:after="0" w:line="144" w:lineRule="exact"/>
              <w:rPr>
                <w:sz w:val="20"/>
                <w:szCs w:val="20"/>
                <w:color w:val="auto"/>
              </w:rPr>
            </w:pPr>
            <w:r>
              <w:rPr>
                <w:rFonts w:ascii="Times New Roman" w:cs="Times New Roman" w:eastAsia="Times New Roman" w:hAnsi="Times New Roman"/>
                <w:sz w:val="13"/>
                <w:szCs w:val="13"/>
                <w:color w:val="auto"/>
              </w:rPr>
              <w:t>Adjustments to reconcile net increase (decrease) in net assets resulting from</w:t>
            </w:r>
          </w:p>
        </w:tc>
        <w:tc>
          <w:tcPr>
            <w:tcW w:w="2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636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3"/>
                <w:szCs w:val="13"/>
                <w:color w:val="auto"/>
              </w:rPr>
              <w:t>operations to net cash provided by (used in) operating activities:</w:t>
            </w:r>
          </w:p>
        </w:tc>
        <w:tc>
          <w:tcPr>
            <w:tcW w:w="26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3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Net change in net unrealized (appreciation) depreciation on investments</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(39,225)</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(27,493)</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(59,594)</w:t>
            </w:r>
          </w:p>
        </w:tc>
      </w:tr>
      <w:tr>
        <w:trPr>
          <w:trHeight w:val="156"/>
        </w:trPr>
        <w:tc>
          <w:tcPr>
            <w:tcW w:w="20" w:type="dxa"/>
            <w:vAlign w:val="bottom"/>
          </w:tcPr>
          <w:p>
            <w:pPr>
              <w:spacing w:after="0"/>
              <w:rPr>
                <w:sz w:val="13"/>
                <w:szCs w:val="13"/>
                <w:color w:val="auto"/>
              </w:rPr>
            </w:pPr>
          </w:p>
        </w:tc>
        <w:tc>
          <w:tcPr>
            <w:tcW w:w="636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3"/>
                <w:szCs w:val="13"/>
                <w:color w:val="auto"/>
              </w:rPr>
              <w:t>Net change in unrealized appreciation (depreciation) on debt</w:t>
            </w: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4,385</w:t>
            </w:r>
          </w:p>
        </w:tc>
        <w:tc>
          <w:tcPr>
            <w:tcW w:w="2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3,753</w:t>
            </w:r>
          </w:p>
        </w:tc>
        <w:tc>
          <w:tcPr>
            <w:tcW w:w="10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3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52,460</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33,833</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151,516</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36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3"/>
                <w:szCs w:val="13"/>
                <w:color w:val="auto"/>
              </w:rPr>
              <w:t>Debt extinguishment realized loss</w:t>
            </w:r>
          </w:p>
        </w:tc>
        <w:tc>
          <w:tcPr>
            <w:tcW w:w="26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10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3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Net accretion of discount and amortization of premium</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(3,400)</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(3,361)</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(6,792)</w:t>
            </w:r>
          </w:p>
        </w:tc>
      </w:tr>
      <w:tr>
        <w:trPr>
          <w:trHeight w:val="156"/>
        </w:trPr>
        <w:tc>
          <w:tcPr>
            <w:tcW w:w="20" w:type="dxa"/>
            <w:vAlign w:val="bottom"/>
          </w:tcPr>
          <w:p>
            <w:pPr>
              <w:spacing w:after="0"/>
              <w:rPr>
                <w:sz w:val="13"/>
                <w:szCs w:val="13"/>
                <w:color w:val="auto"/>
              </w:rPr>
            </w:pPr>
          </w:p>
        </w:tc>
        <w:tc>
          <w:tcPr>
            <w:tcW w:w="636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3"/>
                <w:szCs w:val="13"/>
                <w:color w:val="auto"/>
              </w:rPr>
              <w:t>Purchases of investments</w:t>
            </w:r>
          </w:p>
        </w:tc>
        <w:tc>
          <w:tcPr>
            <w:tcW w:w="26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(1,219,273)</w:t>
            </w: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(1,043,619)</w:t>
            </w: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(375,176)</w:t>
            </w:r>
          </w:p>
        </w:tc>
      </w:tr>
      <w:tr>
        <w:trPr>
          <w:trHeight w:val="156"/>
        </w:trPr>
        <w:tc>
          <w:tcPr>
            <w:tcW w:w="20" w:type="dxa"/>
            <w:vAlign w:val="bottom"/>
          </w:tcPr>
          <w:p>
            <w:pPr>
              <w:spacing w:after="0"/>
              <w:rPr>
                <w:sz w:val="13"/>
                <w:szCs w:val="13"/>
                <w:color w:val="auto"/>
              </w:rPr>
            </w:pPr>
          </w:p>
        </w:tc>
        <w:tc>
          <w:tcPr>
            <w:tcW w:w="63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Payment-in-kind income</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(7,768)</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(9,571)</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(4,458)</w:t>
            </w:r>
          </w:p>
        </w:tc>
      </w:tr>
      <w:tr>
        <w:trPr>
          <w:trHeight w:val="156"/>
        </w:trPr>
        <w:tc>
          <w:tcPr>
            <w:tcW w:w="20" w:type="dxa"/>
            <w:vAlign w:val="bottom"/>
          </w:tcPr>
          <w:p>
            <w:pPr>
              <w:spacing w:after="0"/>
              <w:rPr>
                <w:sz w:val="13"/>
                <w:szCs w:val="13"/>
                <w:color w:val="auto"/>
              </w:rPr>
            </w:pPr>
          </w:p>
        </w:tc>
        <w:tc>
          <w:tcPr>
            <w:tcW w:w="636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3"/>
                <w:szCs w:val="13"/>
                <w:color w:val="auto"/>
              </w:rPr>
              <w:t>Proceeds from dispositions of investments</w:t>
            </w: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1,257,928</w:t>
            </w:r>
          </w:p>
        </w:tc>
        <w:tc>
          <w:tcPr>
            <w:tcW w:w="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824,555</w:t>
            </w:r>
          </w:p>
        </w:tc>
        <w:tc>
          <w:tcPr>
            <w:tcW w:w="2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418,627</w:t>
            </w:r>
          </w:p>
        </w:tc>
        <w:tc>
          <w:tcPr>
            <w:tcW w:w="10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3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1,755</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1,755</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1,780</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36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3"/>
                <w:szCs w:val="13"/>
                <w:color w:val="auto"/>
              </w:rPr>
              <w:t>(Increase) or Decrease in:</w:t>
            </w: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3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Interest receivable</w:t>
            </w:r>
          </w:p>
        </w:tc>
        <w:tc>
          <w:tcPr>
            <w:tcW w:w="26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(3,227)</w:t>
            </w:r>
          </w:p>
        </w:tc>
      </w:tr>
      <w:tr>
        <w:trPr>
          <w:trHeight w:val="156"/>
        </w:trPr>
        <w:tc>
          <w:tcPr>
            <w:tcW w:w="20" w:type="dxa"/>
            <w:vAlign w:val="bottom"/>
          </w:tcPr>
          <w:p>
            <w:pPr>
              <w:spacing w:after="0"/>
              <w:rPr>
                <w:sz w:val="13"/>
                <w:szCs w:val="13"/>
                <w:color w:val="auto"/>
              </w:rPr>
            </w:pPr>
          </w:p>
        </w:tc>
        <w:tc>
          <w:tcPr>
            <w:tcW w:w="63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3"/>
                <w:szCs w:val="13"/>
                <w:color w:val="auto"/>
              </w:rPr>
              <w:t>Receivables from investments sold</w:t>
            </w:r>
          </w:p>
        </w:tc>
        <w:tc>
          <w:tcPr>
            <w:tcW w:w="26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29,494</w:t>
            </w:r>
          </w:p>
        </w:tc>
      </w:tr>
      <w:tr>
        <w:trPr>
          <w:trHeight w:val="156"/>
        </w:trPr>
        <w:tc>
          <w:tcPr>
            <w:tcW w:w="20" w:type="dxa"/>
            <w:vAlign w:val="bottom"/>
          </w:tcPr>
          <w:p>
            <w:pPr>
              <w:spacing w:after="0"/>
              <w:rPr>
                <w:sz w:val="13"/>
                <w:szCs w:val="13"/>
                <w:color w:val="auto"/>
              </w:rPr>
            </w:pPr>
          </w:p>
        </w:tc>
        <w:tc>
          <w:tcPr>
            <w:tcW w:w="63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Distribution receivable</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(338)</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(2,659)</w:t>
            </w:r>
          </w:p>
        </w:tc>
      </w:tr>
      <w:tr>
        <w:trPr>
          <w:trHeight w:val="156"/>
        </w:trPr>
        <w:tc>
          <w:tcPr>
            <w:tcW w:w="20" w:type="dxa"/>
            <w:vAlign w:val="bottom"/>
          </w:tcPr>
          <w:p>
            <w:pPr>
              <w:spacing w:after="0"/>
              <w:rPr>
                <w:sz w:val="13"/>
                <w:szCs w:val="13"/>
                <w:color w:val="auto"/>
              </w:rPr>
            </w:pPr>
          </w:p>
        </w:tc>
        <w:tc>
          <w:tcPr>
            <w:tcW w:w="63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3"/>
                <w:szCs w:val="13"/>
                <w:color w:val="auto"/>
              </w:rPr>
              <w:t>Due from affiliate</w:t>
            </w: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(228)</w:t>
            </w: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0" w:type="dxa"/>
            <w:vAlign w:val="bottom"/>
          </w:tcPr>
          <w:p>
            <w:pPr>
              <w:spacing w:after="0"/>
              <w:rPr>
                <w:sz w:val="13"/>
                <w:szCs w:val="13"/>
                <w:color w:val="auto"/>
              </w:rPr>
            </w:pPr>
          </w:p>
        </w:tc>
        <w:tc>
          <w:tcPr>
            <w:tcW w:w="63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3,592</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(306)</w:t>
            </w:r>
          </w:p>
        </w:tc>
      </w:tr>
      <w:tr>
        <w:trPr>
          <w:trHeight w:val="156"/>
        </w:trPr>
        <w:tc>
          <w:tcPr>
            <w:tcW w:w="20" w:type="dxa"/>
            <w:vAlign w:val="bottom"/>
          </w:tcPr>
          <w:p>
            <w:pPr>
              <w:spacing w:after="0"/>
              <w:rPr>
                <w:sz w:val="13"/>
                <w:szCs w:val="13"/>
                <w:color w:val="auto"/>
              </w:rPr>
            </w:pPr>
          </w:p>
        </w:tc>
        <w:tc>
          <w:tcPr>
            <w:tcW w:w="636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3"/>
                <w:szCs w:val="13"/>
                <w:color w:val="auto"/>
              </w:rPr>
              <w:t>Increase or (Decrease) in:</w:t>
            </w: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3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Due to affiliates</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(4,066)</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1,990</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3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29,911</w:t>
            </w:r>
          </w:p>
        </w:tc>
        <w:tc>
          <w:tcPr>
            <w:tcW w:w="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2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99,949</w:t>
            </w:r>
          </w:p>
        </w:tc>
      </w:tr>
      <w:tr>
        <w:trPr>
          <w:trHeight w:val="156"/>
        </w:trPr>
        <w:tc>
          <w:tcPr>
            <w:tcW w:w="20" w:type="dxa"/>
            <w:vAlign w:val="bottom"/>
          </w:tcPr>
          <w:p>
            <w:pPr>
              <w:spacing w:after="0"/>
              <w:rPr>
                <w:sz w:val="13"/>
                <w:szCs w:val="13"/>
                <w:color w:val="auto"/>
              </w:rPr>
            </w:pPr>
          </w:p>
        </w:tc>
        <w:tc>
          <w:tcPr>
            <w:tcW w:w="63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Interest payable on debt</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(33)</w:t>
            </w:r>
          </w:p>
        </w:tc>
      </w:tr>
      <w:tr>
        <w:trPr>
          <w:trHeight w:val="156"/>
        </w:trPr>
        <w:tc>
          <w:tcPr>
            <w:tcW w:w="20" w:type="dxa"/>
            <w:vAlign w:val="bottom"/>
          </w:tcPr>
          <w:p>
            <w:pPr>
              <w:spacing w:after="0"/>
              <w:rPr>
                <w:sz w:val="13"/>
                <w:szCs w:val="13"/>
                <w:color w:val="auto"/>
              </w:rPr>
            </w:pPr>
          </w:p>
        </w:tc>
        <w:tc>
          <w:tcPr>
            <w:tcW w:w="63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3"/>
                <w:szCs w:val="13"/>
                <w:color w:val="auto"/>
              </w:rPr>
              <w:t>Base management fee payable, net</w:t>
            </w:r>
          </w:p>
        </w:tc>
        <w:tc>
          <w:tcPr>
            <w:tcW w:w="26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2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(934)</w:t>
            </w:r>
          </w:p>
        </w:tc>
      </w:tr>
      <w:tr>
        <w:trPr>
          <w:trHeight w:val="156"/>
        </w:trPr>
        <w:tc>
          <w:tcPr>
            <w:tcW w:w="20" w:type="dxa"/>
            <w:vAlign w:val="bottom"/>
          </w:tcPr>
          <w:p>
            <w:pPr>
              <w:spacing w:after="0"/>
              <w:rPr>
                <w:sz w:val="13"/>
                <w:szCs w:val="13"/>
                <w:color w:val="auto"/>
              </w:rPr>
            </w:pPr>
          </w:p>
        </w:tc>
        <w:tc>
          <w:tcPr>
            <w:tcW w:w="63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Deferred tax liability</w:t>
            </w:r>
          </w:p>
        </w:tc>
        <w:tc>
          <w:tcPr>
            <w:tcW w:w="26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(896)</w:t>
            </w:r>
          </w:p>
        </w:tc>
      </w:tr>
      <w:tr>
        <w:trPr>
          <w:trHeight w:val="156"/>
        </w:trPr>
        <w:tc>
          <w:tcPr>
            <w:tcW w:w="20" w:type="dxa"/>
            <w:vAlign w:val="bottom"/>
          </w:tcPr>
          <w:p>
            <w:pPr>
              <w:spacing w:after="0"/>
              <w:rPr>
                <w:sz w:val="13"/>
                <w:szCs w:val="13"/>
                <w:color w:val="auto"/>
              </w:rPr>
            </w:pPr>
          </w:p>
        </w:tc>
        <w:tc>
          <w:tcPr>
            <w:tcW w:w="636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3"/>
                <w:szCs w:val="13"/>
                <w:color w:val="auto"/>
              </w:rPr>
              <w:t>Incentive fee payable</w:t>
            </w:r>
          </w:p>
        </w:tc>
        <w:tc>
          <w:tcPr>
            <w:tcW w:w="26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(971)</w:t>
            </w: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(253)</w:t>
            </w: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3,310</w:t>
            </w:r>
          </w:p>
        </w:tc>
        <w:tc>
          <w:tcPr>
            <w:tcW w:w="10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3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(2,701)</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36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104,776</w:t>
            </w:r>
          </w:p>
        </w:tc>
        <w:tc>
          <w:tcPr>
            <w:tcW w:w="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(172,396)</w:t>
            </w: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222,941</w:t>
            </w:r>
          </w:p>
        </w:tc>
        <w:tc>
          <w:tcPr>
            <w:tcW w:w="10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36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3"/>
                <w:szCs w:val="13"/>
                <w:color w:val="auto"/>
              </w:rPr>
              <w:t>Proceeds from public offering</w:t>
            </w:r>
          </w:p>
        </w:tc>
        <w:tc>
          <w:tcPr>
            <w:tcW w:w="26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2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0" w:type="dxa"/>
            <w:vAlign w:val="bottom"/>
          </w:tcPr>
          <w:p>
            <w:pPr>
              <w:spacing w:after="0"/>
              <w:rPr>
                <w:sz w:val="13"/>
                <w:szCs w:val="13"/>
                <w:color w:val="auto"/>
              </w:rPr>
            </w:pPr>
          </w:p>
        </w:tc>
        <w:tc>
          <w:tcPr>
            <w:tcW w:w="63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Offering costs</w:t>
            </w:r>
          </w:p>
        </w:tc>
        <w:tc>
          <w:tcPr>
            <w:tcW w:w="26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(250)</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0" w:type="dxa"/>
            <w:vAlign w:val="bottom"/>
          </w:tcPr>
          <w:p>
            <w:pPr>
              <w:spacing w:after="0"/>
              <w:rPr>
                <w:sz w:val="13"/>
                <w:szCs w:val="13"/>
                <w:color w:val="auto"/>
              </w:rPr>
            </w:pPr>
          </w:p>
        </w:tc>
        <w:tc>
          <w:tcPr>
            <w:tcW w:w="636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3"/>
                <w:szCs w:val="13"/>
                <w:color w:val="auto"/>
              </w:rPr>
              <w:t>Distributions paid to stockholders</w:t>
            </w:r>
          </w:p>
        </w:tc>
        <w:tc>
          <w:tcPr>
            <w:tcW w:w="26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(67,908)</w:t>
            </w: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(65,904)</w:t>
            </w: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(45,658)</w:t>
            </w:r>
          </w:p>
        </w:tc>
      </w:tr>
      <w:tr>
        <w:trPr>
          <w:trHeight w:val="156"/>
        </w:trPr>
        <w:tc>
          <w:tcPr>
            <w:tcW w:w="20" w:type="dxa"/>
            <w:vAlign w:val="bottom"/>
          </w:tcPr>
          <w:p>
            <w:pPr>
              <w:spacing w:after="0"/>
              <w:rPr>
                <w:sz w:val="13"/>
                <w:szCs w:val="13"/>
                <w:color w:val="auto"/>
              </w:rPr>
            </w:pPr>
          </w:p>
        </w:tc>
        <w:tc>
          <w:tcPr>
            <w:tcW w:w="63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Repayments of SBA debentures</w:t>
            </w:r>
          </w:p>
        </w:tc>
        <w:tc>
          <w:tcPr>
            <w:tcW w:w="26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(20,000)</w:t>
            </w:r>
          </w:p>
        </w:tc>
      </w:tr>
      <w:tr>
        <w:trPr>
          <w:trHeight w:val="156"/>
        </w:trPr>
        <w:tc>
          <w:tcPr>
            <w:tcW w:w="20" w:type="dxa"/>
            <w:vAlign w:val="bottom"/>
          </w:tcPr>
          <w:p>
            <w:pPr>
              <w:spacing w:after="0"/>
              <w:rPr>
                <w:sz w:val="13"/>
                <w:szCs w:val="13"/>
                <w:color w:val="auto"/>
              </w:rPr>
            </w:pPr>
          </w:p>
        </w:tc>
        <w:tc>
          <w:tcPr>
            <w:tcW w:w="636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3"/>
                <w:szCs w:val="13"/>
                <w:color w:val="auto"/>
              </w:rPr>
              <w:t>Borrowings under Truist Credit Facility</w:t>
            </w: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207,000</w:t>
            </w:r>
          </w:p>
        </w:tc>
        <w:tc>
          <w:tcPr>
            <w:tcW w:w="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524,036</w:t>
            </w:r>
          </w:p>
        </w:tc>
        <w:tc>
          <w:tcPr>
            <w:tcW w:w="2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152,500</w:t>
            </w:r>
          </w:p>
        </w:tc>
        <w:tc>
          <w:tcPr>
            <w:tcW w:w="10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3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Repayments under Truist Credit Facility</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(242,000)</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(275,000)</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(326,000)</w:t>
            </w:r>
          </w:p>
        </w:tc>
      </w:tr>
      <w:tr>
        <w:trPr>
          <w:trHeight w:val="156"/>
        </w:trPr>
        <w:tc>
          <w:tcPr>
            <w:tcW w:w="20" w:type="dxa"/>
            <w:vAlign w:val="bottom"/>
          </w:tcPr>
          <w:p>
            <w:pPr>
              <w:spacing w:after="0"/>
              <w:rPr>
                <w:sz w:val="13"/>
                <w:szCs w:val="13"/>
                <w:color w:val="auto"/>
              </w:rPr>
            </w:pPr>
          </w:p>
        </w:tc>
        <w:tc>
          <w:tcPr>
            <w:tcW w:w="636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26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(102,908)</w:t>
            </w: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183,434</w:t>
            </w:r>
          </w:p>
        </w:tc>
        <w:tc>
          <w:tcPr>
            <w:tcW w:w="2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(239,158)</w:t>
            </w:r>
          </w:p>
        </w:tc>
      </w:tr>
      <w:tr>
        <w:trPr>
          <w:trHeight w:val="156"/>
        </w:trPr>
        <w:tc>
          <w:tcPr>
            <w:tcW w:w="20" w:type="dxa"/>
            <w:vAlign w:val="bottom"/>
          </w:tcPr>
          <w:p>
            <w:pPr>
              <w:spacing w:after="0"/>
              <w:rPr>
                <w:sz w:val="13"/>
                <w:szCs w:val="13"/>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increase (decrease) in cash and cash equivalents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1,868</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11,038</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(16,217)</w:t>
            </w:r>
          </w:p>
        </w:tc>
      </w:tr>
      <w:tr>
        <w:trPr>
          <w:trHeight w:val="156"/>
        </w:trPr>
        <w:tc>
          <w:tcPr>
            <w:tcW w:w="20" w:type="dxa"/>
            <w:vAlign w:val="bottom"/>
          </w:tcPr>
          <w:p>
            <w:pPr>
              <w:spacing w:after="0"/>
              <w:rPr>
                <w:sz w:val="13"/>
                <w:szCs w:val="13"/>
                <w:color w:val="auto"/>
              </w:rPr>
            </w:pPr>
          </w:p>
        </w:tc>
        <w:tc>
          <w:tcPr>
            <w:tcW w:w="63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Effect of exchange rate changes on cash</w:t>
            </w: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0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beginning of year</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49,861</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38,775</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54,775</w:t>
            </w:r>
          </w:p>
        </w:tc>
      </w:tr>
      <w:tr>
        <w:trPr>
          <w:trHeight w:val="196"/>
        </w:trPr>
        <w:tc>
          <w:tcPr>
            <w:tcW w:w="20" w:type="dxa"/>
            <w:vAlign w:val="bottom"/>
          </w:tcPr>
          <w:p>
            <w:pPr>
              <w:spacing w:after="0"/>
              <w:rPr>
                <w:sz w:val="17"/>
                <w:szCs w:val="17"/>
                <w:color w:val="auto"/>
              </w:rPr>
            </w:pPr>
          </w:p>
        </w:tc>
        <w:tc>
          <w:tcPr>
            <w:tcW w:w="6360" w:type="dxa"/>
            <w:vAlign w:val="bottom"/>
            <w:shd w:val="clear" w:color="auto" w:fill="CCECFF"/>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Cash and cash equivalents, end of year</w:t>
            </w:r>
          </w:p>
        </w:tc>
        <w:tc>
          <w:tcPr>
            <w:tcW w:w="260" w:type="dxa"/>
            <w:vAlign w:val="bottom"/>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51,783</w:t>
            </w:r>
          </w:p>
        </w:tc>
        <w:tc>
          <w:tcPr>
            <w:tcW w:w="40" w:type="dxa"/>
            <w:vAlign w:val="bottom"/>
            <w:shd w:val="clear" w:color="auto" w:fill="CCECFF"/>
          </w:tcPr>
          <w:p>
            <w:pPr>
              <w:spacing w:after="0"/>
              <w:rPr>
                <w:sz w:val="17"/>
                <w:szCs w:val="17"/>
                <w:color w:val="auto"/>
              </w:rPr>
            </w:pPr>
          </w:p>
        </w:tc>
        <w:tc>
          <w:tcPr>
            <w:tcW w:w="460" w:type="dxa"/>
            <w:vAlign w:val="bottom"/>
            <w:gridSpan w:val="2"/>
            <w:shd w:val="clear" w:color="auto" w:fill="CCECFF"/>
          </w:tcPr>
          <w:p>
            <w:pPr>
              <w:jc w:val="right"/>
              <w:ind w:right="1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CECFF"/>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49,861</w:t>
            </w:r>
          </w:p>
        </w:tc>
        <w:tc>
          <w:tcPr>
            <w:tcW w:w="300" w:type="dxa"/>
            <w:vAlign w:val="bottom"/>
            <w:gridSpan w:val="2"/>
            <w:shd w:val="clear" w:color="auto" w:fill="CCECFF"/>
          </w:tcPr>
          <w:p>
            <w:pPr>
              <w:jc w:val="right"/>
              <w:ind w:right="1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CFF"/>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38,775</w:t>
            </w:r>
          </w:p>
        </w:tc>
      </w:tr>
      <w:tr>
        <w:trPr>
          <w:trHeight w:val="132"/>
        </w:trPr>
        <w:tc>
          <w:tcPr>
            <w:tcW w:w="20" w:type="dxa"/>
            <w:vAlign w:val="bottom"/>
          </w:tcPr>
          <w:p>
            <w:pPr>
              <w:spacing w:after="0"/>
              <w:rPr>
                <w:sz w:val="11"/>
                <w:szCs w:val="11"/>
                <w:color w:val="auto"/>
              </w:rPr>
            </w:pPr>
          </w:p>
        </w:tc>
        <w:tc>
          <w:tcPr>
            <w:tcW w:w="6360" w:type="dxa"/>
            <w:vAlign w:val="bottom"/>
            <w:tcBorders>
              <w:top w:val="single" w:sz="8" w:color="CCECFF"/>
            </w:tcBorders>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Supplemental disclosures:</w:t>
            </w: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40" w:type="dxa"/>
            <w:vAlign w:val="bottom"/>
            <w:tcBorders>
              <w:top w:val="single" w:sz="8" w:color="CCECFF"/>
            </w:tcBorders>
          </w:tcPr>
          <w:p>
            <w:pPr>
              <w:spacing w:after="0"/>
              <w:rPr>
                <w:sz w:val="11"/>
                <w:szCs w:val="11"/>
                <w:color w:val="auto"/>
              </w:rPr>
            </w:pPr>
          </w:p>
        </w:tc>
        <w:tc>
          <w:tcPr>
            <w:tcW w:w="180" w:type="dxa"/>
            <w:vAlign w:val="bottom"/>
            <w:tcBorders>
              <w:top w:val="single" w:sz="8" w:color="CCEC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0" w:type="dxa"/>
            <w:vAlign w:val="bottom"/>
            <w:tcBorders>
              <w:top w:val="single" w:sz="8" w:color="CCECFF"/>
            </w:tcBorders>
          </w:tcPr>
          <w:p>
            <w:pPr>
              <w:spacing w:after="0"/>
              <w:rPr>
                <w:sz w:val="11"/>
                <w:szCs w:val="11"/>
                <w:color w:val="auto"/>
              </w:rPr>
            </w:pPr>
          </w:p>
        </w:tc>
        <w:tc>
          <w:tcPr>
            <w:tcW w:w="20" w:type="dxa"/>
            <w:vAlign w:val="bottom"/>
            <w:tcBorders>
              <w:top w:val="single" w:sz="8" w:color="CCEC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CCECFF"/>
            </w:tcBorders>
          </w:tcPr>
          <w:p>
            <w:pPr>
              <w:spacing w:after="0"/>
              <w:rPr>
                <w:sz w:val="11"/>
                <w:szCs w:val="11"/>
                <w:color w:val="auto"/>
              </w:rPr>
            </w:pPr>
          </w:p>
        </w:tc>
      </w:tr>
      <w:tr>
        <w:trPr>
          <w:trHeight w:val="196"/>
        </w:trPr>
        <w:tc>
          <w:tcPr>
            <w:tcW w:w="20" w:type="dxa"/>
            <w:vAlign w:val="bottom"/>
          </w:tcPr>
          <w:p>
            <w:pPr>
              <w:spacing w:after="0"/>
              <w:rPr>
                <w:sz w:val="17"/>
                <w:szCs w:val="17"/>
                <w:color w:val="auto"/>
              </w:rPr>
            </w:pPr>
          </w:p>
        </w:tc>
        <w:tc>
          <w:tcPr>
            <w:tcW w:w="6360" w:type="dxa"/>
            <w:vAlign w:val="bottom"/>
            <w:shd w:val="clear" w:color="auto" w:fill="CCECFF"/>
          </w:tcPr>
          <w:p>
            <w:pPr>
              <w:ind w:left="100"/>
              <w:spacing w:after="0" w:line="136" w:lineRule="exact"/>
              <w:rPr>
                <w:sz w:val="20"/>
                <w:szCs w:val="20"/>
                <w:color w:val="auto"/>
              </w:rPr>
            </w:pPr>
            <w:r>
              <w:rPr>
                <w:rFonts w:ascii="Times New Roman" w:cs="Times New Roman" w:eastAsia="Times New Roman" w:hAnsi="Times New Roman"/>
                <w:sz w:val="13"/>
                <w:szCs w:val="13"/>
                <w:color w:val="auto"/>
              </w:rPr>
              <w:t>Interest paid</w:t>
            </w:r>
          </w:p>
        </w:tc>
        <w:tc>
          <w:tcPr>
            <w:tcW w:w="260" w:type="dxa"/>
            <w:vAlign w:val="bottom"/>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39,685</w:t>
            </w:r>
          </w:p>
        </w:tc>
        <w:tc>
          <w:tcPr>
            <w:tcW w:w="4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280" w:type="dxa"/>
            <w:vAlign w:val="bottom"/>
            <w:shd w:val="clear" w:color="auto" w:fill="CCECFF"/>
          </w:tcPr>
          <w:p>
            <w:pPr>
              <w:jc w:val="right"/>
              <w:ind w:right="13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shd w:val="clear" w:color="auto" w:fill="CCECFF"/>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43,258</w:t>
            </w:r>
          </w:p>
        </w:tc>
        <w:tc>
          <w:tcPr>
            <w:tcW w:w="300" w:type="dxa"/>
            <w:vAlign w:val="bottom"/>
            <w:gridSpan w:val="2"/>
            <w:shd w:val="clear" w:color="auto" w:fill="CCECFF"/>
          </w:tcPr>
          <w:p>
            <w:pPr>
              <w:jc w:val="right"/>
              <w:ind w:right="1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CFF"/>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37,661</w:t>
            </w:r>
          </w:p>
        </w:tc>
      </w:tr>
      <w:tr>
        <w:trPr>
          <w:trHeight w:val="132"/>
        </w:trPr>
        <w:tc>
          <w:tcPr>
            <w:tcW w:w="20" w:type="dxa"/>
            <w:vAlign w:val="bottom"/>
          </w:tcPr>
          <w:p>
            <w:pPr>
              <w:spacing w:after="0"/>
              <w:rPr>
                <w:sz w:val="11"/>
                <w:szCs w:val="11"/>
                <w:color w:val="auto"/>
              </w:rPr>
            </w:pPr>
          </w:p>
        </w:tc>
        <w:tc>
          <w:tcPr>
            <w:tcW w:w="6360" w:type="dxa"/>
            <w:vAlign w:val="bottom"/>
            <w:tcBorders>
              <w:top w:val="single" w:sz="8" w:color="CCECFF"/>
            </w:tcBorders>
          </w:tcPr>
          <w:p>
            <w:pPr>
              <w:ind w:left="100"/>
              <w:spacing w:after="0" w:line="133" w:lineRule="exact"/>
              <w:rPr>
                <w:sz w:val="20"/>
                <w:szCs w:val="20"/>
                <w:color w:val="auto"/>
              </w:rPr>
            </w:pPr>
            <w:r>
              <w:rPr>
                <w:rFonts w:ascii="Times New Roman" w:cs="Times New Roman" w:eastAsia="Times New Roman" w:hAnsi="Times New Roman"/>
                <w:sz w:val="13"/>
                <w:szCs w:val="13"/>
                <w:color w:val="auto"/>
              </w:rPr>
              <w:t>Taxes paid</w:t>
            </w: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2,850</w:t>
            </w:r>
          </w:p>
        </w:tc>
        <w:tc>
          <w:tcPr>
            <w:tcW w:w="40" w:type="dxa"/>
            <w:vAlign w:val="bottom"/>
            <w:tcBorders>
              <w:top w:val="single" w:sz="8" w:color="CCECFF"/>
            </w:tcBorders>
          </w:tcPr>
          <w:p>
            <w:pPr>
              <w:spacing w:after="0"/>
              <w:rPr>
                <w:sz w:val="11"/>
                <w:szCs w:val="11"/>
                <w:color w:val="auto"/>
              </w:rPr>
            </w:pPr>
          </w:p>
        </w:tc>
        <w:tc>
          <w:tcPr>
            <w:tcW w:w="180" w:type="dxa"/>
            <w:vAlign w:val="bottom"/>
            <w:tcBorders>
              <w:top w:val="single" w:sz="8" w:color="CCECFF"/>
            </w:tcBorders>
          </w:tcPr>
          <w:p>
            <w:pPr>
              <w:spacing w:after="0"/>
              <w:rPr>
                <w:sz w:val="11"/>
                <w:szCs w:val="11"/>
                <w:color w:val="auto"/>
              </w:rPr>
            </w:pPr>
          </w:p>
        </w:tc>
        <w:tc>
          <w:tcPr>
            <w:tcW w:w="280" w:type="dxa"/>
            <w:vAlign w:val="bottom"/>
            <w:tcBorders>
              <w:top w:val="single" w:sz="8" w:color="auto"/>
              <w:bottom w:val="single" w:sz="8" w:color="auto"/>
            </w:tcBorders>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6,308</w:t>
            </w:r>
          </w:p>
        </w:tc>
        <w:tc>
          <w:tcPr>
            <w:tcW w:w="200" w:type="dxa"/>
            <w:vAlign w:val="bottom"/>
            <w:tcBorders>
              <w:top w:val="single" w:sz="8" w:color="CCECFF"/>
            </w:tcBorders>
          </w:tcPr>
          <w:p>
            <w:pPr>
              <w:spacing w:after="0"/>
              <w:rPr>
                <w:sz w:val="11"/>
                <w:szCs w:val="11"/>
                <w:color w:val="auto"/>
              </w:rPr>
            </w:pPr>
          </w:p>
        </w:tc>
        <w:tc>
          <w:tcPr>
            <w:tcW w:w="20" w:type="dxa"/>
            <w:vAlign w:val="bottom"/>
            <w:tcBorders>
              <w:top w:val="single" w:sz="8" w:color="CCECFF"/>
            </w:tcBorders>
          </w:tcPr>
          <w:p>
            <w:pPr>
              <w:spacing w:after="0"/>
              <w:rPr>
                <w:sz w:val="11"/>
                <w:szCs w:val="11"/>
                <w:color w:val="auto"/>
              </w:rPr>
            </w:pPr>
          </w:p>
        </w:tc>
        <w:tc>
          <w:tcPr>
            <w:tcW w:w="280" w:type="dxa"/>
            <w:vAlign w:val="bottom"/>
            <w:tcBorders>
              <w:top w:val="single" w:sz="8" w:color="auto"/>
              <w:bottom w:val="single" w:sz="8" w:color="auto"/>
            </w:tcBorders>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5,707</w:t>
            </w:r>
          </w:p>
        </w:tc>
        <w:tc>
          <w:tcPr>
            <w:tcW w:w="100" w:type="dxa"/>
            <w:vAlign w:val="bottom"/>
            <w:tcBorders>
              <w:top w:val="single" w:sz="8" w:color="CCECFF"/>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360" w:type="dxa"/>
            <w:vAlign w:val="bottom"/>
            <w:tcBorders>
              <w:bottom w:val="single" w:sz="8" w:color="CCECFF"/>
            </w:tcBorders>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Non-cash exchanges and conversions</w:t>
            </w:r>
          </w:p>
        </w:tc>
        <w:tc>
          <w:tcPr>
            <w:tcW w:w="260" w:type="dxa"/>
            <w:vAlign w:val="bottom"/>
            <w:tcBorders>
              <w:bottom w:val="single" w:sz="8" w:color="CCECFF"/>
            </w:tcBorders>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CFF"/>
            </w:tcBorders>
            <w:shd w:val="clear" w:color="auto" w:fill="CCECFF"/>
          </w:tcPr>
          <w:p>
            <w:pPr>
              <w:jc w:val="right"/>
              <w:spacing w:after="0" w:line="148" w:lineRule="exact"/>
              <w:rPr>
                <w:sz w:val="20"/>
                <w:szCs w:val="20"/>
                <w:color w:val="auto"/>
              </w:rPr>
            </w:pPr>
            <w:r>
              <w:rPr>
                <w:rFonts w:ascii="Times New Roman" w:cs="Times New Roman" w:eastAsia="Times New Roman" w:hAnsi="Times New Roman"/>
                <w:sz w:val="13"/>
                <w:szCs w:val="13"/>
                <w:color w:val="auto"/>
              </w:rPr>
              <w:t>24,684</w:t>
            </w:r>
          </w:p>
        </w:tc>
        <w:tc>
          <w:tcPr>
            <w:tcW w:w="40" w:type="dxa"/>
            <w:vAlign w:val="bottom"/>
            <w:tcBorders>
              <w:bottom w:val="single" w:sz="8" w:color="CCECFF"/>
            </w:tcBorders>
            <w:shd w:val="clear" w:color="auto" w:fill="CCECFF"/>
          </w:tcPr>
          <w:p>
            <w:pPr>
              <w:spacing w:after="0"/>
              <w:rPr>
                <w:sz w:val="20"/>
                <w:szCs w:val="20"/>
                <w:color w:val="auto"/>
              </w:rPr>
            </w:pPr>
          </w:p>
        </w:tc>
        <w:tc>
          <w:tcPr>
            <w:tcW w:w="460" w:type="dxa"/>
            <w:vAlign w:val="bottom"/>
            <w:tcBorders>
              <w:bottom w:val="single" w:sz="8" w:color="CCECFF"/>
            </w:tcBorders>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CFF"/>
            </w:tcBorders>
            <w:shd w:val="clear" w:color="auto" w:fill="CCECFF"/>
          </w:tcPr>
          <w:p>
            <w:pPr>
              <w:jc w:val="right"/>
              <w:spacing w:after="0" w:line="148" w:lineRule="exact"/>
              <w:rPr>
                <w:sz w:val="20"/>
                <w:szCs w:val="20"/>
                <w:color w:val="auto"/>
              </w:rPr>
            </w:pPr>
            <w:r>
              <w:rPr>
                <w:rFonts w:ascii="Times New Roman" w:cs="Times New Roman" w:eastAsia="Times New Roman" w:hAnsi="Times New Roman"/>
                <w:sz w:val="13"/>
                <w:szCs w:val="13"/>
                <w:color w:val="auto"/>
              </w:rPr>
              <w:t>36,253</w:t>
            </w:r>
          </w:p>
        </w:tc>
        <w:tc>
          <w:tcPr>
            <w:tcW w:w="200" w:type="dxa"/>
            <w:vAlign w:val="bottom"/>
            <w:tcBorders>
              <w:bottom w:val="single" w:sz="8" w:color="CCECFF"/>
            </w:tcBorders>
            <w:shd w:val="clear" w:color="auto" w:fill="CCECFF"/>
          </w:tcPr>
          <w:p>
            <w:pPr>
              <w:spacing w:after="0"/>
              <w:rPr>
                <w:sz w:val="20"/>
                <w:szCs w:val="20"/>
                <w:color w:val="auto"/>
              </w:rPr>
            </w:pPr>
          </w:p>
        </w:tc>
        <w:tc>
          <w:tcPr>
            <w:tcW w:w="300" w:type="dxa"/>
            <w:vAlign w:val="bottom"/>
            <w:tcBorders>
              <w:bottom w:val="single" w:sz="8" w:color="CCECFF"/>
            </w:tcBorders>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CFF"/>
            </w:tcBorders>
            <w:shd w:val="clear" w:color="auto" w:fill="CCECFF"/>
          </w:tcPr>
          <w:p>
            <w:pPr>
              <w:jc w:val="right"/>
              <w:spacing w:after="0" w:line="148" w:lineRule="exact"/>
              <w:rPr>
                <w:sz w:val="20"/>
                <w:szCs w:val="20"/>
                <w:color w:val="auto"/>
              </w:rPr>
            </w:pPr>
            <w:r>
              <w:rPr>
                <w:rFonts w:ascii="Times New Roman" w:cs="Times New Roman" w:eastAsia="Times New Roman" w:hAnsi="Times New Roman"/>
                <w:sz w:val="13"/>
                <w:szCs w:val="13"/>
                <w:color w:val="auto"/>
              </w:rPr>
              <w:t>18,467</w:t>
            </w:r>
          </w:p>
        </w:tc>
        <w:tc>
          <w:tcPr>
            <w:tcW w:w="100" w:type="dxa"/>
            <w:vAlign w:val="bottom"/>
            <w:tcBorders>
              <w:bottom w:val="single" w:sz="8" w:color="CCECFF"/>
            </w:tcBorders>
            <w:shd w:val="clear" w:color="auto" w:fill="CCECFF"/>
          </w:tcPr>
          <w:p>
            <w:pPr>
              <w:spacing w:after="0"/>
              <w:rPr>
                <w:sz w:val="20"/>
                <w:szCs w:val="20"/>
                <w:color w:val="auto"/>
              </w:rPr>
            </w:pPr>
          </w:p>
        </w:tc>
      </w:tr>
      <w:tr>
        <w:trPr>
          <w:trHeight w:val="132"/>
        </w:trPr>
        <w:tc>
          <w:tcPr>
            <w:tcW w:w="20" w:type="dxa"/>
            <w:vAlign w:val="bottom"/>
          </w:tcPr>
          <w:p>
            <w:pPr>
              <w:spacing w:after="0"/>
              <w:rPr>
                <w:sz w:val="11"/>
                <w:szCs w:val="11"/>
                <w:color w:val="auto"/>
              </w:rPr>
            </w:pPr>
          </w:p>
        </w:tc>
        <w:tc>
          <w:tcPr>
            <w:tcW w:w="6360" w:type="dxa"/>
            <w:vAlign w:val="bottom"/>
            <w:tcBorders>
              <w:top w:val="single" w:sz="8" w:color="CCECFF"/>
            </w:tcBorders>
          </w:tcPr>
          <w:p>
            <w:pPr>
              <w:ind w:left="100"/>
              <w:spacing w:after="0" w:line="133" w:lineRule="exact"/>
              <w:rPr>
                <w:sz w:val="20"/>
                <w:szCs w:val="20"/>
                <w:color w:val="auto"/>
              </w:rPr>
            </w:pPr>
            <w:r>
              <w:rPr>
                <w:rFonts w:ascii="Times New Roman" w:cs="Times New Roman" w:eastAsia="Times New Roman" w:hAnsi="Times New Roman"/>
                <w:sz w:val="13"/>
                <w:szCs w:val="13"/>
                <w:color w:val="auto"/>
              </w:rPr>
              <w:t>Non-cash purchases and disposition of investments</w:t>
            </w: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26,250</w:t>
            </w:r>
          </w:p>
        </w:tc>
        <w:tc>
          <w:tcPr>
            <w:tcW w:w="40" w:type="dxa"/>
            <w:vAlign w:val="bottom"/>
            <w:tcBorders>
              <w:top w:val="single" w:sz="8" w:color="CCECFF"/>
            </w:tcBorders>
          </w:tcPr>
          <w:p>
            <w:pPr>
              <w:spacing w:after="0"/>
              <w:rPr>
                <w:sz w:val="11"/>
                <w:szCs w:val="11"/>
                <w:color w:val="auto"/>
              </w:rPr>
            </w:pPr>
          </w:p>
        </w:tc>
        <w:tc>
          <w:tcPr>
            <w:tcW w:w="180" w:type="dxa"/>
            <w:vAlign w:val="bottom"/>
            <w:tcBorders>
              <w:top w:val="single" w:sz="8" w:color="CCECFF"/>
            </w:tcBorders>
          </w:tcPr>
          <w:p>
            <w:pPr>
              <w:spacing w:after="0"/>
              <w:rPr>
                <w:sz w:val="11"/>
                <w:szCs w:val="11"/>
                <w:color w:val="auto"/>
              </w:rPr>
            </w:pPr>
          </w:p>
        </w:tc>
        <w:tc>
          <w:tcPr>
            <w:tcW w:w="280" w:type="dxa"/>
            <w:vAlign w:val="bottom"/>
            <w:tcBorders>
              <w:top w:val="single" w:sz="8" w:color="auto"/>
              <w:bottom w:val="single" w:sz="8" w:color="auto"/>
            </w:tcBorders>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CFF"/>
            </w:tcBorders>
          </w:tcPr>
          <w:p>
            <w:pPr>
              <w:spacing w:after="0"/>
              <w:rPr>
                <w:sz w:val="11"/>
                <w:szCs w:val="11"/>
                <w:color w:val="auto"/>
              </w:rPr>
            </w:pPr>
          </w:p>
        </w:tc>
        <w:tc>
          <w:tcPr>
            <w:tcW w:w="20" w:type="dxa"/>
            <w:vAlign w:val="bottom"/>
            <w:tcBorders>
              <w:top w:val="single" w:sz="8" w:color="CCECFF"/>
            </w:tcBorders>
          </w:tcPr>
          <w:p>
            <w:pPr>
              <w:spacing w:after="0"/>
              <w:rPr>
                <w:sz w:val="11"/>
                <w:szCs w:val="11"/>
                <w:color w:val="auto"/>
              </w:rPr>
            </w:pPr>
          </w:p>
        </w:tc>
        <w:tc>
          <w:tcPr>
            <w:tcW w:w="280" w:type="dxa"/>
            <w:vAlign w:val="bottom"/>
            <w:tcBorders>
              <w:top w:val="single" w:sz="8" w:color="auto"/>
              <w:bottom w:val="single" w:sz="8" w:color="auto"/>
            </w:tcBorders>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CFF"/>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0"/>
        </w:trPr>
        <w:tc>
          <w:tcPr>
            <w:tcW w:w="2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9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b w:val="1"/>
                <w:bCs w:val="1"/>
                <w:color w:val="auto"/>
                <w:w w:val="98"/>
              </w:rPr>
              <w:t>Acquisition</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Maturity</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80" w:type="dxa"/>
            <w:vAlign w:val="bottom"/>
          </w:tcPr>
          <w:p>
            <w:pPr>
              <w:jc w:val="center"/>
              <w:ind w:right="5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20" w:type="dxa"/>
            <w:vAlign w:val="bottom"/>
          </w:tcPr>
          <w:p>
            <w:pPr>
              <w:spacing w:after="0"/>
              <w:rPr>
                <w:sz w:val="10"/>
                <w:szCs w:val="10"/>
                <w:color w:val="auto"/>
              </w:rPr>
            </w:pPr>
          </w:p>
        </w:tc>
        <w:tc>
          <w:tcPr>
            <w:tcW w:w="58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0"/>
                <w:szCs w:val="10"/>
                <w:color w:val="auto"/>
              </w:rPr>
            </w:pPr>
          </w:p>
        </w:tc>
        <w:tc>
          <w:tcPr>
            <w:tcW w:w="780" w:type="dxa"/>
            <w:vAlign w:val="bottom"/>
          </w:tcPr>
          <w:p>
            <w:pPr>
              <w:jc w:val="right"/>
              <w:ind w:right="152"/>
              <w:spacing w:after="0" w:line="122" w:lineRule="exact"/>
              <w:rPr>
                <w:sz w:val="20"/>
                <w:szCs w:val="20"/>
                <w:color w:val="auto"/>
              </w:rPr>
            </w:pPr>
            <w:r>
              <w:rPr>
                <w:rFonts w:ascii="Times New Roman" w:cs="Times New Roman" w:eastAsia="Times New Roman" w:hAnsi="Times New Roman"/>
                <w:sz w:val="10"/>
                <w:szCs w:val="10"/>
                <w:b w:val="1"/>
                <w:bCs w:val="1"/>
                <w:color w:val="auto"/>
                <w:w w:val="97"/>
              </w:rPr>
              <w:t xml:space="preserve">Fair Value </w:t>
            </w:r>
            <w:r>
              <w:rPr>
                <w:rFonts w:ascii="Times New Roman" w:cs="Times New Roman" w:eastAsia="Times New Roman" w:hAnsi="Times New Roman"/>
                <w:sz w:val="12"/>
                <w:szCs w:val="12"/>
                <w:b w:val="1"/>
                <w:bCs w:val="1"/>
                <w:color w:val="auto"/>
                <w:w w:val="97"/>
                <w:vertAlign w:val="superscript"/>
              </w:rPr>
              <w:t>(3)</w:t>
            </w:r>
          </w:p>
        </w:tc>
      </w:tr>
      <w:tr>
        <w:trPr>
          <w:trHeight w:val="121"/>
        </w:trPr>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Investments in Non-Controlled, Non-Affiliated Portfolio Companies -</w:t>
            </w:r>
          </w:p>
        </w:tc>
        <w:tc>
          <w:tcPr>
            <w:tcW w:w="88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17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r>
      <w:tr>
        <w:trPr>
          <w:trHeight w:val="120"/>
        </w:trPr>
        <w:tc>
          <w:tcPr>
            <w:tcW w:w="2980" w:type="dxa"/>
            <w:vAlign w:val="bottom"/>
            <w:shd w:val="clear" w:color="auto" w:fill="CCECFF"/>
          </w:tcPr>
          <w:p>
            <w:pPr>
              <w:spacing w:after="0" w:line="119" w:lineRule="exact"/>
              <w:rPr>
                <w:sz w:val="20"/>
                <w:szCs w:val="20"/>
                <w:color w:val="auto"/>
              </w:rPr>
            </w:pPr>
            <w:r>
              <w:rPr>
                <w:rFonts w:ascii="Times New Roman" w:cs="Times New Roman" w:eastAsia="Times New Roman" w:hAnsi="Times New Roman"/>
                <w:sz w:val="13"/>
                <w:szCs w:val="13"/>
                <w:color w:val="auto"/>
                <w:vertAlign w:val="subscript"/>
              </w:rPr>
              <w:t>184.8%</w:t>
            </w:r>
            <w:r>
              <w:rPr>
                <w:rFonts w:ascii="Times New Roman" w:cs="Times New Roman" w:eastAsia="Times New Roman" w:hAnsi="Times New Roman"/>
                <w:sz w:val="5"/>
                <w:szCs w:val="5"/>
                <w:color w:val="auto"/>
              </w:rPr>
              <w:t xml:space="preserve"> (1), (2)</w:t>
            </w:r>
          </w:p>
        </w:tc>
        <w:tc>
          <w:tcPr>
            <w:tcW w:w="88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17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r>
      <w:tr>
        <w:trPr>
          <w:trHeight w:val="120"/>
        </w:trPr>
        <w:tc>
          <w:tcPr>
            <w:tcW w:w="29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First Lien Secured Debt - 111.6% of Net Assets</w:t>
            </w: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0"/>
        </w:trPr>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ACP Avenu Buyer, LLC</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10/02/2023</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10/02/2029</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9.29%</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15,920</w:t>
            </w:r>
          </w:p>
        </w:tc>
        <w:tc>
          <w:tcPr>
            <w:tcW w:w="2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15,827</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15,760</w:t>
            </w:r>
          </w:p>
        </w:tc>
      </w:tr>
      <w:tr>
        <w:trPr>
          <w:trHeight w:val="120"/>
        </w:trPr>
        <w:tc>
          <w:tcPr>
            <w:tcW w:w="29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ACP Avenu Buyer, LLC - Unfunded Term Loan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10/02/2023</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04/21/2027</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3,479</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(17)</w:t>
            </w:r>
          </w:p>
        </w:tc>
      </w:tr>
      <w:tr>
        <w:trPr>
          <w:trHeight w:val="120"/>
        </w:trPr>
        <w:tc>
          <w:tcPr>
            <w:tcW w:w="29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ACP Avenu Buyer, LLC - Unfunded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10/02/2023</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10/02/2029</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2,436</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(24)</w:t>
            </w:r>
          </w:p>
        </w:tc>
      </w:tr>
      <w:tr>
        <w:trPr>
          <w:trHeight w:val="120"/>
        </w:trPr>
        <w:tc>
          <w:tcPr>
            <w:tcW w:w="29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ACP Falcon Buyer, Inc. - Unfunded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07/26/2023</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08/01/2029</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2,533</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Ad.net Acquisition, LLC - Funded Revolver</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05/04/2021</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05/07/2026</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10.26%</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SOFR+626</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292</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292</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292</w:t>
            </w:r>
          </w:p>
        </w:tc>
      </w:tr>
      <w:tr>
        <w:trPr>
          <w:trHeight w:val="120"/>
        </w:trPr>
        <w:tc>
          <w:tcPr>
            <w:tcW w:w="29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Ad.net Acquisition, LLC - Unfunded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05/04/2021</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05/07/2026</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152</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Adweek Purchaser, LLC</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05/31/2024</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05/30/2027</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Printing and Publishing</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11.00%</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SOFR+700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2,100</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2,074</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2,100</w:t>
            </w:r>
          </w:p>
        </w:tc>
      </w:tr>
      <w:tr>
        <w:trPr>
          <w:trHeight w:val="120"/>
        </w:trPr>
        <w:tc>
          <w:tcPr>
            <w:tcW w:w="29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Adweek Purchaser, LLC - Unfunded Term Loan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05/31/2024</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11/30/2025</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Printing and Publishing</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300</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w:t>
            </w:r>
          </w:p>
        </w:tc>
      </w:tr>
      <w:tr>
        <w:trPr>
          <w:trHeight w:val="120"/>
        </w:trPr>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Aechelon Technology, Inc.</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08/16/2024</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08/16/2029</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9.91%</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11,640</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11,537</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11,640</w:t>
            </w:r>
          </w:p>
        </w:tc>
      </w:tr>
      <w:tr>
        <w:trPr>
          <w:trHeight w:val="120"/>
        </w:trPr>
        <w:tc>
          <w:tcPr>
            <w:tcW w:w="2980" w:type="dxa"/>
            <w:vAlign w:val="bottom"/>
          </w:tcPr>
          <w:p>
            <w:pPr>
              <w:spacing w:after="0"/>
              <w:rPr>
                <w:sz w:val="20"/>
                <w:szCs w:val="20"/>
                <w:color w:val="auto"/>
              </w:rPr>
            </w:pPr>
            <w:r>
              <w:rPr>
                <w:rFonts w:ascii="Times New Roman" w:cs="Times New Roman" w:eastAsia="Times New Roman" w:hAnsi="Times New Roman"/>
                <w:sz w:val="10"/>
                <w:szCs w:val="10"/>
                <w:color w:val="auto"/>
              </w:rPr>
              <w:t>Aechelon Technology, Inc. - Funded Revolver</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08/16/2024</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08/16/2029</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10.66%</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SOFR+650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961</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961</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961</w:t>
            </w:r>
          </w:p>
        </w:tc>
      </w:tr>
      <w:tr>
        <w:trPr>
          <w:trHeight w:val="120"/>
        </w:trPr>
        <w:tc>
          <w:tcPr>
            <w:tcW w:w="29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Aechelon Technology, Inc. - Unfunded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08/16/2024</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08/16/2029</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1,763</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980" w:type="dxa"/>
            <w:vAlign w:val="bottom"/>
          </w:tcPr>
          <w:p>
            <w:pPr>
              <w:spacing w:after="0"/>
              <w:rPr>
                <w:sz w:val="20"/>
                <w:szCs w:val="20"/>
                <w:color w:val="auto"/>
              </w:rPr>
            </w:pPr>
            <w:r>
              <w:rPr>
                <w:rFonts w:ascii="Times New Roman" w:cs="Times New Roman" w:eastAsia="Times New Roman" w:hAnsi="Times New Roman"/>
                <w:sz w:val="10"/>
                <w:szCs w:val="10"/>
                <w:color w:val="auto"/>
              </w:rPr>
              <w:t>AFC Dell Holding Corp.</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12/12/2023</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04/09/2027</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9.70%</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67</w:t>
            </w:r>
          </w:p>
        </w:tc>
      </w:tr>
      <w:tr>
        <w:trPr>
          <w:trHeight w:val="120"/>
        </w:trPr>
        <w:tc>
          <w:tcPr>
            <w:tcW w:w="29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AFC Dell Holding Corp. - Unfunded Term Loan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12/12/2023</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04/09/2027</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4,428</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(22)</w:t>
            </w:r>
          </w:p>
        </w:tc>
      </w:tr>
      <w:tr>
        <w:trPr>
          <w:trHeight w:val="120"/>
        </w:trPr>
        <w:tc>
          <w:tcPr>
            <w:tcW w:w="29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Atlas Purchaser, Inc. - Third Out </w:t>
            </w:r>
            <w:r>
              <w:rPr>
                <w:rFonts w:ascii="Times New Roman" w:cs="Times New Roman" w:eastAsia="Times New Roman" w:hAnsi="Times New Roman"/>
                <w:sz w:val="12"/>
                <w:szCs w:val="12"/>
                <w:color w:val="auto"/>
                <w:vertAlign w:val="superscript"/>
              </w:rPr>
              <w:t>(10)</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03/28/2024</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05/06/2028</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8,840</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7,707</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265</w:t>
            </w:r>
          </w:p>
        </w:tc>
      </w:tr>
      <w:tr>
        <w:trPr>
          <w:trHeight w:val="120"/>
        </w:trPr>
        <w:tc>
          <w:tcPr>
            <w:tcW w:w="29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Atlas Purchaser, Inc. - Fourth Out </w:t>
            </w:r>
            <w:r>
              <w:rPr>
                <w:rFonts w:ascii="Times New Roman" w:cs="Times New Roman" w:eastAsia="Times New Roman" w:hAnsi="Times New Roman"/>
                <w:sz w:val="12"/>
                <w:szCs w:val="12"/>
                <w:color w:val="auto"/>
                <w:vertAlign w:val="superscript"/>
              </w:rPr>
              <w:t>(10)</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03/28/2024</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05/06/2028</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8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4,760</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794</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95</w:t>
            </w:r>
          </w:p>
        </w:tc>
      </w:tr>
      <w:tr>
        <w:trPr>
          <w:trHeight w:val="120"/>
        </w:trPr>
        <w:tc>
          <w:tcPr>
            <w:tcW w:w="2980" w:type="dxa"/>
            <w:vAlign w:val="bottom"/>
          </w:tcPr>
          <w:p>
            <w:pPr>
              <w:spacing w:after="0"/>
              <w:rPr>
                <w:sz w:val="20"/>
                <w:szCs w:val="20"/>
                <w:color w:val="auto"/>
              </w:rPr>
            </w:pPr>
            <w:r>
              <w:rPr>
                <w:rFonts w:ascii="Times New Roman" w:cs="Times New Roman" w:eastAsia="Times New Roman" w:hAnsi="Times New Roman"/>
                <w:sz w:val="10"/>
                <w:szCs w:val="10"/>
                <w:color w:val="auto"/>
              </w:rPr>
              <w:t>Anteriad, LLC (f/k/a MeritDirect, LLC) - Funded Revolver</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05/21/2019</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06/30/2026</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9.90%</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SOFR+590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230</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230</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230</w:t>
            </w:r>
          </w:p>
        </w:tc>
      </w:tr>
      <w:tr>
        <w:trPr>
          <w:trHeight w:val="120"/>
        </w:trPr>
        <w:tc>
          <w:tcPr>
            <w:tcW w:w="29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Anteriad, LLC (f/k/a MeritDirect, LLC) - Unfunded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05/21/2019</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06/30/2026</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1,382</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980" w:type="dxa"/>
            <w:vAlign w:val="bottom"/>
          </w:tcPr>
          <w:p>
            <w:pPr>
              <w:spacing w:after="0"/>
              <w:rPr>
                <w:sz w:val="20"/>
                <w:szCs w:val="20"/>
                <w:color w:val="auto"/>
              </w:rPr>
            </w:pPr>
            <w:r>
              <w:rPr>
                <w:rFonts w:ascii="Times New Roman" w:cs="Times New Roman" w:eastAsia="Times New Roman" w:hAnsi="Times New Roman"/>
                <w:sz w:val="10"/>
                <w:szCs w:val="10"/>
                <w:color w:val="auto"/>
              </w:rPr>
              <w:t>Aphix Buyer, Inc</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07/17/2025</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07/17/2031</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8.91%</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SOFR+475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6,144</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6,106</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6,114</w:t>
            </w:r>
          </w:p>
        </w:tc>
      </w:tr>
      <w:tr>
        <w:trPr>
          <w:trHeight w:val="120"/>
        </w:trPr>
        <w:tc>
          <w:tcPr>
            <w:tcW w:w="29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Aphix Buyer, Inc - Unfunded Term Loan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07/17/2025</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07/16/2027</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9,172</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w:t>
            </w:r>
          </w:p>
        </w:tc>
      </w:tr>
      <w:tr>
        <w:trPr>
          <w:trHeight w:val="120"/>
        </w:trPr>
        <w:tc>
          <w:tcPr>
            <w:tcW w:w="29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Aphix Buyer, Inc - Unfunded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07/17/2025</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07/17/2031</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2,389</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w:t>
            </w:r>
          </w:p>
        </w:tc>
      </w:tr>
      <w:tr>
        <w:trPr>
          <w:trHeight w:val="120"/>
        </w:trPr>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APT OPCO, LLC</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09/29/2025</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09/30/2031</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9.00%</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7,875</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7,826</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7,826</w:t>
            </w:r>
          </w:p>
        </w:tc>
      </w:tr>
      <w:tr>
        <w:trPr>
          <w:trHeight w:val="120"/>
        </w:trPr>
        <w:tc>
          <w:tcPr>
            <w:tcW w:w="29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APT OPCO, LLC - Unfunded Term Loan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09/29/2025</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09/30/2027</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1,228</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9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APT OPCO, LLC - Unfunded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09/29/2025</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09/30/2031</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1,228</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9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Arcfield Acquisition Corp. - Unfunded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10/28/2024</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10/28/2031</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1,688</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w:t>
            </w:r>
          </w:p>
        </w:tc>
      </w:tr>
      <w:tr>
        <w:trPr>
          <w:trHeight w:val="120"/>
        </w:trPr>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Archer Lewis, LLC</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08/28/2024</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08/28/2029</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9.77%</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1,488</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1,474</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1,488</w:t>
            </w:r>
          </w:p>
        </w:tc>
      </w:tr>
      <w:tr>
        <w:trPr>
          <w:trHeight w:val="120"/>
        </w:trPr>
        <w:tc>
          <w:tcPr>
            <w:tcW w:w="29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Archer Lewis, LLC - Unfunded Term Loan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08/28/2024</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08/28/2026</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5,329</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53</w:t>
            </w:r>
          </w:p>
        </w:tc>
      </w:tr>
      <w:tr>
        <w:trPr>
          <w:trHeight w:val="120"/>
        </w:trPr>
        <w:tc>
          <w:tcPr>
            <w:tcW w:w="29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Archer Lewis, LLC - Unfunded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08/28/2024</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08/28/2029</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1,304</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980" w:type="dxa"/>
            <w:vAlign w:val="bottom"/>
          </w:tcPr>
          <w:p>
            <w:pPr>
              <w:spacing w:after="0"/>
              <w:rPr>
                <w:sz w:val="20"/>
                <w:szCs w:val="20"/>
                <w:color w:val="auto"/>
              </w:rPr>
            </w:pPr>
            <w:r>
              <w:rPr>
                <w:rFonts w:ascii="Times New Roman" w:cs="Times New Roman" w:eastAsia="Times New Roman" w:hAnsi="Times New Roman"/>
                <w:sz w:val="10"/>
                <w:szCs w:val="10"/>
                <w:color w:val="auto"/>
              </w:rPr>
              <w:t>Argano, LLC.</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09/13/2024</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09/13/2029</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9.90%</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10,448</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10,349</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10,291</w:t>
            </w:r>
          </w:p>
        </w:tc>
      </w:tr>
      <w:tr>
        <w:trPr>
          <w:trHeight w:val="120"/>
        </w:trPr>
        <w:tc>
          <w:tcPr>
            <w:tcW w:w="29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Argano, LLC - Unfunded Term Loan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09/13/2024</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10/02/2026</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2,483</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(12)</w:t>
            </w:r>
          </w:p>
        </w:tc>
      </w:tr>
      <w:tr>
        <w:trPr>
          <w:trHeight w:val="120"/>
        </w:trPr>
        <w:tc>
          <w:tcPr>
            <w:tcW w:w="29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Argano, LLC - Unfunded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09/13/2024</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09/13/2029</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794</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w:t>
            </w:r>
          </w:p>
        </w:tc>
      </w:tr>
      <w:tr>
        <w:trPr>
          <w:trHeight w:val="120"/>
        </w:trPr>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Azureon, LLC</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06/26/2024</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06/26/2029</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9.75%</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9,811</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9,708</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9,526</w:t>
            </w:r>
          </w:p>
        </w:tc>
      </w:tr>
      <w:tr>
        <w:trPr>
          <w:trHeight w:val="120"/>
        </w:trPr>
        <w:tc>
          <w:tcPr>
            <w:tcW w:w="2980" w:type="dxa"/>
            <w:vAlign w:val="bottom"/>
          </w:tcPr>
          <w:p>
            <w:pPr>
              <w:spacing w:after="0"/>
              <w:rPr>
                <w:sz w:val="20"/>
                <w:szCs w:val="20"/>
                <w:color w:val="auto"/>
              </w:rPr>
            </w:pPr>
            <w:r>
              <w:rPr>
                <w:rFonts w:ascii="Times New Roman" w:cs="Times New Roman" w:eastAsia="Times New Roman" w:hAnsi="Times New Roman"/>
                <w:sz w:val="10"/>
                <w:szCs w:val="10"/>
                <w:color w:val="auto"/>
              </w:rPr>
              <w:t>Azureon, LLC - Funded Revolver</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06/26/2024</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06/26/2029</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9.75%</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464</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464</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450</w:t>
            </w:r>
          </w:p>
        </w:tc>
      </w:tr>
      <w:tr>
        <w:trPr>
          <w:trHeight w:val="120"/>
        </w:trPr>
        <w:tc>
          <w:tcPr>
            <w:tcW w:w="29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Azureon, LLC - Unfunded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06/26/2024</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06/26/2029</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8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696</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(20)</w:t>
            </w:r>
          </w:p>
        </w:tc>
      </w:tr>
      <w:tr>
        <w:trPr>
          <w:trHeight w:val="120"/>
        </w:trPr>
        <w:tc>
          <w:tcPr>
            <w:tcW w:w="29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Beacon Behavioral Support Service, LLC - Unfunded Term Loan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06/21/2024</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12/22/2025</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3,838</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w:t>
            </w:r>
          </w:p>
        </w:tc>
      </w:tr>
      <w:tr>
        <w:trPr>
          <w:trHeight w:val="121"/>
        </w:trPr>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Beacon Behavioral Support Service, LLC - Unfunded Term Loan - 3rd</w:t>
            </w:r>
          </w:p>
        </w:tc>
        <w:tc>
          <w:tcPr>
            <w:tcW w:w="88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17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r>
      <w:tr>
        <w:trPr>
          <w:trHeight w:val="120"/>
        </w:trPr>
        <w:tc>
          <w:tcPr>
            <w:tcW w:w="29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Amendment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06/21/2024</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06/21/2027</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12,627</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126</w:t>
            </w:r>
          </w:p>
        </w:tc>
      </w:tr>
      <w:tr>
        <w:trPr>
          <w:trHeight w:val="120"/>
        </w:trPr>
        <w:tc>
          <w:tcPr>
            <w:tcW w:w="29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Beacon Behavioral Support Service, LLC - Unfunded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06/21/2024</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06/21/2029</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1,042</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Berwick Industrial Park</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04/26/2022</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05/02/2026</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Buildings and Real Estate</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13.00%</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4,000</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4,016</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3,988</w:t>
            </w:r>
          </w:p>
        </w:tc>
      </w:tr>
      <w:tr>
        <w:trPr>
          <w:trHeight w:val="120"/>
        </w:trPr>
        <w:tc>
          <w:tcPr>
            <w:tcW w:w="29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Best Practice Associates, LLC - Unfunded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11/07/2024</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11/08/2029</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1,929</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(14)</w:t>
            </w:r>
          </w:p>
        </w:tc>
      </w:tr>
      <w:tr>
        <w:trPr>
          <w:trHeight w:val="120"/>
        </w:trPr>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06/28/2022</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07/02/2029</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9.75%</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10,644</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10,509</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10,537</w:t>
            </w:r>
          </w:p>
        </w:tc>
      </w:tr>
      <w:tr>
        <w:trPr>
          <w:trHeight w:val="120"/>
        </w:trPr>
        <w:tc>
          <w:tcPr>
            <w:tcW w:w="29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Big Top Holdings, LLC - Unfunded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02/29/2024</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02/28/2030</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Manufacturing/Basic Industry</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1,155</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BioDerm, Inc. - Funded Revolver</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01/30/2023</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01/31/2028</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10.77%</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SOFR+650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1,071</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1,071</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1,058</w:t>
            </w:r>
          </w:p>
        </w:tc>
      </w:tr>
      <w:tr>
        <w:trPr>
          <w:trHeight w:val="120"/>
        </w:trPr>
        <w:tc>
          <w:tcPr>
            <w:tcW w:w="2980" w:type="dxa"/>
            <w:vAlign w:val="bottom"/>
          </w:tcPr>
          <w:p>
            <w:pPr>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06/27/2022</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09/17/2026</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9.40%</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SOFR+540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1,267</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1,263</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1,245</w:t>
            </w:r>
          </w:p>
        </w:tc>
      </w:tr>
      <w:tr>
        <w:trPr>
          <w:trHeight w:val="120"/>
        </w:trPr>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Blackhawk Industrial Distribution, Inc. - Funded Revolver</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06/27/2022</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09/17/2026</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9.40%</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SOFR+540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2,186</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2,186</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2,147</w:t>
            </w:r>
          </w:p>
        </w:tc>
      </w:tr>
      <w:tr>
        <w:trPr>
          <w:trHeight w:val="120"/>
        </w:trPr>
        <w:tc>
          <w:tcPr>
            <w:tcW w:w="29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Blackhawk Industrial Distribution, Inc. - Unfunded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06/27/2022</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09/17/2026</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2,671</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(47)</w:t>
            </w:r>
          </w:p>
        </w:tc>
      </w:tr>
      <w:tr>
        <w:trPr>
          <w:trHeight w:val="120"/>
        </w:trPr>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BLC Holding Company, Inc.</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11/20/2024</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11/20/2030</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8.50%</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SOFR+450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2,248</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2,232</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2,248</w:t>
            </w:r>
          </w:p>
        </w:tc>
      </w:tr>
      <w:tr>
        <w:trPr>
          <w:trHeight w:val="120"/>
        </w:trPr>
        <w:tc>
          <w:tcPr>
            <w:tcW w:w="29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BLC Holding Company, Inc. - Unfunded Term Loan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11/20/2024</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11/20/2026</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7,514</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56</w:t>
            </w:r>
          </w:p>
        </w:tc>
      </w:tr>
      <w:tr>
        <w:trPr>
          <w:trHeight w:val="120"/>
        </w:trPr>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BLC Holding Company, Inc. - Funded Revolver</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11/20/2024</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11/20/2030</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8.50%</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SOFR+450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331</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331</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331</w:t>
            </w:r>
          </w:p>
        </w:tc>
      </w:tr>
      <w:tr>
        <w:trPr>
          <w:trHeight w:val="120"/>
        </w:trPr>
        <w:tc>
          <w:tcPr>
            <w:tcW w:w="29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BLC Holding Company, Inc. - Unfunded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11/20/2024</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11/20/2030</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2,675</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Blue Cloud Pediatric Surgery Centers, LLC</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08/12/2025</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01/21/2031</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Providers &amp; Services</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9.48%</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2,494</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2,469</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2,469</w:t>
            </w:r>
          </w:p>
        </w:tc>
      </w:tr>
      <w:tr>
        <w:trPr>
          <w:trHeight w:val="120"/>
        </w:trPr>
        <w:tc>
          <w:tcPr>
            <w:tcW w:w="29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Blue Cloud Pediatric Surgery Centers, LLC - Unfunded Term Loan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08/12/2025</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07/30/2027</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Providers &amp; Services</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2,759</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9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Boss Industries, LLC - Unfunded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12/27/2024</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12/27/2030</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Conglomerate Manufacturing</w:t>
            </w:r>
          </w:p>
        </w:tc>
        <w:tc>
          <w:tcPr>
            <w:tcW w:w="8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1,306</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6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20" w:type="dxa"/>
            <w:vAlign w:val="bottom"/>
          </w:tcPr>
          <w:p>
            <w:pPr>
              <w:jc w:val="center"/>
              <w:ind w:left="12"/>
              <w:spacing w:after="0"/>
              <w:rPr>
                <w:sz w:val="20"/>
                <w:szCs w:val="20"/>
                <w:color w:val="auto"/>
              </w:rPr>
            </w:pPr>
            <w:r>
              <w:rPr>
                <w:rFonts w:ascii="Times New Roman" w:cs="Times New Roman" w:eastAsia="Times New Roman" w:hAnsi="Times New Roman"/>
                <w:sz w:val="10"/>
                <w:szCs w:val="10"/>
                <w:b w:val="1"/>
                <w:bCs w:val="1"/>
                <w:color w:val="auto"/>
                <w:w w:val="98"/>
              </w:rPr>
              <w:t>Acquisition</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1680" w:type="dxa"/>
            <w:vAlign w:val="bottom"/>
          </w:tcPr>
          <w:p>
            <w:pPr>
              <w:ind w:left="640"/>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60" w:type="dxa"/>
            <w:vAlign w:val="bottom"/>
          </w:tcPr>
          <w:p>
            <w:pPr>
              <w:jc w:val="center"/>
              <w:ind w:right="52"/>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(4)</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20" w:type="dxa"/>
            <w:vAlign w:val="bottom"/>
          </w:tcPr>
          <w:p>
            <w:pPr>
              <w:spacing w:after="0"/>
              <w:rPr>
                <w:sz w:val="10"/>
                <w:szCs w:val="10"/>
                <w:color w:val="auto"/>
              </w:rPr>
            </w:pPr>
          </w:p>
        </w:tc>
        <w:tc>
          <w:tcPr>
            <w:tcW w:w="58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0"/>
                <w:szCs w:val="10"/>
                <w:color w:val="auto"/>
              </w:rPr>
            </w:pPr>
          </w:p>
        </w:tc>
        <w:tc>
          <w:tcPr>
            <w:tcW w:w="780" w:type="dxa"/>
            <w:vAlign w:val="bottom"/>
          </w:tcPr>
          <w:p>
            <w:pPr>
              <w:jc w:val="right"/>
              <w:ind w:right="152"/>
              <w:spacing w:after="0" w:line="122" w:lineRule="exact"/>
              <w:rPr>
                <w:sz w:val="20"/>
                <w:szCs w:val="20"/>
                <w:color w:val="auto"/>
              </w:rPr>
            </w:pPr>
            <w:r>
              <w:rPr>
                <w:rFonts w:ascii="Times New Roman" w:cs="Times New Roman" w:eastAsia="Times New Roman" w:hAnsi="Times New Roman"/>
                <w:sz w:val="10"/>
                <w:szCs w:val="10"/>
                <w:b w:val="1"/>
                <w:bCs w:val="1"/>
                <w:color w:val="auto"/>
                <w:w w:val="97"/>
              </w:rPr>
              <w:t xml:space="preserve">Fair Value </w:t>
            </w:r>
            <w:r>
              <w:rPr>
                <w:rFonts w:ascii="Times New Roman" w:cs="Times New Roman" w:eastAsia="Times New Roman" w:hAnsi="Times New Roman"/>
                <w:sz w:val="12"/>
                <w:szCs w:val="12"/>
                <w:b w:val="1"/>
                <w:bCs w:val="1"/>
                <w:color w:val="auto"/>
                <w:w w:val="97"/>
                <w:vertAlign w:val="superscript"/>
              </w:rPr>
              <w:t>(3)</w:t>
            </w:r>
          </w:p>
        </w:tc>
        <w:tc>
          <w:tcPr>
            <w:tcW w:w="0" w:type="dxa"/>
            <w:vAlign w:val="bottom"/>
          </w:tcPr>
          <w:p>
            <w:pPr>
              <w:spacing w:after="0"/>
              <w:rPr>
                <w:sz w:val="1"/>
                <w:szCs w:val="1"/>
                <w:color w:val="auto"/>
              </w:rPr>
            </w:pPr>
          </w:p>
        </w:tc>
      </w:tr>
      <w:tr>
        <w:trPr>
          <w:trHeight w:val="120"/>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8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07/15/2025</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07/15/2031</w:t>
            </w: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9.66%</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2,500</w:t>
            </w:r>
          </w:p>
        </w:tc>
        <w:tc>
          <w:tcPr>
            <w:tcW w:w="2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2,481</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2,481</w:t>
            </w:r>
          </w:p>
        </w:tc>
        <w:tc>
          <w:tcPr>
            <w:tcW w:w="0" w:type="dxa"/>
            <w:vAlign w:val="bottom"/>
          </w:tcPr>
          <w:p>
            <w:pPr>
              <w:spacing w:after="0"/>
              <w:rPr>
                <w:sz w:val="1"/>
                <w:szCs w:val="1"/>
                <w:color w:val="auto"/>
              </w:rPr>
            </w:pPr>
          </w:p>
        </w:tc>
      </w:tr>
      <w:tr>
        <w:trPr>
          <w:trHeight w:val="120"/>
        </w:trPr>
        <w:tc>
          <w:tcPr>
            <w:tcW w:w="29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By Light Professional IT Services, LLC - Unfunded Revolver </w:t>
            </w:r>
            <w:r>
              <w:rPr>
                <w:rFonts w:ascii="Times New Roman" w:cs="Times New Roman" w:eastAsia="Times New Roman" w:hAnsi="Times New Roman"/>
                <w:sz w:val="12"/>
                <w:szCs w:val="12"/>
                <w:color w:val="auto"/>
                <w:vertAlign w:val="superscript"/>
              </w:rPr>
              <w:t>(7)</w:t>
            </w:r>
          </w:p>
        </w:tc>
        <w:tc>
          <w:tcPr>
            <w:tcW w:w="8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07/15/2025</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07/15/2031</w:t>
            </w: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988</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20"/>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Capital Construction, LLC</w:t>
            </w:r>
          </w:p>
        </w:tc>
        <w:tc>
          <w:tcPr>
            <w:tcW w:w="8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06/30/2025</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10/22/2026</w:t>
            </w: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Services</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10.20%</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SOFR+590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5,608</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5,573</w:t>
            </w:r>
          </w:p>
        </w:tc>
        <w:tc>
          <w:tcPr>
            <w:tcW w:w="16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5,552</w:t>
            </w:r>
          </w:p>
        </w:tc>
        <w:tc>
          <w:tcPr>
            <w:tcW w:w="0" w:type="dxa"/>
            <w:vAlign w:val="bottom"/>
          </w:tcPr>
          <w:p>
            <w:pPr>
              <w:spacing w:after="0"/>
              <w:rPr>
                <w:sz w:val="1"/>
                <w:szCs w:val="1"/>
                <w:color w:val="auto"/>
              </w:rPr>
            </w:pPr>
          </w:p>
        </w:tc>
      </w:tr>
      <w:tr>
        <w:trPr>
          <w:trHeight w:val="120"/>
        </w:trPr>
        <w:tc>
          <w:tcPr>
            <w:tcW w:w="29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Capital Construction, LLC - Unfunded Term Loan A </w:t>
            </w:r>
            <w:r>
              <w:rPr>
                <w:rFonts w:ascii="Times New Roman" w:cs="Times New Roman" w:eastAsia="Times New Roman" w:hAnsi="Times New Roman"/>
                <w:sz w:val="12"/>
                <w:szCs w:val="12"/>
                <w:color w:val="auto"/>
                <w:vertAlign w:val="superscript"/>
              </w:rPr>
              <w:t>(7)</w:t>
            </w:r>
          </w:p>
        </w:tc>
        <w:tc>
          <w:tcPr>
            <w:tcW w:w="8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06/30/2025</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12/30/2025</w:t>
            </w: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Services</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6,613</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(17)</w:t>
            </w:r>
          </w:p>
        </w:tc>
        <w:tc>
          <w:tcPr>
            <w:tcW w:w="0" w:type="dxa"/>
            <w:vAlign w:val="bottom"/>
          </w:tcPr>
          <w:p>
            <w:pPr>
              <w:spacing w:after="0"/>
              <w:rPr>
                <w:sz w:val="1"/>
                <w:szCs w:val="1"/>
                <w:color w:val="auto"/>
              </w:rPr>
            </w:pPr>
          </w:p>
        </w:tc>
      </w:tr>
      <w:tr>
        <w:trPr>
          <w:trHeight w:val="120"/>
        </w:trPr>
        <w:tc>
          <w:tcPr>
            <w:tcW w:w="29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Carisk Buyer, Inc. - Unfunded Term Loan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11/27/2023</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12/03/2029</w:t>
            </w: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4,813</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w:t>
            </w:r>
          </w:p>
        </w:tc>
        <w:tc>
          <w:tcPr>
            <w:tcW w:w="0" w:type="dxa"/>
            <w:vAlign w:val="bottom"/>
          </w:tcPr>
          <w:p>
            <w:pPr>
              <w:spacing w:after="0"/>
              <w:rPr>
                <w:sz w:val="1"/>
                <w:szCs w:val="1"/>
                <w:color w:val="auto"/>
              </w:rPr>
            </w:pPr>
          </w:p>
        </w:tc>
      </w:tr>
      <w:tr>
        <w:trPr>
          <w:trHeight w:val="120"/>
        </w:trPr>
        <w:tc>
          <w:tcPr>
            <w:tcW w:w="29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Carisk Buyer, Inc. - Unfunded Term Loan 2 </w:t>
            </w:r>
            <w:r>
              <w:rPr>
                <w:rFonts w:ascii="Times New Roman" w:cs="Times New Roman" w:eastAsia="Times New Roman" w:hAnsi="Times New Roman"/>
                <w:sz w:val="12"/>
                <w:szCs w:val="12"/>
                <w:color w:val="auto"/>
                <w:vertAlign w:val="superscript"/>
              </w:rPr>
              <w:t>(7)</w:t>
            </w:r>
          </w:p>
        </w:tc>
        <w:tc>
          <w:tcPr>
            <w:tcW w:w="8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11/27/2023</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12/03/2029</w:t>
            </w: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1,528</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w:t>
            </w:r>
          </w:p>
        </w:tc>
        <w:tc>
          <w:tcPr>
            <w:tcW w:w="0" w:type="dxa"/>
            <w:vAlign w:val="bottom"/>
          </w:tcPr>
          <w:p>
            <w:pPr>
              <w:spacing w:after="0"/>
              <w:rPr>
                <w:sz w:val="1"/>
                <w:szCs w:val="1"/>
                <w:color w:val="auto"/>
              </w:rPr>
            </w:pPr>
          </w:p>
        </w:tc>
      </w:tr>
      <w:tr>
        <w:trPr>
          <w:trHeight w:val="120"/>
        </w:trPr>
        <w:tc>
          <w:tcPr>
            <w:tcW w:w="29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Carisk Buyer, Inc. - Unfunded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11/27/2023</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12/03/2029</w:t>
            </w: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1,750</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60" w:type="dxa"/>
            <w:vAlign w:val="bottom"/>
          </w:tcPr>
          <w:p>
            <w:pPr>
              <w:spacing w:after="0"/>
              <w:rPr>
                <w:sz w:val="20"/>
                <w:szCs w:val="20"/>
                <w:color w:val="auto"/>
              </w:rPr>
            </w:pPr>
            <w:r>
              <w:rPr>
                <w:rFonts w:ascii="Times New Roman" w:cs="Times New Roman" w:eastAsia="Times New Roman" w:hAnsi="Times New Roman"/>
                <w:sz w:val="10"/>
                <w:szCs w:val="10"/>
                <w:color w:val="auto"/>
              </w:rPr>
              <w:t>Carnegie Dartlet, LLC</w:t>
            </w:r>
          </w:p>
        </w:tc>
        <w:tc>
          <w:tcPr>
            <w:tcW w:w="8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02/07/2024</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02/07/2030</w:t>
            </w: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9.66%</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2,326</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2,304</w:t>
            </w:r>
          </w:p>
        </w:tc>
        <w:tc>
          <w:tcPr>
            <w:tcW w:w="16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2,302</w:t>
            </w:r>
          </w:p>
        </w:tc>
        <w:tc>
          <w:tcPr>
            <w:tcW w:w="0" w:type="dxa"/>
            <w:vAlign w:val="bottom"/>
          </w:tcPr>
          <w:p>
            <w:pPr>
              <w:spacing w:after="0"/>
              <w:rPr>
                <w:sz w:val="1"/>
                <w:szCs w:val="1"/>
                <w:color w:val="auto"/>
              </w:rPr>
            </w:pPr>
          </w:p>
        </w:tc>
      </w:tr>
      <w:tr>
        <w:trPr>
          <w:trHeight w:val="120"/>
        </w:trPr>
        <w:tc>
          <w:tcPr>
            <w:tcW w:w="29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Carnegie Dartlet, LLC - Unfunded Term Loan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02/07/2024</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02/09/2026</w:t>
            </w: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7,680</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Carnegie Dartlet, LLC - Unfunded Revolver </w:t>
            </w:r>
            <w:r>
              <w:rPr>
                <w:rFonts w:ascii="Times New Roman" w:cs="Times New Roman" w:eastAsia="Times New Roman" w:hAnsi="Times New Roman"/>
                <w:sz w:val="12"/>
                <w:szCs w:val="12"/>
                <w:color w:val="auto"/>
                <w:vertAlign w:val="superscript"/>
              </w:rPr>
              <w:t>(7)</w:t>
            </w:r>
          </w:p>
        </w:tc>
        <w:tc>
          <w:tcPr>
            <w:tcW w:w="8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02/07/2024</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02/07/2030</w:t>
            </w: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3,339</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(33)</w:t>
            </w:r>
          </w:p>
        </w:tc>
        <w:tc>
          <w:tcPr>
            <w:tcW w:w="0" w:type="dxa"/>
            <w:vAlign w:val="bottom"/>
          </w:tcPr>
          <w:p>
            <w:pPr>
              <w:spacing w:after="0"/>
              <w:rPr>
                <w:sz w:val="1"/>
                <w:szCs w:val="1"/>
                <w:color w:val="auto"/>
              </w:rPr>
            </w:pPr>
          </w:p>
        </w:tc>
      </w:tr>
      <w:tr>
        <w:trPr>
          <w:trHeight w:val="120"/>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Cartessa Aesthetics, LLC</w:t>
            </w:r>
          </w:p>
        </w:tc>
        <w:tc>
          <w:tcPr>
            <w:tcW w:w="8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06/01/2022</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06/14/2028</w:t>
            </w: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10.30%</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SOFR+600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23,494</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23,242</w:t>
            </w:r>
          </w:p>
        </w:tc>
        <w:tc>
          <w:tcPr>
            <w:tcW w:w="16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23,494</w:t>
            </w:r>
          </w:p>
        </w:tc>
        <w:tc>
          <w:tcPr>
            <w:tcW w:w="0" w:type="dxa"/>
            <w:vAlign w:val="bottom"/>
          </w:tcPr>
          <w:p>
            <w:pPr>
              <w:spacing w:after="0"/>
              <w:rPr>
                <w:sz w:val="1"/>
                <w:szCs w:val="1"/>
                <w:color w:val="auto"/>
              </w:rPr>
            </w:pPr>
          </w:p>
        </w:tc>
      </w:tr>
      <w:tr>
        <w:trPr>
          <w:trHeight w:val="120"/>
        </w:trPr>
        <w:tc>
          <w:tcPr>
            <w:tcW w:w="2960" w:type="dxa"/>
            <w:vAlign w:val="bottom"/>
          </w:tcPr>
          <w:p>
            <w:pPr>
              <w:spacing w:after="0"/>
              <w:rPr>
                <w:sz w:val="20"/>
                <w:szCs w:val="20"/>
                <w:color w:val="auto"/>
              </w:rPr>
            </w:pPr>
            <w:r>
              <w:rPr>
                <w:rFonts w:ascii="Times New Roman" w:cs="Times New Roman" w:eastAsia="Times New Roman" w:hAnsi="Times New Roman"/>
                <w:sz w:val="10"/>
                <w:szCs w:val="10"/>
                <w:color w:val="auto"/>
              </w:rPr>
              <w:t>Cartessa Aesthetics, LLC - Funded Revolver</w:t>
            </w:r>
          </w:p>
        </w:tc>
        <w:tc>
          <w:tcPr>
            <w:tcW w:w="8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06/01/2022</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06/14/2028</w:t>
            </w: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10.30%</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SOFR+600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1,265</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1,265</w:t>
            </w:r>
          </w:p>
        </w:tc>
        <w:tc>
          <w:tcPr>
            <w:tcW w:w="16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1,265</w:t>
            </w:r>
          </w:p>
        </w:tc>
        <w:tc>
          <w:tcPr>
            <w:tcW w:w="0" w:type="dxa"/>
            <w:vAlign w:val="bottom"/>
          </w:tcPr>
          <w:p>
            <w:pPr>
              <w:spacing w:after="0"/>
              <w:rPr>
                <w:sz w:val="1"/>
                <w:szCs w:val="1"/>
                <w:color w:val="auto"/>
              </w:rPr>
            </w:pPr>
          </w:p>
        </w:tc>
      </w:tr>
      <w:tr>
        <w:trPr>
          <w:trHeight w:val="120"/>
        </w:trPr>
        <w:tc>
          <w:tcPr>
            <w:tcW w:w="29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Cartessa Aesthetics, LLC - Unfunded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06/01/2022</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06/14/2028</w:t>
            </w: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2,297</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60" w:type="dxa"/>
            <w:vAlign w:val="bottom"/>
          </w:tcPr>
          <w:p>
            <w:pPr>
              <w:spacing w:after="0"/>
              <w:rPr>
                <w:sz w:val="20"/>
                <w:szCs w:val="20"/>
                <w:color w:val="auto"/>
              </w:rPr>
            </w:pPr>
            <w:r>
              <w:rPr>
                <w:rFonts w:ascii="Times New Roman" w:cs="Times New Roman" w:eastAsia="Times New Roman" w:hAnsi="Times New Roman"/>
                <w:sz w:val="10"/>
                <w:szCs w:val="10"/>
                <w:color w:val="auto"/>
              </w:rPr>
              <w:t>Case Works, LLC</w:t>
            </w:r>
          </w:p>
        </w:tc>
        <w:tc>
          <w:tcPr>
            <w:tcW w:w="8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10/01/2024</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10/01/2029</w:t>
            </w: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9.09%</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852</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845</w:t>
            </w:r>
          </w:p>
        </w:tc>
        <w:tc>
          <w:tcPr>
            <w:tcW w:w="16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814</w:t>
            </w:r>
          </w:p>
        </w:tc>
        <w:tc>
          <w:tcPr>
            <w:tcW w:w="0" w:type="dxa"/>
            <w:vAlign w:val="bottom"/>
          </w:tcPr>
          <w:p>
            <w:pPr>
              <w:spacing w:after="0"/>
              <w:rPr>
                <w:sz w:val="1"/>
                <w:szCs w:val="1"/>
                <w:color w:val="auto"/>
              </w:rPr>
            </w:pPr>
          </w:p>
        </w:tc>
      </w:tr>
      <w:tr>
        <w:trPr>
          <w:trHeight w:val="120"/>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Case Works, LLC - Funded Revolver</w:t>
            </w:r>
          </w:p>
        </w:tc>
        <w:tc>
          <w:tcPr>
            <w:tcW w:w="8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10/01/2024</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10/01/2029</w:t>
            </w: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9.25%</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1,793</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1,793</w:t>
            </w:r>
          </w:p>
        </w:tc>
        <w:tc>
          <w:tcPr>
            <w:tcW w:w="16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1,712</w:t>
            </w:r>
          </w:p>
        </w:tc>
        <w:tc>
          <w:tcPr>
            <w:tcW w:w="0" w:type="dxa"/>
            <w:vAlign w:val="bottom"/>
          </w:tcPr>
          <w:p>
            <w:pPr>
              <w:spacing w:after="0"/>
              <w:rPr>
                <w:sz w:val="1"/>
                <w:szCs w:val="1"/>
                <w:color w:val="auto"/>
              </w:rPr>
            </w:pPr>
          </w:p>
        </w:tc>
      </w:tr>
      <w:tr>
        <w:trPr>
          <w:trHeight w:val="120"/>
        </w:trPr>
        <w:tc>
          <w:tcPr>
            <w:tcW w:w="29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Case Works, LLC - Unfunded Revolver </w:t>
            </w:r>
            <w:r>
              <w:rPr>
                <w:rFonts w:ascii="Times New Roman" w:cs="Times New Roman" w:eastAsia="Times New Roman" w:hAnsi="Times New Roman"/>
                <w:sz w:val="12"/>
                <w:szCs w:val="12"/>
                <w:color w:val="auto"/>
                <w:vertAlign w:val="superscript"/>
              </w:rPr>
              <w:t>(7)</w:t>
            </w:r>
          </w:p>
        </w:tc>
        <w:tc>
          <w:tcPr>
            <w:tcW w:w="8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10/01/2024</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10/01/2029</w:t>
            </w: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94</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20"/>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CF512, Inc. - Funded Revolver</w:t>
            </w:r>
          </w:p>
        </w:tc>
        <w:tc>
          <w:tcPr>
            <w:tcW w:w="8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08/17/2021</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08/20/2026</w:t>
            </w: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10.18%</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SOFR+602</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w:t>
            </w:r>
          </w:p>
        </w:tc>
        <w:tc>
          <w:tcPr>
            <w:tcW w:w="16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w:t>
            </w:r>
          </w:p>
        </w:tc>
        <w:tc>
          <w:tcPr>
            <w:tcW w:w="0" w:type="dxa"/>
            <w:vAlign w:val="bottom"/>
          </w:tcPr>
          <w:p>
            <w:pPr>
              <w:spacing w:after="0"/>
              <w:rPr>
                <w:sz w:val="1"/>
                <w:szCs w:val="1"/>
                <w:color w:val="auto"/>
              </w:rPr>
            </w:pPr>
          </w:p>
        </w:tc>
      </w:tr>
      <w:tr>
        <w:trPr>
          <w:trHeight w:val="120"/>
        </w:trPr>
        <w:tc>
          <w:tcPr>
            <w:tcW w:w="29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CF512, Inc. - Unfunded Revolver </w:t>
            </w:r>
            <w:r>
              <w:rPr>
                <w:rFonts w:ascii="Times New Roman" w:cs="Times New Roman" w:eastAsia="Times New Roman" w:hAnsi="Times New Roman"/>
                <w:sz w:val="12"/>
                <w:szCs w:val="12"/>
                <w:color w:val="auto"/>
                <w:vertAlign w:val="superscript"/>
              </w:rPr>
              <w:t>(7)</w:t>
            </w:r>
          </w:p>
        </w:tc>
        <w:tc>
          <w:tcPr>
            <w:tcW w:w="8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08/17/2021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08/20/2026</w:t>
            </w: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827</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w:t>
            </w:r>
          </w:p>
        </w:tc>
        <w:tc>
          <w:tcPr>
            <w:tcW w:w="0" w:type="dxa"/>
            <w:vAlign w:val="bottom"/>
          </w:tcPr>
          <w:p>
            <w:pPr>
              <w:spacing w:after="0"/>
              <w:rPr>
                <w:sz w:val="1"/>
                <w:szCs w:val="1"/>
                <w:color w:val="auto"/>
              </w:rPr>
            </w:pPr>
          </w:p>
        </w:tc>
      </w:tr>
      <w:tr>
        <w:trPr>
          <w:trHeight w:val="124"/>
        </w:trPr>
        <w:tc>
          <w:tcPr>
            <w:tcW w:w="296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0"/>
                <w:szCs w:val="10"/>
                <w:color w:val="auto"/>
              </w:rPr>
              <w:t>CJX Borrower, LLC</w:t>
            </w:r>
          </w:p>
        </w:tc>
        <w:tc>
          <w:tcPr>
            <w:tcW w:w="820" w:type="dxa"/>
            <w:vAlign w:val="bottom"/>
            <w:vMerge w:val="restart"/>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07/08/2021</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07/13/2027</w:t>
            </w:r>
          </w:p>
        </w:tc>
        <w:tc>
          <w:tcPr>
            <w:tcW w:w="168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80" w:type="dxa"/>
            <w:vAlign w:val="bottom"/>
            <w:vMerge w:val="restart"/>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10.08%</w:t>
            </w:r>
          </w:p>
        </w:tc>
        <w:tc>
          <w:tcPr>
            <w:tcW w:w="860" w:type="dxa"/>
            <w:vAlign w:val="bottom"/>
            <w:vMerge w:val="restart"/>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SOFR+576</w:t>
            </w:r>
          </w:p>
        </w:tc>
        <w:tc>
          <w:tcPr>
            <w:tcW w:w="82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322</w:t>
            </w:r>
          </w:p>
        </w:tc>
        <w:tc>
          <w:tcPr>
            <w:tcW w:w="220" w:type="dxa"/>
            <w:vAlign w:val="bottom"/>
            <w:shd w:val="clear" w:color="auto" w:fill="CCECFF"/>
          </w:tcPr>
          <w:p>
            <w:pPr>
              <w:spacing w:after="0"/>
              <w:rPr>
                <w:sz w:val="10"/>
                <w:szCs w:val="10"/>
                <w:color w:val="auto"/>
              </w:rPr>
            </w:pPr>
          </w:p>
        </w:tc>
        <w:tc>
          <w:tcPr>
            <w:tcW w:w="58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309</w:t>
            </w:r>
          </w:p>
        </w:tc>
        <w:tc>
          <w:tcPr>
            <w:tcW w:w="160" w:type="dxa"/>
            <w:vAlign w:val="bottom"/>
            <w:shd w:val="clear" w:color="auto" w:fill="CCECFF"/>
          </w:tcPr>
          <w:p>
            <w:pPr>
              <w:spacing w:after="0"/>
              <w:rPr>
                <w:sz w:val="10"/>
                <w:szCs w:val="10"/>
                <w:color w:val="auto"/>
              </w:rPr>
            </w:pPr>
          </w:p>
        </w:tc>
        <w:tc>
          <w:tcPr>
            <w:tcW w:w="78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322</w:t>
            </w:r>
          </w:p>
        </w:tc>
        <w:tc>
          <w:tcPr>
            <w:tcW w:w="0" w:type="dxa"/>
            <w:vAlign w:val="bottom"/>
          </w:tcPr>
          <w:p>
            <w:pPr>
              <w:spacing w:after="0"/>
              <w:rPr>
                <w:sz w:val="1"/>
                <w:szCs w:val="1"/>
                <w:color w:val="auto"/>
              </w:rPr>
            </w:pPr>
          </w:p>
        </w:tc>
      </w:tr>
      <w:tr>
        <w:trPr>
          <w:trHeight w:val="104"/>
        </w:trPr>
        <w:tc>
          <w:tcPr>
            <w:tcW w:w="2960" w:type="dxa"/>
            <w:vAlign w:val="bottom"/>
            <w:vMerge w:val="continue"/>
            <w:shd w:val="clear" w:color="auto" w:fill="CCECFF"/>
          </w:tcPr>
          <w:p>
            <w:pPr>
              <w:spacing w:after="0"/>
              <w:rPr>
                <w:sz w:val="9"/>
                <w:szCs w:val="9"/>
                <w:color w:val="auto"/>
              </w:rPr>
            </w:pPr>
          </w:p>
        </w:tc>
        <w:tc>
          <w:tcPr>
            <w:tcW w:w="820" w:type="dxa"/>
            <w:vAlign w:val="bottom"/>
            <w:vMerge w:val="continue"/>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1680" w:type="dxa"/>
            <w:vAlign w:val="bottom"/>
            <w:vMerge w:val="continue"/>
            <w:shd w:val="clear" w:color="auto" w:fill="CCECFF"/>
          </w:tcPr>
          <w:p>
            <w:pPr>
              <w:spacing w:after="0"/>
              <w:rPr>
                <w:sz w:val="9"/>
                <w:szCs w:val="9"/>
                <w:color w:val="auto"/>
              </w:rPr>
            </w:pPr>
          </w:p>
        </w:tc>
        <w:tc>
          <w:tcPr>
            <w:tcW w:w="780" w:type="dxa"/>
            <w:vAlign w:val="bottom"/>
            <w:vMerge w:val="continue"/>
            <w:shd w:val="clear" w:color="auto" w:fill="CCECFF"/>
          </w:tcPr>
          <w:p>
            <w:pPr>
              <w:spacing w:after="0"/>
              <w:rPr>
                <w:sz w:val="9"/>
                <w:szCs w:val="9"/>
                <w:color w:val="auto"/>
              </w:rPr>
            </w:pPr>
          </w:p>
        </w:tc>
        <w:tc>
          <w:tcPr>
            <w:tcW w:w="860" w:type="dxa"/>
            <w:vAlign w:val="bottom"/>
            <w:vMerge w:val="continue"/>
            <w:shd w:val="clear" w:color="auto" w:fill="CCECFF"/>
          </w:tcPr>
          <w:p>
            <w:pPr>
              <w:spacing w:after="0"/>
              <w:rPr>
                <w:sz w:val="9"/>
                <w:szCs w:val="9"/>
                <w:color w:val="auto"/>
              </w:rPr>
            </w:pPr>
          </w:p>
        </w:tc>
        <w:tc>
          <w:tcPr>
            <w:tcW w:w="820" w:type="dxa"/>
            <w:vAlign w:val="bottom"/>
            <w:vMerge w:val="continue"/>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80" w:type="dxa"/>
            <w:vAlign w:val="bottom"/>
            <w:vMerge w:val="continue"/>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80" w:type="dxa"/>
            <w:vAlign w:val="bottom"/>
            <w:vMerge w:val="continue"/>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9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CJX Borrower, LLC - Unfunded Term Loan </w:t>
            </w:r>
            <w:r>
              <w:rPr>
                <w:rFonts w:ascii="Times New Roman" w:cs="Times New Roman" w:eastAsia="Times New Roman" w:hAnsi="Times New Roman"/>
                <w:sz w:val="12"/>
                <w:szCs w:val="12"/>
                <w:color w:val="auto"/>
                <w:vertAlign w:val="superscript"/>
              </w:rPr>
              <w:t>(7)</w:t>
            </w:r>
          </w:p>
        </w:tc>
        <w:tc>
          <w:tcPr>
            <w:tcW w:w="8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07/08/2021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07/13/2027</w:t>
            </w: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w:t>
            </w:r>
          </w:p>
        </w:tc>
        <w:tc>
          <w:tcPr>
            <w:tcW w:w="0" w:type="dxa"/>
            <w:vAlign w:val="bottom"/>
          </w:tcPr>
          <w:p>
            <w:pPr>
              <w:spacing w:after="0"/>
              <w:rPr>
                <w:sz w:val="1"/>
                <w:szCs w:val="1"/>
                <w:color w:val="auto"/>
              </w:rPr>
            </w:pPr>
          </w:p>
        </w:tc>
      </w:tr>
      <w:tr>
        <w:trPr>
          <w:trHeight w:val="120"/>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CJX Borrower, LLC - Funded Revolver</w:t>
            </w:r>
          </w:p>
        </w:tc>
        <w:tc>
          <w:tcPr>
            <w:tcW w:w="8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07/08/2021</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07/13/2027</w:t>
            </w: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10.07%</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SOFR+576</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893</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893</w:t>
            </w:r>
          </w:p>
        </w:tc>
        <w:tc>
          <w:tcPr>
            <w:tcW w:w="16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893</w:t>
            </w:r>
          </w:p>
        </w:tc>
        <w:tc>
          <w:tcPr>
            <w:tcW w:w="0" w:type="dxa"/>
            <w:vAlign w:val="bottom"/>
          </w:tcPr>
          <w:p>
            <w:pPr>
              <w:spacing w:after="0"/>
              <w:rPr>
                <w:sz w:val="1"/>
                <w:szCs w:val="1"/>
                <w:color w:val="auto"/>
              </w:rPr>
            </w:pPr>
          </w:p>
        </w:tc>
      </w:tr>
      <w:tr>
        <w:trPr>
          <w:trHeight w:val="120"/>
        </w:trPr>
        <w:tc>
          <w:tcPr>
            <w:tcW w:w="29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CJX Borrower, LLC - Unfunded Revolver </w:t>
            </w:r>
            <w:r>
              <w:rPr>
                <w:rFonts w:ascii="Times New Roman" w:cs="Times New Roman" w:eastAsia="Times New Roman" w:hAnsi="Times New Roman"/>
                <w:sz w:val="12"/>
                <w:szCs w:val="12"/>
                <w:color w:val="auto"/>
                <w:vertAlign w:val="superscript"/>
              </w:rPr>
              <w:t>(7)</w:t>
            </w:r>
          </w:p>
        </w:tc>
        <w:tc>
          <w:tcPr>
            <w:tcW w:w="8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07/08/2021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07/13/2027</w:t>
            </w: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982</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Compex Legal Services, Inc. - Funded Revolver</w:t>
            </w:r>
          </w:p>
        </w:tc>
        <w:tc>
          <w:tcPr>
            <w:tcW w:w="8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07/24/2023</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02/07/2026</w:t>
            </w: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9.78%</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SOFR+555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459</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459</w:t>
            </w:r>
          </w:p>
        </w:tc>
        <w:tc>
          <w:tcPr>
            <w:tcW w:w="16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459</w:t>
            </w:r>
          </w:p>
        </w:tc>
        <w:tc>
          <w:tcPr>
            <w:tcW w:w="0" w:type="dxa"/>
            <w:vAlign w:val="bottom"/>
          </w:tcPr>
          <w:p>
            <w:pPr>
              <w:spacing w:after="0"/>
              <w:rPr>
                <w:sz w:val="1"/>
                <w:szCs w:val="1"/>
                <w:color w:val="auto"/>
              </w:rPr>
            </w:pPr>
          </w:p>
        </w:tc>
      </w:tr>
      <w:tr>
        <w:trPr>
          <w:trHeight w:val="120"/>
        </w:trPr>
        <w:tc>
          <w:tcPr>
            <w:tcW w:w="29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Compex Legal Services, Inc. - Unfunded Revolver </w:t>
            </w:r>
            <w:r>
              <w:rPr>
                <w:rFonts w:ascii="Times New Roman" w:cs="Times New Roman" w:eastAsia="Times New Roman" w:hAnsi="Times New Roman"/>
                <w:sz w:val="12"/>
                <w:szCs w:val="12"/>
                <w:color w:val="auto"/>
                <w:vertAlign w:val="superscript"/>
              </w:rPr>
              <w:t>(7)</w:t>
            </w:r>
          </w:p>
        </w:tc>
        <w:tc>
          <w:tcPr>
            <w:tcW w:w="8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07/24/2023</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02/07/2026</w:t>
            </w: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Cornerstone Advisors of Arizona, LLC</w:t>
            </w:r>
          </w:p>
        </w:tc>
        <w:tc>
          <w:tcPr>
            <w:tcW w:w="8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05/13/2025</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05/13/2032</w:t>
            </w: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Consulting Services</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8.75%</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SOFR+475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6,000</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5,970</w:t>
            </w:r>
          </w:p>
        </w:tc>
        <w:tc>
          <w:tcPr>
            <w:tcW w:w="16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5,970</w:t>
            </w:r>
          </w:p>
        </w:tc>
        <w:tc>
          <w:tcPr>
            <w:tcW w:w="0" w:type="dxa"/>
            <w:vAlign w:val="bottom"/>
          </w:tcPr>
          <w:p>
            <w:pPr>
              <w:spacing w:after="0"/>
              <w:rPr>
                <w:sz w:val="1"/>
                <w:szCs w:val="1"/>
                <w:color w:val="auto"/>
              </w:rPr>
            </w:pPr>
          </w:p>
        </w:tc>
      </w:tr>
      <w:tr>
        <w:trPr>
          <w:trHeight w:val="120"/>
        </w:trPr>
        <w:tc>
          <w:tcPr>
            <w:tcW w:w="29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Cornerstone Advisors of Arizona, LLC - Unfunded Revolver </w:t>
            </w:r>
            <w:r>
              <w:rPr>
                <w:rFonts w:ascii="Times New Roman" w:cs="Times New Roman" w:eastAsia="Times New Roman" w:hAnsi="Times New Roman"/>
                <w:sz w:val="12"/>
                <w:szCs w:val="12"/>
                <w:color w:val="auto"/>
                <w:vertAlign w:val="superscript"/>
              </w:rPr>
              <w:t>(7)</w:t>
            </w:r>
          </w:p>
        </w:tc>
        <w:tc>
          <w:tcPr>
            <w:tcW w:w="8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05/13/2025</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05/13/2032</w:t>
            </w: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Consulting Services</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797</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20"/>
        </w:trPr>
        <w:tc>
          <w:tcPr>
            <w:tcW w:w="29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Commercial Fire Protection Holdings, LLC - Unfunded Term Loan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09/23/2024</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09/23/2026</w:t>
            </w: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6,630</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w:t>
            </w:r>
          </w:p>
        </w:tc>
        <w:tc>
          <w:tcPr>
            <w:tcW w:w="0" w:type="dxa"/>
            <w:vAlign w:val="bottom"/>
          </w:tcPr>
          <w:p>
            <w:pPr>
              <w:spacing w:after="0"/>
              <w:rPr>
                <w:sz w:val="1"/>
                <w:szCs w:val="1"/>
                <w:color w:val="auto"/>
              </w:rPr>
            </w:pPr>
          </w:p>
        </w:tc>
      </w:tr>
      <w:tr>
        <w:trPr>
          <w:trHeight w:val="120"/>
        </w:trPr>
        <w:tc>
          <w:tcPr>
            <w:tcW w:w="29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Commercial Fire Protection Holdings, LLC - Unfunded Revolver </w:t>
            </w:r>
            <w:r>
              <w:rPr>
                <w:rFonts w:ascii="Times New Roman" w:cs="Times New Roman" w:eastAsia="Times New Roman" w:hAnsi="Times New Roman"/>
                <w:sz w:val="12"/>
                <w:szCs w:val="12"/>
                <w:color w:val="auto"/>
                <w:vertAlign w:val="superscript"/>
              </w:rPr>
              <w:t>(7)</w:t>
            </w:r>
          </w:p>
        </w:tc>
        <w:tc>
          <w:tcPr>
            <w:tcW w:w="8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09/23/2024</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09/23/2030</w:t>
            </w: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2,486</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29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w:t>
            </w:r>
          </w:p>
        </w:tc>
        <w:tc>
          <w:tcPr>
            <w:tcW w:w="78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80" w:type="dxa"/>
            <w:vAlign w:val="bottom"/>
            <w:vMerge w:val="restart"/>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w:t>
            </w:r>
            <w:r>
              <w:rPr>
                <w:rFonts w:ascii="Times New Roman" w:cs="Times New Roman" w:eastAsia="Times New Roman" w:hAnsi="Times New Roman"/>
                <w:sz w:val="19"/>
                <w:szCs w:val="19"/>
                <w:color w:val="auto"/>
                <w:vertAlign w:val="subscript"/>
              </w:rPr>
              <w:t>)</w:t>
            </w:r>
          </w:p>
        </w:tc>
        <w:tc>
          <w:tcPr>
            <w:tcW w:w="0" w:type="dxa"/>
            <w:vAlign w:val="bottom"/>
          </w:tcPr>
          <w:p>
            <w:pPr>
              <w:spacing w:after="0"/>
              <w:rPr>
                <w:sz w:val="1"/>
                <w:szCs w:val="1"/>
                <w:color w:val="auto"/>
              </w:rPr>
            </w:pPr>
          </w:p>
        </w:tc>
      </w:tr>
      <w:tr>
        <w:trPr>
          <w:trHeight w:val="120"/>
        </w:trPr>
        <w:tc>
          <w:tcPr>
            <w:tcW w:w="29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Crane 1 Services, Inc. - Unfunded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06/10/2024</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08/16/2027</w:t>
            </w: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Services</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435</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80" w:type="dxa"/>
            <w:vAlign w:val="bottom"/>
            <w:vMerge w:val="continue"/>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60" w:type="dxa"/>
            <w:vAlign w:val="bottom"/>
          </w:tcPr>
          <w:p>
            <w:pPr>
              <w:spacing w:after="0"/>
              <w:rPr>
                <w:sz w:val="20"/>
                <w:szCs w:val="20"/>
                <w:color w:val="auto"/>
              </w:rPr>
            </w:pPr>
            <w:r>
              <w:rPr>
                <w:rFonts w:ascii="Times New Roman" w:cs="Times New Roman" w:eastAsia="Times New Roman" w:hAnsi="Times New Roman"/>
                <w:sz w:val="10"/>
                <w:szCs w:val="10"/>
                <w:color w:val="auto"/>
              </w:rPr>
              <w:t>C5MI Acquisition, LLC</w:t>
            </w:r>
          </w:p>
        </w:tc>
        <w:tc>
          <w:tcPr>
            <w:tcW w:w="8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07/31/2024</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07/31/2029</w:t>
            </w: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10.00%</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SOFR+600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2,463</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2,432</w:t>
            </w:r>
          </w:p>
        </w:tc>
        <w:tc>
          <w:tcPr>
            <w:tcW w:w="16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2,463</w:t>
            </w:r>
          </w:p>
        </w:tc>
        <w:tc>
          <w:tcPr>
            <w:tcW w:w="0" w:type="dxa"/>
            <w:vAlign w:val="bottom"/>
          </w:tcPr>
          <w:p>
            <w:pPr>
              <w:spacing w:after="0"/>
              <w:rPr>
                <w:sz w:val="1"/>
                <w:szCs w:val="1"/>
                <w:color w:val="auto"/>
              </w:rPr>
            </w:pPr>
          </w:p>
        </w:tc>
      </w:tr>
      <w:tr>
        <w:trPr>
          <w:trHeight w:val="120"/>
        </w:trPr>
        <w:tc>
          <w:tcPr>
            <w:tcW w:w="29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C5MI Acquisition, LLC - Unfunded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07/31/2024</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07/31/2029</w:t>
            </w: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4,133</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60" w:type="dxa"/>
            <w:vAlign w:val="bottom"/>
          </w:tcPr>
          <w:p>
            <w:pPr>
              <w:spacing w:after="0"/>
              <w:rPr>
                <w:sz w:val="20"/>
                <w:szCs w:val="20"/>
                <w:color w:val="auto"/>
              </w:rPr>
            </w:pPr>
            <w:r>
              <w:rPr>
                <w:rFonts w:ascii="Times New Roman" w:cs="Times New Roman" w:eastAsia="Times New Roman" w:hAnsi="Times New Roman"/>
                <w:sz w:val="10"/>
                <w:szCs w:val="10"/>
                <w:color w:val="auto"/>
              </w:rPr>
              <w:t>DRS Holdings III, Inc.</w:t>
            </w:r>
          </w:p>
        </w:tc>
        <w:tc>
          <w:tcPr>
            <w:tcW w:w="8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11/01/2019</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11/03/2025</w:t>
            </w: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9.57%</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w:t>
            </w:r>
          </w:p>
        </w:tc>
        <w:tc>
          <w:tcPr>
            <w:tcW w:w="16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20"/>
        </w:trPr>
        <w:tc>
          <w:tcPr>
            <w:tcW w:w="29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DRS Holdings III, Inc. - Unfunded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11/01/2019</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11/03/2025</w:t>
            </w: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608</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Duggal Acquisition, LLC - Unfunded Term Loan </w:t>
            </w:r>
            <w:r>
              <w:rPr>
                <w:rFonts w:ascii="Times New Roman" w:cs="Times New Roman" w:eastAsia="Times New Roman" w:hAnsi="Times New Roman"/>
                <w:sz w:val="12"/>
                <w:szCs w:val="12"/>
                <w:color w:val="auto"/>
                <w:vertAlign w:val="superscript"/>
              </w:rPr>
              <w:t>(7)</w:t>
            </w:r>
          </w:p>
        </w:tc>
        <w:tc>
          <w:tcPr>
            <w:tcW w:w="8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09/30/2024</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09/30/2026</w:t>
            </w: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2,042</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0"/>
        </w:trPr>
        <w:tc>
          <w:tcPr>
            <w:tcW w:w="29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Duggal Acquisition, LLC - Unfunded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09/30/2024</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09/30/2030</w:t>
            </w: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2,561</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60" w:type="dxa"/>
            <w:vAlign w:val="bottom"/>
          </w:tcPr>
          <w:p>
            <w:pPr>
              <w:spacing w:after="0"/>
              <w:rPr>
                <w:sz w:val="20"/>
                <w:szCs w:val="20"/>
                <w:color w:val="auto"/>
              </w:rPr>
            </w:pPr>
            <w:r>
              <w:rPr>
                <w:rFonts w:ascii="Times New Roman" w:cs="Times New Roman" w:eastAsia="Times New Roman" w:hAnsi="Times New Roman"/>
                <w:sz w:val="10"/>
                <w:szCs w:val="10"/>
                <w:color w:val="auto"/>
              </w:rPr>
              <w:t>Dynata, LLC - Last-Out Term Loan</w:t>
            </w:r>
          </w:p>
        </w:tc>
        <w:tc>
          <w:tcPr>
            <w:tcW w:w="8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07/15/2024</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10/16/2028</w:t>
            </w: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9.96%</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SOFR+576</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w:t>
            </w:r>
          </w:p>
        </w:tc>
        <w:tc>
          <w:tcPr>
            <w:tcW w:w="16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w:t>
            </w:r>
          </w:p>
        </w:tc>
        <w:tc>
          <w:tcPr>
            <w:tcW w:w="0" w:type="dxa"/>
            <w:vAlign w:val="bottom"/>
          </w:tcPr>
          <w:p>
            <w:pPr>
              <w:spacing w:after="0"/>
              <w:rPr>
                <w:sz w:val="1"/>
                <w:szCs w:val="1"/>
                <w:color w:val="auto"/>
              </w:rPr>
            </w:pPr>
          </w:p>
        </w:tc>
      </w:tr>
      <w:tr>
        <w:trPr>
          <w:trHeight w:val="120"/>
        </w:trPr>
        <w:tc>
          <w:tcPr>
            <w:tcW w:w="29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EDS Buyer, LLC - Unfunded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12/19/2022</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01/10/2029</w:t>
            </w: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1,915</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20"/>
        </w:trPr>
        <w:tc>
          <w:tcPr>
            <w:tcW w:w="2960" w:type="dxa"/>
            <w:vAlign w:val="bottom"/>
          </w:tcPr>
          <w:p>
            <w:pPr>
              <w:spacing w:after="0"/>
              <w:rPr>
                <w:sz w:val="20"/>
                <w:szCs w:val="20"/>
                <w:color w:val="auto"/>
              </w:rPr>
            </w:pPr>
            <w:r>
              <w:rPr>
                <w:rFonts w:ascii="Times New Roman" w:cs="Times New Roman" w:eastAsia="Times New Roman" w:hAnsi="Times New Roman"/>
                <w:sz w:val="10"/>
                <w:szCs w:val="10"/>
                <w:color w:val="auto"/>
              </w:rPr>
              <w:t>Emergency Care Partners, LLC</w:t>
            </w:r>
          </w:p>
        </w:tc>
        <w:tc>
          <w:tcPr>
            <w:tcW w:w="8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10/18/2024</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10/18/2027</w:t>
            </w: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9.69%</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656</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656</w:t>
            </w:r>
          </w:p>
        </w:tc>
        <w:tc>
          <w:tcPr>
            <w:tcW w:w="16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656</w:t>
            </w:r>
          </w:p>
        </w:tc>
        <w:tc>
          <w:tcPr>
            <w:tcW w:w="0" w:type="dxa"/>
            <w:vAlign w:val="bottom"/>
          </w:tcPr>
          <w:p>
            <w:pPr>
              <w:spacing w:after="0"/>
              <w:rPr>
                <w:sz w:val="1"/>
                <w:szCs w:val="1"/>
                <w:color w:val="auto"/>
              </w:rPr>
            </w:pPr>
          </w:p>
        </w:tc>
      </w:tr>
      <w:tr>
        <w:trPr>
          <w:trHeight w:val="120"/>
        </w:trPr>
        <w:tc>
          <w:tcPr>
            <w:tcW w:w="29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Emergency Care Partners, LLC - Unfunded Term Loan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10/18/2024</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10/19/2026</w:t>
            </w: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1,530</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Emergency Care Partners, LLC - Unfunded Revolver </w:t>
            </w:r>
            <w:r>
              <w:rPr>
                <w:rFonts w:ascii="Times New Roman" w:cs="Times New Roman" w:eastAsia="Times New Roman" w:hAnsi="Times New Roman"/>
                <w:sz w:val="12"/>
                <w:szCs w:val="12"/>
                <w:color w:val="auto"/>
                <w:vertAlign w:val="superscript"/>
              </w:rPr>
              <w:t>(7)</w:t>
            </w:r>
          </w:p>
        </w:tc>
        <w:tc>
          <w:tcPr>
            <w:tcW w:w="8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10/18/2024</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10/18/2027</w:t>
            </w: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641</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ENC Parent Corporation</w:t>
            </w:r>
          </w:p>
        </w:tc>
        <w:tc>
          <w:tcPr>
            <w:tcW w:w="8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07/11/2024</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08/20/2029</w:t>
            </w: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8.51%</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SOFR+451</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3,391</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3,057</w:t>
            </w:r>
          </w:p>
        </w:tc>
        <w:tc>
          <w:tcPr>
            <w:tcW w:w="16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2,882</w:t>
            </w:r>
          </w:p>
        </w:tc>
        <w:tc>
          <w:tcPr>
            <w:tcW w:w="0" w:type="dxa"/>
            <w:vAlign w:val="bottom"/>
          </w:tcPr>
          <w:p>
            <w:pPr>
              <w:spacing w:after="0"/>
              <w:rPr>
                <w:sz w:val="1"/>
                <w:szCs w:val="1"/>
                <w:color w:val="auto"/>
              </w:rPr>
            </w:pPr>
          </w:p>
        </w:tc>
      </w:tr>
      <w:tr>
        <w:trPr>
          <w:trHeight w:val="120"/>
        </w:trPr>
        <w:tc>
          <w:tcPr>
            <w:tcW w:w="2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w:t>
            </w: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60" w:type="dxa"/>
            <w:vAlign w:val="bottom"/>
          </w:tcPr>
          <w:p>
            <w:pPr>
              <w:spacing w:after="0"/>
              <w:rPr>
                <w:sz w:val="20"/>
                <w:szCs w:val="20"/>
                <w:color w:val="auto"/>
              </w:rPr>
            </w:pPr>
            <w:r>
              <w:rPr>
                <w:rFonts w:ascii="Times New Roman" w:cs="Times New Roman" w:eastAsia="Times New Roman" w:hAnsi="Times New Roman"/>
                <w:sz w:val="10"/>
                <w:szCs w:val="10"/>
                <w:color w:val="auto"/>
              </w:rPr>
              <w:t>ETE Intermediate II, LLC</w:t>
            </w:r>
          </w:p>
        </w:tc>
        <w:tc>
          <w:tcPr>
            <w:tcW w:w="8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05/24/2023</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05/29/2029</w:t>
            </w: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Services</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9.16%</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552</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549</w:t>
            </w:r>
          </w:p>
        </w:tc>
        <w:tc>
          <w:tcPr>
            <w:tcW w:w="16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552</w:t>
            </w:r>
          </w:p>
        </w:tc>
        <w:tc>
          <w:tcPr>
            <w:tcW w:w="0" w:type="dxa"/>
            <w:vAlign w:val="bottom"/>
          </w:tcPr>
          <w:p>
            <w:pPr>
              <w:spacing w:after="0"/>
              <w:rPr>
                <w:sz w:val="1"/>
                <w:szCs w:val="1"/>
                <w:color w:val="auto"/>
              </w:rPr>
            </w:pPr>
          </w:p>
        </w:tc>
      </w:tr>
      <w:tr>
        <w:trPr>
          <w:trHeight w:val="121"/>
        </w:trPr>
        <w:tc>
          <w:tcPr>
            <w:tcW w:w="29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w:t>
            </w:r>
          </w:p>
        </w:tc>
        <w:tc>
          <w:tcPr>
            <w:tcW w:w="78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ETE Intermediate II, LLC - Funded Revolver</w:t>
            </w:r>
          </w:p>
        </w:tc>
        <w:tc>
          <w:tcPr>
            <w:tcW w:w="8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05/24/2023</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05/25/2029</w:t>
            </w: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Services</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9.17%</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166</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166</w:t>
            </w:r>
          </w:p>
        </w:tc>
        <w:tc>
          <w:tcPr>
            <w:tcW w:w="16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166</w:t>
            </w:r>
          </w:p>
        </w:tc>
        <w:tc>
          <w:tcPr>
            <w:tcW w:w="0" w:type="dxa"/>
            <w:vAlign w:val="bottom"/>
          </w:tcPr>
          <w:p>
            <w:pPr>
              <w:spacing w:after="0"/>
              <w:rPr>
                <w:sz w:val="1"/>
                <w:szCs w:val="1"/>
                <w:color w:val="auto"/>
              </w:rPr>
            </w:pPr>
          </w:p>
        </w:tc>
      </w:tr>
      <w:tr>
        <w:trPr>
          <w:trHeight w:val="121"/>
        </w:trPr>
        <w:tc>
          <w:tcPr>
            <w:tcW w:w="2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w:t>
            </w: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ETE Intermediate II, LLC - Unfunded Revolver </w:t>
            </w:r>
            <w:r>
              <w:rPr>
                <w:rFonts w:ascii="Times New Roman" w:cs="Times New Roman" w:eastAsia="Times New Roman" w:hAnsi="Times New Roman"/>
                <w:sz w:val="12"/>
                <w:szCs w:val="12"/>
                <w:color w:val="auto"/>
                <w:vertAlign w:val="superscript"/>
              </w:rPr>
              <w:t>(7)</w:t>
            </w:r>
          </w:p>
        </w:tc>
        <w:tc>
          <w:tcPr>
            <w:tcW w:w="8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05/24/2023</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05/25/2029</w:t>
            </w: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Services</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2,264</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Eval Home Health Solutions Intermediate, LLC - Unfunded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05/10/2024</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05/10/2030</w:t>
            </w: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822</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60" w:type="dxa"/>
            <w:vAlign w:val="bottom"/>
          </w:tcPr>
          <w:p>
            <w:pPr>
              <w:spacing w:after="0"/>
              <w:rPr>
                <w:sz w:val="20"/>
                <w:szCs w:val="20"/>
                <w:color w:val="auto"/>
              </w:rPr>
            </w:pPr>
            <w:r>
              <w:rPr>
                <w:rFonts w:ascii="Times New Roman" w:cs="Times New Roman" w:eastAsia="Times New Roman" w:hAnsi="Times New Roman"/>
                <w:sz w:val="10"/>
                <w:szCs w:val="10"/>
                <w:color w:val="auto"/>
              </w:rPr>
              <w:t>Exigo Intermediate II, LLC</w:t>
            </w:r>
          </w:p>
        </w:tc>
        <w:tc>
          <w:tcPr>
            <w:tcW w:w="8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03/10/2022</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03/15/2027</w:t>
            </w: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10.51%</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SOFR+635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23,878</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23,740</w:t>
            </w:r>
          </w:p>
        </w:tc>
        <w:tc>
          <w:tcPr>
            <w:tcW w:w="16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23,878</w:t>
            </w:r>
          </w:p>
        </w:tc>
        <w:tc>
          <w:tcPr>
            <w:tcW w:w="0" w:type="dxa"/>
            <w:vAlign w:val="bottom"/>
          </w:tcPr>
          <w:p>
            <w:pPr>
              <w:spacing w:after="0"/>
              <w:rPr>
                <w:sz w:val="1"/>
                <w:szCs w:val="1"/>
                <w:color w:val="auto"/>
              </w:rPr>
            </w:pPr>
          </w:p>
        </w:tc>
      </w:tr>
      <w:tr>
        <w:trPr>
          <w:trHeight w:val="120"/>
        </w:trPr>
        <w:tc>
          <w:tcPr>
            <w:tcW w:w="29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Exigo Intermediate II, LLC - Unfunded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03/10/2022</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03/15/2027</w:t>
            </w: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1,856</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60" w:type="dxa"/>
            <w:vAlign w:val="bottom"/>
          </w:tcPr>
          <w:p>
            <w:pPr>
              <w:spacing w:after="0"/>
              <w:rPr>
                <w:sz w:val="20"/>
                <w:szCs w:val="20"/>
                <w:color w:val="auto"/>
              </w:rPr>
            </w:pPr>
            <w:r>
              <w:rPr>
                <w:rFonts w:ascii="Times New Roman" w:cs="Times New Roman" w:eastAsia="Times New Roman" w:hAnsi="Times New Roman"/>
                <w:sz w:val="10"/>
                <w:szCs w:val="10"/>
                <w:color w:val="auto"/>
              </w:rPr>
              <w:t>Express Wash Intermediate, LLC</w:t>
            </w:r>
          </w:p>
        </w:tc>
        <w:tc>
          <w:tcPr>
            <w:tcW w:w="8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07/14/2022</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04/10/2031</w:t>
            </w: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10.58%</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SOFR+625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9,975</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9,926</w:t>
            </w:r>
          </w:p>
        </w:tc>
        <w:tc>
          <w:tcPr>
            <w:tcW w:w="16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9,736</w:t>
            </w:r>
          </w:p>
        </w:tc>
        <w:tc>
          <w:tcPr>
            <w:tcW w:w="0" w:type="dxa"/>
            <w:vAlign w:val="bottom"/>
          </w:tcPr>
          <w:p>
            <w:pPr>
              <w:spacing w:after="0"/>
              <w:rPr>
                <w:sz w:val="1"/>
                <w:szCs w:val="1"/>
                <w:color w:val="auto"/>
              </w:rPr>
            </w:pPr>
          </w:p>
        </w:tc>
      </w:tr>
      <w:tr>
        <w:trPr>
          <w:trHeight w:val="120"/>
        </w:trPr>
        <w:tc>
          <w:tcPr>
            <w:tcW w:w="29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Express Wash Intermediate, LLC - Unfunded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07/14/2022</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04/10/2031</w:t>
            </w: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609</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0" w:type="dxa"/>
            <w:vAlign w:val="bottom"/>
          </w:tcPr>
          <w:p>
            <w:pPr>
              <w:spacing w:after="0"/>
              <w:rPr>
                <w:sz w:val="1"/>
                <w:szCs w:val="1"/>
                <w:color w:val="auto"/>
              </w:rPr>
            </w:pPr>
          </w:p>
        </w:tc>
      </w:tr>
      <w:tr>
        <w:trPr>
          <w:trHeight w:val="120"/>
        </w:trPr>
        <w:tc>
          <w:tcPr>
            <w:tcW w:w="2960" w:type="dxa"/>
            <w:vAlign w:val="bottom"/>
          </w:tcPr>
          <w:p>
            <w:pPr>
              <w:spacing w:after="0"/>
              <w:rPr>
                <w:sz w:val="20"/>
                <w:szCs w:val="20"/>
                <w:color w:val="auto"/>
              </w:rPr>
            </w:pPr>
            <w:r>
              <w:rPr>
                <w:rFonts w:ascii="Times New Roman" w:cs="Times New Roman" w:eastAsia="Times New Roman" w:hAnsi="Times New Roman"/>
                <w:sz w:val="10"/>
                <w:szCs w:val="10"/>
                <w:color w:val="auto"/>
              </w:rPr>
              <w:t>First Medical MSO, LLC</w:t>
            </w:r>
          </w:p>
        </w:tc>
        <w:tc>
          <w:tcPr>
            <w:tcW w:w="8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06/13/2025</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06/13/2031</w:t>
            </w: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9.75%</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4,489</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4,445</w:t>
            </w:r>
          </w:p>
        </w:tc>
        <w:tc>
          <w:tcPr>
            <w:tcW w:w="16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4,444</w:t>
            </w:r>
          </w:p>
        </w:tc>
        <w:tc>
          <w:tcPr>
            <w:tcW w:w="0" w:type="dxa"/>
            <w:vAlign w:val="bottom"/>
          </w:tcPr>
          <w:p>
            <w:pPr>
              <w:spacing w:after="0"/>
              <w:rPr>
                <w:sz w:val="1"/>
                <w:szCs w:val="1"/>
                <w:color w:val="auto"/>
              </w:rPr>
            </w:pPr>
          </w:p>
        </w:tc>
      </w:tr>
      <w:tr>
        <w:trPr>
          <w:trHeight w:val="120"/>
        </w:trPr>
        <w:tc>
          <w:tcPr>
            <w:tcW w:w="29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First Medical MSO, LLC - Unfunded Term Loan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06/13/2025</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06/13/2027</w:t>
            </w: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3,000</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bl>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425450</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40"/>
          </w:cols>
          <w:pgMar w:left="780" w:top="1156" w:right="78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38"/>
        </w:trPr>
        <w:tc>
          <w:tcPr>
            <w:tcW w:w="29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First Medical MSO, LLC - Unfunded Revolver </w:t>
            </w:r>
            <w:r>
              <w:rPr>
                <w:rFonts w:ascii="Times New Roman" w:cs="Times New Roman" w:eastAsia="Times New Roman" w:hAnsi="Times New Roman"/>
                <w:sz w:val="12"/>
                <w:szCs w:val="12"/>
                <w:color w:val="auto"/>
                <w:vertAlign w:val="superscript"/>
              </w:rPr>
              <w:t>(7)</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06/13/2025</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06/13/2031</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600</w:t>
            </w: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w:t>
            </w:r>
          </w:p>
        </w:tc>
      </w:tr>
      <w:tr>
        <w:trPr>
          <w:trHeight w:val="121"/>
        </w:trPr>
        <w:tc>
          <w:tcPr>
            <w:tcW w:w="296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80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r>
      <w:tr>
        <w:trPr>
          <w:trHeight w:val="120"/>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Five Star Buyer, Inc.</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02/21/2023</w:t>
            </w:r>
          </w:p>
        </w:tc>
        <w:tc>
          <w:tcPr>
            <w:tcW w:w="6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02/23/2028</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11.46%</w:t>
            </w:r>
          </w:p>
        </w:tc>
        <w:tc>
          <w:tcPr>
            <w:tcW w:w="1060" w:type="dxa"/>
            <w:vAlign w:val="bottom"/>
            <w:shd w:val="clear" w:color="auto" w:fill="CCECFF"/>
          </w:tcPr>
          <w:p>
            <w:pPr>
              <w:jc w:val="right"/>
              <w:ind w:right="312"/>
              <w:spacing w:after="0"/>
              <w:rPr>
                <w:sz w:val="20"/>
                <w:szCs w:val="20"/>
                <w:color w:val="auto"/>
              </w:rPr>
            </w:pPr>
            <w:r>
              <w:rPr>
                <w:rFonts w:ascii="Times New Roman" w:cs="Times New Roman" w:eastAsia="Times New Roman" w:hAnsi="Times New Roman"/>
                <w:sz w:val="10"/>
                <w:szCs w:val="10"/>
                <w:color w:val="auto"/>
              </w:rPr>
              <w:t>3M SOFR+715</w:t>
            </w:r>
          </w:p>
        </w:tc>
        <w:tc>
          <w:tcPr>
            <w:tcW w:w="82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197</w:t>
            </w:r>
          </w:p>
        </w:tc>
        <w:tc>
          <w:tcPr>
            <w:tcW w:w="880" w:type="dxa"/>
            <w:vAlign w:val="bottom"/>
            <w:shd w:val="clear" w:color="auto" w:fill="CCECFF"/>
          </w:tcPr>
          <w:p>
            <w:pPr>
              <w:jc w:val="right"/>
              <w:ind w:right="352"/>
              <w:spacing w:after="0"/>
              <w:rPr>
                <w:sz w:val="20"/>
                <w:szCs w:val="20"/>
                <w:color w:val="auto"/>
              </w:rPr>
            </w:pPr>
            <w:r>
              <w:rPr>
                <w:rFonts w:ascii="Times New Roman" w:cs="Times New Roman" w:eastAsia="Times New Roman" w:hAnsi="Times New Roman"/>
                <w:sz w:val="10"/>
                <w:szCs w:val="10"/>
                <w:color w:val="auto"/>
              </w:rPr>
              <w:t>197</w:t>
            </w: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193</w:t>
            </w:r>
          </w:p>
        </w:tc>
      </w:tr>
      <w:tr>
        <w:trPr>
          <w:trHeight w:val="120"/>
        </w:trPr>
        <w:tc>
          <w:tcPr>
            <w:tcW w:w="296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7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1.00%)</w:t>
            </w:r>
          </w:p>
        </w:tc>
        <w:tc>
          <w:tcPr>
            <w:tcW w:w="10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r>
      <w:tr>
        <w:trPr>
          <w:trHeight w:val="121"/>
        </w:trPr>
        <w:tc>
          <w:tcPr>
            <w:tcW w:w="29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6"/>
        </w:trPr>
        <w:tc>
          <w:tcPr>
            <w:tcW w:w="29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Five Star Buyer, Inc. - Unfunded Revolver </w:t>
            </w:r>
            <w:r>
              <w:rPr>
                <w:rFonts w:ascii="Times New Roman" w:cs="Times New Roman" w:eastAsia="Times New Roman" w:hAnsi="Times New Roman"/>
                <w:sz w:val="12"/>
                <w:szCs w:val="12"/>
                <w:color w:val="auto"/>
                <w:vertAlign w:val="superscript"/>
              </w:rPr>
              <w:t>(7)</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02/21/2023</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02/23/2028</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370</w:t>
            </w: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w:t>
            </w:r>
          </w:p>
        </w:tc>
      </w:tr>
    </w:tbl>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425450</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40"/>
          </w:cols>
          <w:pgMar w:left="780" w:top="1176" w:right="78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4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2"/>
              </w:rPr>
              <w:t>Spread Above</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Acquisition</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0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40" w:type="dxa"/>
            <w:vAlign w:val="bottom"/>
          </w:tcPr>
          <w:p>
            <w:pPr>
              <w:jc w:val="center"/>
              <w:ind w:right="32"/>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(4)</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20" w:type="dxa"/>
            <w:vAlign w:val="bottom"/>
          </w:tcPr>
          <w:p>
            <w:pPr>
              <w:spacing w:after="0"/>
              <w:rPr>
                <w:sz w:val="10"/>
                <w:szCs w:val="10"/>
                <w:color w:val="auto"/>
              </w:rPr>
            </w:pPr>
          </w:p>
        </w:tc>
        <w:tc>
          <w:tcPr>
            <w:tcW w:w="54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0"/>
                <w:szCs w:val="10"/>
                <w:color w:val="auto"/>
              </w:rPr>
            </w:pPr>
          </w:p>
        </w:tc>
        <w:tc>
          <w:tcPr>
            <w:tcW w:w="780" w:type="dxa"/>
            <w:vAlign w:val="bottom"/>
          </w:tcPr>
          <w:p>
            <w:pPr>
              <w:jc w:val="right"/>
              <w:ind w:right="152"/>
              <w:spacing w:after="0" w:line="122" w:lineRule="exact"/>
              <w:rPr>
                <w:sz w:val="20"/>
                <w:szCs w:val="20"/>
                <w:color w:val="auto"/>
              </w:rPr>
            </w:pPr>
            <w:r>
              <w:rPr>
                <w:rFonts w:ascii="Times New Roman" w:cs="Times New Roman" w:eastAsia="Times New Roman" w:hAnsi="Times New Roman"/>
                <w:sz w:val="10"/>
                <w:szCs w:val="10"/>
                <w:b w:val="1"/>
                <w:bCs w:val="1"/>
                <w:color w:val="auto"/>
                <w:w w:val="97"/>
              </w:rPr>
              <w:t xml:space="preserve">Fair Value </w:t>
            </w:r>
            <w:r>
              <w:rPr>
                <w:rFonts w:ascii="Times New Roman" w:cs="Times New Roman" w:eastAsia="Times New Roman" w:hAnsi="Times New Roman"/>
                <w:sz w:val="12"/>
                <w:szCs w:val="12"/>
                <w:b w:val="1"/>
                <w:bCs w:val="1"/>
                <w:color w:val="auto"/>
                <w:w w:val="97"/>
                <w:vertAlign w:val="superscript"/>
              </w:rPr>
              <w:t>(3)</w:t>
            </w:r>
          </w:p>
        </w:tc>
        <w:tc>
          <w:tcPr>
            <w:tcW w:w="0" w:type="dxa"/>
            <w:vAlign w:val="bottom"/>
          </w:tcPr>
          <w:p>
            <w:pPr>
              <w:spacing w:after="0"/>
              <w:rPr>
                <w:sz w:val="1"/>
                <w:szCs w:val="1"/>
                <w:color w:val="auto"/>
              </w:rPr>
            </w:pPr>
          </w:p>
        </w:tc>
      </w:tr>
      <w:tr>
        <w:trPr>
          <w:trHeight w:val="121"/>
        </w:trPr>
        <w:tc>
          <w:tcPr>
            <w:tcW w:w="31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w:t>
            </w:r>
          </w:p>
        </w:tc>
        <w:tc>
          <w:tcPr>
            <w:tcW w:w="80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Gauge ETE Blocker, LLC</w:t>
            </w:r>
          </w:p>
        </w:tc>
        <w:tc>
          <w:tcPr>
            <w:tcW w:w="78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05/24/2023</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05/21/2029</w:t>
            </w: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Services</w:t>
            </w:r>
          </w:p>
        </w:tc>
        <w:tc>
          <w:tcPr>
            <w:tcW w:w="8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0"/>
                <w:szCs w:val="10"/>
                <w:color w:val="auto"/>
              </w:rPr>
              <w:t>PIK 12.56%</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285</w:t>
            </w:r>
          </w:p>
        </w:tc>
        <w:tc>
          <w:tcPr>
            <w:tcW w:w="2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285</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285</w:t>
            </w:r>
          </w:p>
        </w:tc>
        <w:tc>
          <w:tcPr>
            <w:tcW w:w="0" w:type="dxa"/>
            <w:vAlign w:val="bottom"/>
          </w:tcPr>
          <w:p>
            <w:pPr>
              <w:spacing w:after="0"/>
              <w:rPr>
                <w:sz w:val="1"/>
                <w:szCs w:val="1"/>
                <w:color w:val="auto"/>
              </w:rPr>
            </w:pPr>
          </w:p>
        </w:tc>
      </w:tr>
      <w:tr>
        <w:trPr>
          <w:trHeight w:val="121"/>
        </w:trPr>
        <w:tc>
          <w:tcPr>
            <w:tcW w:w="3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Home and Office Furnishings,</w:t>
            </w: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Housewares and Durable Consumer</w:t>
            </w: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20" w:type="dxa"/>
            <w:vAlign w:val="bottom"/>
          </w:tcPr>
          <w:p>
            <w:pPr>
              <w:spacing w:after="0"/>
              <w:rPr>
                <w:sz w:val="20"/>
                <w:szCs w:val="20"/>
                <w:color w:val="auto"/>
              </w:rPr>
            </w:pPr>
            <w:r>
              <w:rPr>
                <w:rFonts w:ascii="Times New Roman" w:cs="Times New Roman" w:eastAsia="Times New Roman" w:hAnsi="Times New Roman"/>
                <w:sz w:val="10"/>
                <w:szCs w:val="10"/>
                <w:color w:val="auto"/>
              </w:rPr>
              <w:t>GGG MIDCO, LLC</w:t>
            </w:r>
          </w:p>
        </w:tc>
        <w:tc>
          <w:tcPr>
            <w:tcW w:w="78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09/27/2024</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09/27/2030</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Products</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9.22%</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SOFR+500</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8,112</w:t>
            </w:r>
          </w:p>
        </w:tc>
        <w:tc>
          <w:tcPr>
            <w:tcW w:w="22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8,035</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8,112</w:t>
            </w:r>
          </w:p>
        </w:tc>
        <w:tc>
          <w:tcPr>
            <w:tcW w:w="0" w:type="dxa"/>
            <w:vAlign w:val="bottom"/>
          </w:tcPr>
          <w:p>
            <w:pPr>
              <w:spacing w:after="0"/>
              <w:rPr>
                <w:sz w:val="1"/>
                <w:szCs w:val="1"/>
                <w:color w:val="auto"/>
              </w:rPr>
            </w:pPr>
          </w:p>
        </w:tc>
      </w:tr>
      <w:tr>
        <w:trPr>
          <w:trHeight w:val="121"/>
        </w:trPr>
        <w:tc>
          <w:tcPr>
            <w:tcW w:w="31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Home and Office Furnishings,</w:t>
            </w:r>
          </w:p>
        </w:tc>
        <w:tc>
          <w:tcPr>
            <w:tcW w:w="80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Housewares and Durable Consumer</w:t>
            </w:r>
          </w:p>
        </w:tc>
        <w:tc>
          <w:tcPr>
            <w:tcW w:w="80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GGG MIDCO, LLC - Unfunded Term Loan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09/27/2024</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09/27/2026</w:t>
            </w: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Products</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2,154</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w:t>
            </w:r>
          </w:p>
        </w:tc>
        <w:tc>
          <w:tcPr>
            <w:tcW w:w="0" w:type="dxa"/>
            <w:vAlign w:val="bottom"/>
          </w:tcPr>
          <w:p>
            <w:pPr>
              <w:spacing w:after="0"/>
              <w:rPr>
                <w:sz w:val="1"/>
                <w:szCs w:val="1"/>
                <w:color w:val="auto"/>
              </w:rPr>
            </w:pPr>
          </w:p>
        </w:tc>
      </w:tr>
      <w:tr>
        <w:trPr>
          <w:trHeight w:val="121"/>
        </w:trPr>
        <w:tc>
          <w:tcPr>
            <w:tcW w:w="3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Home and Office Furnishings,</w:t>
            </w: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Housewares and Durable Consumer</w:t>
            </w: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GGG MIDCO, LLC - Unfunded Revolver </w:t>
            </w:r>
            <w:r>
              <w:rPr>
                <w:rFonts w:ascii="Times New Roman" w:cs="Times New Roman" w:eastAsia="Times New Roman" w:hAnsi="Times New Roman"/>
                <w:sz w:val="12"/>
                <w:szCs w:val="12"/>
                <w:color w:val="auto"/>
                <w:vertAlign w:val="superscript"/>
              </w:rPr>
              <w:t>(7)</w:t>
            </w:r>
          </w:p>
        </w:tc>
        <w:tc>
          <w:tcPr>
            <w:tcW w:w="78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09/27/2024</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09/27/2030</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Products</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581</w:t>
            </w:r>
          </w:p>
        </w:tc>
        <w:tc>
          <w:tcPr>
            <w:tcW w:w="22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Graffiti Buyer, Inc.</w:t>
            </w:r>
          </w:p>
        </w:tc>
        <w:tc>
          <w:tcPr>
            <w:tcW w:w="78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10/25/2022</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08/10/2027</w:t>
            </w: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9.66%</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SOFR+560</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245</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244</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240</w:t>
            </w:r>
          </w:p>
        </w:tc>
        <w:tc>
          <w:tcPr>
            <w:tcW w:w="0" w:type="dxa"/>
            <w:vAlign w:val="bottom"/>
          </w:tcPr>
          <w:p>
            <w:pPr>
              <w:spacing w:after="0"/>
              <w:rPr>
                <w:sz w:val="1"/>
                <w:szCs w:val="1"/>
                <w:color w:val="auto"/>
              </w:rPr>
            </w:pPr>
          </w:p>
        </w:tc>
      </w:tr>
      <w:tr>
        <w:trPr>
          <w:trHeight w:val="120"/>
        </w:trPr>
        <w:tc>
          <w:tcPr>
            <w:tcW w:w="31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Graffiti Buyer, Inc. - Unfunded Term Loan </w:t>
            </w:r>
            <w:r>
              <w:rPr>
                <w:rFonts w:ascii="Times New Roman" w:cs="Times New Roman" w:eastAsia="Times New Roman" w:hAnsi="Times New Roman"/>
                <w:sz w:val="12"/>
                <w:szCs w:val="12"/>
                <w:color w:val="auto"/>
                <w:vertAlign w:val="superscript"/>
              </w:rPr>
              <w:t>(7)</w:t>
            </w:r>
          </w:p>
        </w:tc>
        <w:tc>
          <w:tcPr>
            <w:tcW w:w="78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10/25/2022</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08/10/2027</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831</w:t>
            </w:r>
          </w:p>
        </w:tc>
        <w:tc>
          <w:tcPr>
            <w:tcW w:w="22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Graffiti Buyer, Inc. - Funded Revolver</w:t>
            </w:r>
          </w:p>
        </w:tc>
        <w:tc>
          <w:tcPr>
            <w:tcW w:w="78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10/25/2022</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08/10/2027</w:t>
            </w: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9.85%</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SOFR+560</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32</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31</w:t>
            </w:r>
          </w:p>
        </w:tc>
        <w:tc>
          <w:tcPr>
            <w:tcW w:w="0" w:type="dxa"/>
            <w:vAlign w:val="bottom"/>
          </w:tcPr>
          <w:p>
            <w:pPr>
              <w:spacing w:after="0"/>
              <w:rPr>
                <w:sz w:val="1"/>
                <w:szCs w:val="1"/>
                <w:color w:val="auto"/>
              </w:rPr>
            </w:pPr>
          </w:p>
        </w:tc>
      </w:tr>
      <w:tr>
        <w:trPr>
          <w:trHeight w:val="120"/>
        </w:trPr>
        <w:tc>
          <w:tcPr>
            <w:tcW w:w="31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Graffiti Buyer, Inc. - Unfunded Revolver </w:t>
            </w:r>
            <w:r>
              <w:rPr>
                <w:rFonts w:ascii="Times New Roman" w:cs="Times New Roman" w:eastAsia="Times New Roman" w:hAnsi="Times New Roman"/>
                <w:sz w:val="12"/>
                <w:szCs w:val="12"/>
                <w:color w:val="auto"/>
                <w:vertAlign w:val="superscript"/>
              </w:rPr>
              <w:t>(7)</w:t>
            </w:r>
          </w:p>
        </w:tc>
        <w:tc>
          <w:tcPr>
            <w:tcW w:w="78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10/25/2022</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08/10/2027</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737</w:t>
            </w:r>
          </w:p>
        </w:tc>
        <w:tc>
          <w:tcPr>
            <w:tcW w:w="22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0" w:type="dxa"/>
            <w:vAlign w:val="bottom"/>
          </w:tcPr>
          <w:p>
            <w:pPr>
              <w:spacing w:after="0"/>
              <w:rPr>
                <w:sz w:val="1"/>
                <w:szCs w:val="1"/>
                <w:color w:val="auto"/>
              </w:rPr>
            </w:pPr>
          </w:p>
        </w:tc>
      </w:tr>
      <w:tr>
        <w:trPr>
          <w:trHeight w:val="124"/>
        </w:trPr>
        <w:tc>
          <w:tcPr>
            <w:tcW w:w="31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Halo Buyer, Inc.</w:t>
            </w:r>
          </w:p>
        </w:tc>
        <w:tc>
          <w:tcPr>
            <w:tcW w:w="78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07/18/2018</w:t>
            </w:r>
          </w:p>
        </w:tc>
        <w:tc>
          <w:tcPr>
            <w:tcW w:w="6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08/07/2029</w:t>
            </w:r>
          </w:p>
        </w:tc>
        <w:tc>
          <w:tcPr>
            <w:tcW w:w="17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10.16%</w:t>
            </w:r>
          </w:p>
        </w:tc>
        <w:tc>
          <w:tcPr>
            <w:tcW w:w="84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SOFR+600</w:t>
            </w:r>
          </w:p>
        </w:tc>
        <w:tc>
          <w:tcPr>
            <w:tcW w:w="78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16,915</w:t>
            </w:r>
          </w:p>
        </w:tc>
        <w:tc>
          <w:tcPr>
            <w:tcW w:w="220" w:type="dxa"/>
            <w:vAlign w:val="bottom"/>
            <w:shd w:val="clear" w:color="auto" w:fill="CCECFF"/>
          </w:tcPr>
          <w:p>
            <w:pPr>
              <w:spacing w:after="0"/>
              <w:rPr>
                <w:sz w:val="10"/>
                <w:szCs w:val="10"/>
                <w:color w:val="auto"/>
              </w:rPr>
            </w:pPr>
          </w:p>
        </w:tc>
        <w:tc>
          <w:tcPr>
            <w:tcW w:w="540" w:type="dxa"/>
            <w:vAlign w:val="bottom"/>
            <w:vMerge w:val="restart"/>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16,760</w:t>
            </w:r>
          </w:p>
        </w:tc>
        <w:tc>
          <w:tcPr>
            <w:tcW w:w="180" w:type="dxa"/>
            <w:vAlign w:val="bottom"/>
            <w:shd w:val="clear" w:color="auto" w:fill="CCECFF"/>
          </w:tcPr>
          <w:p>
            <w:pPr>
              <w:spacing w:after="0"/>
              <w:rPr>
                <w:sz w:val="10"/>
                <w:szCs w:val="10"/>
                <w:color w:val="auto"/>
              </w:rPr>
            </w:pPr>
          </w:p>
        </w:tc>
        <w:tc>
          <w:tcPr>
            <w:tcW w:w="780" w:type="dxa"/>
            <w:vAlign w:val="bottom"/>
            <w:vMerge w:val="restart"/>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16,915</w:t>
            </w:r>
          </w:p>
        </w:tc>
        <w:tc>
          <w:tcPr>
            <w:tcW w:w="0" w:type="dxa"/>
            <w:vAlign w:val="bottom"/>
          </w:tcPr>
          <w:p>
            <w:pPr>
              <w:spacing w:after="0"/>
              <w:rPr>
                <w:sz w:val="1"/>
                <w:szCs w:val="1"/>
                <w:color w:val="auto"/>
              </w:rPr>
            </w:pPr>
          </w:p>
        </w:tc>
      </w:tr>
      <w:tr>
        <w:trPr>
          <w:trHeight w:val="92"/>
        </w:trPr>
        <w:tc>
          <w:tcPr>
            <w:tcW w:w="3120" w:type="dxa"/>
            <w:vAlign w:val="bottom"/>
            <w:shd w:val="clear" w:color="auto" w:fill="CCECFF"/>
          </w:tcPr>
          <w:p>
            <w:pPr>
              <w:spacing w:after="0"/>
              <w:rPr>
                <w:sz w:val="8"/>
                <w:szCs w:val="8"/>
                <w:color w:val="auto"/>
              </w:rPr>
            </w:pPr>
          </w:p>
        </w:tc>
        <w:tc>
          <w:tcPr>
            <w:tcW w:w="780" w:type="dxa"/>
            <w:vAlign w:val="bottom"/>
            <w:shd w:val="clear" w:color="auto" w:fill="CCECFF"/>
          </w:tcPr>
          <w:p>
            <w:pPr>
              <w:spacing w:after="0"/>
              <w:rPr>
                <w:sz w:val="8"/>
                <w:szCs w:val="8"/>
                <w:color w:val="auto"/>
              </w:rPr>
            </w:pPr>
          </w:p>
        </w:tc>
        <w:tc>
          <w:tcPr>
            <w:tcW w:w="660" w:type="dxa"/>
            <w:vAlign w:val="bottom"/>
            <w:vMerge w:val="continue"/>
            <w:shd w:val="clear" w:color="auto" w:fill="CCECFF"/>
          </w:tcPr>
          <w:p>
            <w:pPr>
              <w:spacing w:after="0"/>
              <w:rPr>
                <w:sz w:val="8"/>
                <w:szCs w:val="8"/>
                <w:color w:val="auto"/>
              </w:rPr>
            </w:pPr>
          </w:p>
        </w:tc>
        <w:tc>
          <w:tcPr>
            <w:tcW w:w="1740" w:type="dxa"/>
            <w:vAlign w:val="bottom"/>
            <w:vMerge w:val="continue"/>
            <w:shd w:val="clear" w:color="auto" w:fill="CCECFF"/>
          </w:tcPr>
          <w:p>
            <w:pPr>
              <w:spacing w:after="0"/>
              <w:rPr>
                <w:sz w:val="8"/>
                <w:szCs w:val="8"/>
                <w:color w:val="auto"/>
              </w:rPr>
            </w:pPr>
          </w:p>
        </w:tc>
        <w:tc>
          <w:tcPr>
            <w:tcW w:w="800" w:type="dxa"/>
            <w:vAlign w:val="bottom"/>
            <w:vMerge w:val="continue"/>
            <w:shd w:val="clear" w:color="auto" w:fill="CCECFF"/>
          </w:tcPr>
          <w:p>
            <w:pPr>
              <w:spacing w:after="0"/>
              <w:rPr>
                <w:sz w:val="8"/>
                <w:szCs w:val="8"/>
                <w:color w:val="auto"/>
              </w:rPr>
            </w:pPr>
          </w:p>
        </w:tc>
        <w:tc>
          <w:tcPr>
            <w:tcW w:w="840" w:type="dxa"/>
            <w:vAlign w:val="bottom"/>
            <w:vMerge w:val="continue"/>
            <w:shd w:val="clear" w:color="auto" w:fill="CCECFF"/>
          </w:tcPr>
          <w:p>
            <w:pPr>
              <w:spacing w:after="0"/>
              <w:rPr>
                <w:sz w:val="8"/>
                <w:szCs w:val="8"/>
                <w:color w:val="auto"/>
              </w:rPr>
            </w:pPr>
          </w:p>
        </w:tc>
        <w:tc>
          <w:tcPr>
            <w:tcW w:w="780" w:type="dxa"/>
            <w:vAlign w:val="bottom"/>
            <w:vMerge w:val="continue"/>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540" w:type="dxa"/>
            <w:vAlign w:val="bottom"/>
            <w:vMerge w:val="continue"/>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780" w:type="dxa"/>
            <w:vAlign w:val="bottom"/>
            <w:vMerge w:val="continue"/>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120" w:type="dxa"/>
            <w:vAlign w:val="bottom"/>
          </w:tcPr>
          <w:p>
            <w:pPr>
              <w:spacing w:after="0"/>
              <w:rPr>
                <w:sz w:val="20"/>
                <w:szCs w:val="20"/>
                <w:color w:val="auto"/>
              </w:rPr>
            </w:pPr>
            <w:r>
              <w:rPr>
                <w:rFonts w:ascii="Times New Roman" w:cs="Times New Roman" w:eastAsia="Times New Roman" w:hAnsi="Times New Roman"/>
                <w:sz w:val="10"/>
                <w:szCs w:val="10"/>
                <w:color w:val="auto"/>
              </w:rPr>
              <w:t>Halo Buyer, Inc. - Funded Revolver</w:t>
            </w:r>
          </w:p>
        </w:tc>
        <w:tc>
          <w:tcPr>
            <w:tcW w:w="78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07/18/2018</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08/07/2029</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10.16%</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SOFR+600</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517</w:t>
            </w:r>
          </w:p>
        </w:tc>
        <w:tc>
          <w:tcPr>
            <w:tcW w:w="22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517</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517</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Halo Buyer, Inc. - Unfunded Revolver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07/18/2018</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08/07/2029</w:t>
            </w: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2,181</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20" w:type="dxa"/>
            <w:vAlign w:val="bottom"/>
          </w:tcPr>
          <w:p>
            <w:pPr>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78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05/05/2022</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12/31/2026</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9.76%</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SOFR+560</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750</w:t>
            </w:r>
          </w:p>
        </w:tc>
        <w:tc>
          <w:tcPr>
            <w:tcW w:w="22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750</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743</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Harris &amp; Co, LLC</w:t>
            </w:r>
          </w:p>
        </w:tc>
        <w:tc>
          <w:tcPr>
            <w:tcW w:w="78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08/09/2024</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08/09/2030</w:t>
            </w: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9.16%</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SOFR+500</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9,097</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9,019</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9,018</w:t>
            </w:r>
          </w:p>
        </w:tc>
        <w:tc>
          <w:tcPr>
            <w:tcW w:w="0" w:type="dxa"/>
            <w:vAlign w:val="bottom"/>
          </w:tcPr>
          <w:p>
            <w:pPr>
              <w:spacing w:after="0"/>
              <w:rPr>
                <w:sz w:val="1"/>
                <w:szCs w:val="1"/>
                <w:color w:val="auto"/>
              </w:rPr>
            </w:pPr>
          </w:p>
        </w:tc>
      </w:tr>
      <w:tr>
        <w:trPr>
          <w:trHeight w:val="120"/>
        </w:trPr>
        <w:tc>
          <w:tcPr>
            <w:tcW w:w="31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Harris &amp; Co, LLC - Unfunded Term Loan B </w:t>
            </w:r>
            <w:r>
              <w:rPr>
                <w:rFonts w:ascii="Times New Roman" w:cs="Times New Roman" w:eastAsia="Times New Roman" w:hAnsi="Times New Roman"/>
                <w:sz w:val="12"/>
                <w:szCs w:val="12"/>
                <w:color w:val="auto"/>
                <w:vertAlign w:val="superscript"/>
              </w:rPr>
              <w:t>(7)</w:t>
            </w:r>
          </w:p>
        </w:tc>
        <w:tc>
          <w:tcPr>
            <w:tcW w:w="78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08/09/2024</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02/09/2026</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5,574</w:t>
            </w:r>
          </w:p>
        </w:tc>
        <w:tc>
          <w:tcPr>
            <w:tcW w:w="22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Harris &amp; Co, LLC - Unfunded Term Loan C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08/09/2024</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08/18/2027</w:t>
            </w: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10,226</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20" w:type="dxa"/>
            <w:vAlign w:val="bottom"/>
          </w:tcPr>
          <w:p>
            <w:pPr>
              <w:spacing w:after="0"/>
              <w:rPr>
                <w:sz w:val="20"/>
                <w:szCs w:val="20"/>
                <w:color w:val="auto"/>
              </w:rPr>
            </w:pPr>
            <w:r>
              <w:rPr>
                <w:rFonts w:ascii="Times New Roman" w:cs="Times New Roman" w:eastAsia="Times New Roman" w:hAnsi="Times New Roman"/>
                <w:sz w:val="10"/>
                <w:szCs w:val="10"/>
                <w:color w:val="auto"/>
              </w:rPr>
              <w:t>Harris &amp; Co, LLC - Funded Revolver</w:t>
            </w:r>
          </w:p>
        </w:tc>
        <w:tc>
          <w:tcPr>
            <w:tcW w:w="78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08/09/2024</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08/09/2030</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9.16%</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SOFR+500</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526</w:t>
            </w:r>
          </w:p>
        </w:tc>
        <w:tc>
          <w:tcPr>
            <w:tcW w:w="22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526</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521</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Harris &amp; Co, LLC - Unfunded Revolver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08/09/2024</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08/09/2030</w:t>
            </w: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2,479</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(22)</w:t>
            </w:r>
          </w:p>
        </w:tc>
        <w:tc>
          <w:tcPr>
            <w:tcW w:w="0" w:type="dxa"/>
            <w:vAlign w:val="bottom"/>
          </w:tcPr>
          <w:p>
            <w:pPr>
              <w:spacing w:after="0"/>
              <w:rPr>
                <w:sz w:val="1"/>
                <w:szCs w:val="1"/>
                <w:color w:val="auto"/>
              </w:rPr>
            </w:pPr>
          </w:p>
        </w:tc>
      </w:tr>
      <w:tr>
        <w:trPr>
          <w:trHeight w:val="120"/>
        </w:trPr>
        <w:tc>
          <w:tcPr>
            <w:tcW w:w="3120" w:type="dxa"/>
            <w:vAlign w:val="bottom"/>
          </w:tcPr>
          <w:p>
            <w:pPr>
              <w:spacing w:after="0"/>
              <w:rPr>
                <w:sz w:val="20"/>
                <w:szCs w:val="20"/>
                <w:color w:val="auto"/>
              </w:rPr>
            </w:pPr>
            <w:r>
              <w:rPr>
                <w:rFonts w:ascii="Times New Roman" w:cs="Times New Roman" w:eastAsia="Times New Roman" w:hAnsi="Times New Roman"/>
                <w:sz w:val="10"/>
                <w:szCs w:val="10"/>
                <w:color w:val="auto"/>
              </w:rPr>
              <w:t>HEC Purchaser Corp.</w:t>
            </w:r>
          </w:p>
        </w:tc>
        <w:tc>
          <w:tcPr>
            <w:tcW w:w="78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06/17/2024</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06/17/2029</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9.22%</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SOFR+500</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4,801</w:t>
            </w:r>
          </w:p>
        </w:tc>
        <w:tc>
          <w:tcPr>
            <w:tcW w:w="22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4,778</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4,801</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Hills Distribution, Inc.</w:t>
            </w:r>
          </w:p>
        </w:tc>
        <w:tc>
          <w:tcPr>
            <w:tcW w:w="78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11/02/2023</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11/08/2029</w:t>
            </w: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10.32%</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SOFR+600</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7,786</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7,721</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7,786</w:t>
            </w:r>
          </w:p>
        </w:tc>
        <w:tc>
          <w:tcPr>
            <w:tcW w:w="0" w:type="dxa"/>
            <w:vAlign w:val="bottom"/>
          </w:tcPr>
          <w:p>
            <w:pPr>
              <w:spacing w:after="0"/>
              <w:rPr>
                <w:sz w:val="1"/>
                <w:szCs w:val="1"/>
                <w:color w:val="auto"/>
              </w:rPr>
            </w:pPr>
          </w:p>
        </w:tc>
      </w:tr>
      <w:tr>
        <w:trPr>
          <w:trHeight w:val="120"/>
        </w:trPr>
        <w:tc>
          <w:tcPr>
            <w:tcW w:w="31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Hills Distribution, Inc. - Unfunded Term Loan </w:t>
            </w:r>
            <w:r>
              <w:rPr>
                <w:rFonts w:ascii="Times New Roman" w:cs="Times New Roman" w:eastAsia="Times New Roman" w:hAnsi="Times New Roman"/>
                <w:sz w:val="12"/>
                <w:szCs w:val="12"/>
                <w:color w:val="auto"/>
                <w:vertAlign w:val="superscript"/>
              </w:rPr>
              <w:t>(7)</w:t>
            </w:r>
          </w:p>
        </w:tc>
        <w:tc>
          <w:tcPr>
            <w:tcW w:w="78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11/02/2023</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11/07/2025</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1,280</w:t>
            </w:r>
          </w:p>
        </w:tc>
        <w:tc>
          <w:tcPr>
            <w:tcW w:w="22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HV Watterson Holdings, LLC </w:t>
            </w:r>
            <w:r>
              <w:rPr>
                <w:rFonts w:ascii="Times New Roman" w:cs="Times New Roman" w:eastAsia="Times New Roman" w:hAnsi="Times New Roman"/>
                <w:sz w:val="12"/>
                <w:szCs w:val="12"/>
                <w:color w:val="auto"/>
                <w:vertAlign w:val="superscript"/>
              </w:rPr>
              <w:t>(10)</w:t>
            </w:r>
          </w:p>
        </w:tc>
        <w:tc>
          <w:tcPr>
            <w:tcW w:w="78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06/13/2022</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12/17/2026</w:t>
            </w: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8.00%</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287</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286</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158</w:t>
            </w:r>
          </w:p>
        </w:tc>
        <w:tc>
          <w:tcPr>
            <w:tcW w:w="0" w:type="dxa"/>
            <w:vAlign w:val="bottom"/>
          </w:tcPr>
          <w:p>
            <w:pPr>
              <w:spacing w:after="0"/>
              <w:rPr>
                <w:sz w:val="1"/>
                <w:szCs w:val="1"/>
                <w:color w:val="auto"/>
              </w:rPr>
            </w:pPr>
          </w:p>
        </w:tc>
      </w:tr>
      <w:tr>
        <w:trPr>
          <w:trHeight w:val="120"/>
        </w:trPr>
        <w:tc>
          <w:tcPr>
            <w:tcW w:w="31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HV Watterson Holdings, LLC - Funded Revolver </w:t>
            </w:r>
            <w:r>
              <w:rPr>
                <w:rFonts w:ascii="Times New Roman" w:cs="Times New Roman" w:eastAsia="Times New Roman" w:hAnsi="Times New Roman"/>
                <w:sz w:val="12"/>
                <w:szCs w:val="12"/>
                <w:color w:val="auto"/>
                <w:vertAlign w:val="superscript"/>
              </w:rPr>
              <w:t>(10)</w:t>
            </w:r>
          </w:p>
        </w:tc>
        <w:tc>
          <w:tcPr>
            <w:tcW w:w="78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06/13/2022</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12/17/2026</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8.00%</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1,250</w:t>
            </w:r>
          </w:p>
        </w:tc>
        <w:tc>
          <w:tcPr>
            <w:tcW w:w="22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1,250</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686</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HV Watterson Holdings, LLC - Unfunded Revolver </w:t>
            </w:r>
            <w:r>
              <w:rPr>
                <w:rFonts w:ascii="Times New Roman" w:cs="Times New Roman" w:eastAsia="Times New Roman" w:hAnsi="Times New Roman"/>
                <w:sz w:val="12"/>
                <w:szCs w:val="12"/>
                <w:color w:val="auto"/>
                <w:vertAlign w:val="superscript"/>
              </w:rPr>
              <w:t>(7), (10)</w:t>
            </w:r>
          </w:p>
        </w:tc>
        <w:tc>
          <w:tcPr>
            <w:tcW w:w="78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06/13/2022</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12/17/2026</w:t>
            </w: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HW Holdco, LLC - Unfunded Revolver </w:t>
            </w:r>
            <w:r>
              <w:rPr>
                <w:rFonts w:ascii="Times New Roman" w:cs="Times New Roman" w:eastAsia="Times New Roman" w:hAnsi="Times New Roman"/>
                <w:sz w:val="12"/>
                <w:szCs w:val="12"/>
                <w:color w:val="auto"/>
                <w:vertAlign w:val="superscript"/>
              </w:rPr>
              <w:t>(7)</w:t>
            </w:r>
          </w:p>
        </w:tc>
        <w:tc>
          <w:tcPr>
            <w:tcW w:w="78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10/11/2019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05/11/2026</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3,387</w:t>
            </w:r>
          </w:p>
        </w:tc>
        <w:tc>
          <w:tcPr>
            <w:tcW w:w="22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78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07/11/2022</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09/22/2028</w:t>
            </w: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9.31%</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SOFR+500</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w:t>
            </w:r>
          </w:p>
        </w:tc>
        <w:tc>
          <w:tcPr>
            <w:tcW w:w="0" w:type="dxa"/>
            <w:vAlign w:val="bottom"/>
          </w:tcPr>
          <w:p>
            <w:pPr>
              <w:spacing w:after="0"/>
              <w:rPr>
                <w:sz w:val="1"/>
                <w:szCs w:val="1"/>
                <w:color w:val="auto"/>
              </w:rPr>
            </w:pPr>
          </w:p>
        </w:tc>
      </w:tr>
      <w:tr>
        <w:trPr>
          <w:trHeight w:val="120"/>
        </w:trPr>
        <w:tc>
          <w:tcPr>
            <w:tcW w:w="31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IG Investments Holdings, LLC - Unfunded Revolver </w:t>
            </w:r>
            <w:r>
              <w:rPr>
                <w:rFonts w:ascii="Times New Roman" w:cs="Times New Roman" w:eastAsia="Times New Roman" w:hAnsi="Times New Roman"/>
                <w:sz w:val="12"/>
                <w:szCs w:val="12"/>
                <w:color w:val="auto"/>
                <w:vertAlign w:val="superscript"/>
              </w:rPr>
              <w:t>(7)</w:t>
            </w:r>
          </w:p>
        </w:tc>
        <w:tc>
          <w:tcPr>
            <w:tcW w:w="78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07/11/2022</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09/22/2028</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722</w:t>
            </w:r>
          </w:p>
        </w:tc>
        <w:tc>
          <w:tcPr>
            <w:tcW w:w="22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Imagine Acquisitionco, Inc. - Unfunded Revolver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11/04/2021</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11/16/2027</w:t>
            </w: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1,685</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20" w:type="dxa"/>
            <w:vAlign w:val="bottom"/>
          </w:tcPr>
          <w:p>
            <w:pPr>
              <w:spacing w:after="0"/>
              <w:rPr>
                <w:sz w:val="20"/>
                <w:szCs w:val="20"/>
                <w:color w:val="auto"/>
              </w:rPr>
            </w:pPr>
            <w:r>
              <w:rPr>
                <w:rFonts w:ascii="Times New Roman" w:cs="Times New Roman" w:eastAsia="Times New Roman" w:hAnsi="Times New Roman"/>
                <w:sz w:val="10"/>
                <w:szCs w:val="10"/>
                <w:color w:val="auto"/>
              </w:rPr>
              <w:t>Impact Advisors, LLC</w:t>
            </w:r>
          </w:p>
        </w:tc>
        <w:tc>
          <w:tcPr>
            <w:tcW w:w="78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03/21/2025</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03/19/2032</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8.50%</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SOFR+450</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7,960</w:t>
            </w:r>
          </w:p>
        </w:tc>
        <w:tc>
          <w:tcPr>
            <w:tcW w:w="22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7,921</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7,960</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Impact Advisors, LLC - Unfunded Term Loan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03/21/2025</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03/21/2027</w:t>
            </w: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4,686</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23</w:t>
            </w:r>
          </w:p>
        </w:tc>
        <w:tc>
          <w:tcPr>
            <w:tcW w:w="0" w:type="dxa"/>
            <w:vAlign w:val="bottom"/>
          </w:tcPr>
          <w:p>
            <w:pPr>
              <w:spacing w:after="0"/>
              <w:rPr>
                <w:sz w:val="1"/>
                <w:szCs w:val="1"/>
                <w:color w:val="auto"/>
              </w:rPr>
            </w:pPr>
          </w:p>
        </w:tc>
      </w:tr>
      <w:tr>
        <w:trPr>
          <w:trHeight w:val="120"/>
        </w:trPr>
        <w:tc>
          <w:tcPr>
            <w:tcW w:w="31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Impact Advisors, LLC - Unfunded Revolver </w:t>
            </w:r>
            <w:r>
              <w:rPr>
                <w:rFonts w:ascii="Times New Roman" w:cs="Times New Roman" w:eastAsia="Times New Roman" w:hAnsi="Times New Roman"/>
                <w:sz w:val="12"/>
                <w:szCs w:val="12"/>
                <w:color w:val="auto"/>
                <w:vertAlign w:val="superscript"/>
              </w:rPr>
              <w:t>(7)</w:t>
            </w:r>
          </w:p>
        </w:tc>
        <w:tc>
          <w:tcPr>
            <w:tcW w:w="78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03/21/2025</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03/19/2032</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937</w:t>
            </w:r>
          </w:p>
        </w:tc>
        <w:tc>
          <w:tcPr>
            <w:tcW w:w="22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31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w:t>
            </w:r>
          </w:p>
        </w:tc>
        <w:tc>
          <w:tcPr>
            <w:tcW w:w="80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78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12/21/2022</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12/28/2028</w:t>
            </w: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Services</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10.00%</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SOFR+600</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8,974</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8,885</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8,974</w:t>
            </w:r>
          </w:p>
        </w:tc>
        <w:tc>
          <w:tcPr>
            <w:tcW w:w="0" w:type="dxa"/>
            <w:vAlign w:val="bottom"/>
          </w:tcPr>
          <w:p>
            <w:pPr>
              <w:spacing w:after="0"/>
              <w:rPr>
                <w:sz w:val="1"/>
                <w:szCs w:val="1"/>
                <w:color w:val="auto"/>
              </w:rPr>
            </w:pPr>
          </w:p>
        </w:tc>
      </w:tr>
      <w:tr>
        <w:trPr>
          <w:trHeight w:val="121"/>
        </w:trPr>
        <w:tc>
          <w:tcPr>
            <w:tcW w:w="3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w:t>
            </w: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CAD</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20" w:type="dxa"/>
            <w:vAlign w:val="bottom"/>
          </w:tcPr>
          <w:p>
            <w:pPr>
              <w:spacing w:after="0"/>
              <w:rPr>
                <w:sz w:val="20"/>
                <w:szCs w:val="20"/>
                <w:color w:val="auto"/>
              </w:rPr>
            </w:pPr>
            <w:r>
              <w:rPr>
                <w:rFonts w:ascii="Times New Roman" w:cs="Times New Roman" w:eastAsia="Times New Roman" w:hAnsi="Times New Roman"/>
                <w:sz w:val="10"/>
                <w:szCs w:val="10"/>
                <w:color w:val="auto"/>
              </w:rPr>
              <w:t>Infinity Home Services Holdco, Inc. (CAD)</w:t>
            </w:r>
          </w:p>
        </w:tc>
        <w:tc>
          <w:tcPr>
            <w:tcW w:w="78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12/21/2022</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12/28/2028</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Services</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10.00%</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SOFR+600</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2,612</w:t>
            </w:r>
          </w:p>
        </w:tc>
        <w:tc>
          <w:tcPr>
            <w:tcW w:w="22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1,887</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1,877</w:t>
            </w:r>
          </w:p>
        </w:tc>
        <w:tc>
          <w:tcPr>
            <w:tcW w:w="0" w:type="dxa"/>
            <w:vAlign w:val="bottom"/>
          </w:tcPr>
          <w:p>
            <w:pPr>
              <w:spacing w:after="0"/>
              <w:rPr>
                <w:sz w:val="1"/>
                <w:szCs w:val="1"/>
                <w:color w:val="auto"/>
              </w:rPr>
            </w:pPr>
          </w:p>
        </w:tc>
      </w:tr>
      <w:tr>
        <w:trPr>
          <w:trHeight w:val="121"/>
        </w:trPr>
        <w:tc>
          <w:tcPr>
            <w:tcW w:w="31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w:t>
            </w:r>
          </w:p>
        </w:tc>
        <w:tc>
          <w:tcPr>
            <w:tcW w:w="80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w w:val="96"/>
              </w:rPr>
              <w:t xml:space="preserve">Infinity Home Services Holdco, Inc. - 3rd Amendment Unfunded Term Loan </w:t>
            </w:r>
            <w:r>
              <w:rPr>
                <w:rFonts w:ascii="Times New Roman" w:cs="Times New Roman" w:eastAsia="Times New Roman" w:hAnsi="Times New Roman"/>
                <w:sz w:val="12"/>
                <w:szCs w:val="12"/>
                <w:color w:val="auto"/>
                <w:w w:val="96"/>
                <w:vertAlign w:val="superscript"/>
              </w:rPr>
              <w:t>(7)</w:t>
            </w:r>
          </w:p>
        </w:tc>
        <w:tc>
          <w:tcPr>
            <w:tcW w:w="78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12/21/2022</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10/30/2026</w:t>
            </w: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Services</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9,091</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3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w:t>
            </w: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120" w:type="dxa"/>
            <w:vAlign w:val="bottom"/>
          </w:tcPr>
          <w:p>
            <w:pPr>
              <w:spacing w:after="0"/>
              <w:rPr>
                <w:sz w:val="20"/>
                <w:szCs w:val="20"/>
                <w:color w:val="auto"/>
              </w:rPr>
            </w:pPr>
            <w:r>
              <w:rPr>
                <w:rFonts w:ascii="Times New Roman" w:cs="Times New Roman" w:eastAsia="Times New Roman" w:hAnsi="Times New Roman"/>
                <w:sz w:val="10"/>
                <w:szCs w:val="10"/>
                <w:color w:val="auto"/>
              </w:rPr>
              <w:t>Infinity Home Services Holdco, Inc. - Funded Revolver</w:t>
            </w:r>
          </w:p>
        </w:tc>
        <w:tc>
          <w:tcPr>
            <w:tcW w:w="780" w:type="dxa"/>
            <w:vAlign w:val="bottom"/>
            <w:vMerge w:val="restart"/>
          </w:tcPr>
          <w:p>
            <w:pPr>
              <w:jc w:val="center"/>
              <w:ind w:left="12"/>
              <w:spacing w:after="0"/>
              <w:rPr>
                <w:sz w:val="20"/>
                <w:szCs w:val="20"/>
                <w:color w:val="auto"/>
              </w:rPr>
            </w:pPr>
            <w:r>
              <w:rPr>
                <w:rFonts w:ascii="Times New Roman" w:cs="Times New Roman" w:eastAsia="Times New Roman" w:hAnsi="Times New Roman"/>
                <w:sz w:val="10"/>
                <w:szCs w:val="10"/>
                <w:color w:val="auto"/>
                <w:w w:val="96"/>
              </w:rPr>
              <w:t>12/21/2022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12/28/2028</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Services</w:t>
            </w:r>
          </w:p>
        </w:tc>
        <w:tc>
          <w:tcPr>
            <w:tcW w:w="8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12.25%</w:t>
            </w:r>
          </w:p>
        </w:tc>
        <w:tc>
          <w:tcPr>
            <w:tcW w:w="84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3M SOFR+500</w:t>
            </w:r>
          </w:p>
        </w:tc>
        <w:tc>
          <w:tcPr>
            <w:tcW w:w="7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161</w:t>
            </w:r>
          </w:p>
        </w:tc>
        <w:tc>
          <w:tcPr>
            <w:tcW w:w="220" w:type="dxa"/>
            <w:vAlign w:val="bottom"/>
          </w:tcPr>
          <w:p>
            <w:pPr>
              <w:spacing w:after="0"/>
              <w:rPr>
                <w:sz w:val="10"/>
                <w:szCs w:val="10"/>
                <w:color w:val="auto"/>
              </w:rPr>
            </w:pPr>
          </w:p>
        </w:tc>
        <w:tc>
          <w:tcPr>
            <w:tcW w:w="54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161</w:t>
            </w:r>
          </w:p>
        </w:tc>
        <w:tc>
          <w:tcPr>
            <w:tcW w:w="180" w:type="dxa"/>
            <w:vAlign w:val="bottom"/>
          </w:tcPr>
          <w:p>
            <w:pPr>
              <w:spacing w:after="0"/>
              <w:rPr>
                <w:sz w:val="10"/>
                <w:szCs w:val="10"/>
                <w:color w:val="auto"/>
              </w:rPr>
            </w:pPr>
          </w:p>
        </w:tc>
        <w:tc>
          <w:tcPr>
            <w:tcW w:w="78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161</w:t>
            </w:r>
          </w:p>
        </w:tc>
        <w:tc>
          <w:tcPr>
            <w:tcW w:w="0" w:type="dxa"/>
            <w:vAlign w:val="bottom"/>
          </w:tcPr>
          <w:p>
            <w:pPr>
              <w:spacing w:after="0"/>
              <w:rPr>
                <w:sz w:val="1"/>
                <w:szCs w:val="1"/>
                <w:color w:val="auto"/>
              </w:rPr>
            </w:pPr>
          </w:p>
        </w:tc>
      </w:tr>
      <w:tr>
        <w:trPr>
          <w:trHeight w:val="56"/>
        </w:trPr>
        <w:tc>
          <w:tcPr>
            <w:tcW w:w="31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74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31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w:t>
            </w:r>
          </w:p>
        </w:tc>
        <w:tc>
          <w:tcPr>
            <w:tcW w:w="80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Infinity Home Services Holdco, Inc. - Unfunded Revolver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12/21/2022</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12/28/2028</w:t>
            </w: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Services</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1,130</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Inovex Information Systems Incorporated - Unfunded Term Loan </w:t>
            </w:r>
            <w:r>
              <w:rPr>
                <w:rFonts w:ascii="Times New Roman" w:cs="Times New Roman" w:eastAsia="Times New Roman" w:hAnsi="Times New Roman"/>
                <w:sz w:val="12"/>
                <w:szCs w:val="12"/>
                <w:color w:val="auto"/>
                <w:vertAlign w:val="superscript"/>
              </w:rPr>
              <w:t>(7)</w:t>
            </w:r>
          </w:p>
        </w:tc>
        <w:tc>
          <w:tcPr>
            <w:tcW w:w="78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12/17/2024</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12/17/2026</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1,900</w:t>
            </w:r>
          </w:p>
        </w:tc>
        <w:tc>
          <w:tcPr>
            <w:tcW w:w="22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Inovex Information Systems Incorporated - Unfunded Revolver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12/17/2024</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12/17/2030</w:t>
            </w: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2,375</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120" w:type="dxa"/>
            <w:vAlign w:val="bottom"/>
          </w:tcPr>
          <w:p>
            <w:pPr>
              <w:spacing w:after="0"/>
              <w:rPr>
                <w:sz w:val="20"/>
                <w:szCs w:val="20"/>
                <w:color w:val="auto"/>
              </w:rPr>
            </w:pPr>
            <w:r>
              <w:rPr>
                <w:rFonts w:ascii="Times New Roman" w:cs="Times New Roman" w:eastAsia="Times New Roman" w:hAnsi="Times New Roman"/>
                <w:sz w:val="10"/>
                <w:szCs w:val="10"/>
                <w:color w:val="auto"/>
              </w:rPr>
              <w:t>Inventus Power, Inc. - Funded Revolver</w:t>
            </w:r>
          </w:p>
        </w:tc>
        <w:tc>
          <w:tcPr>
            <w:tcW w:w="78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03/24/2021</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01/15/2026</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11.76%</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SOFR+761</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403</w:t>
            </w:r>
          </w:p>
        </w:tc>
        <w:tc>
          <w:tcPr>
            <w:tcW w:w="220" w:type="dxa"/>
            <w:vAlign w:val="bottom"/>
          </w:tcPr>
          <w:p>
            <w:pPr>
              <w:spacing w:after="0"/>
              <w:rPr>
                <w:sz w:val="12"/>
                <w:szCs w:val="12"/>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403</w:t>
            </w:r>
          </w:p>
        </w:tc>
        <w:tc>
          <w:tcPr>
            <w:tcW w:w="180" w:type="dxa"/>
            <w:vAlign w:val="bottom"/>
          </w:tcPr>
          <w:p>
            <w:pPr>
              <w:spacing w:after="0"/>
              <w:rPr>
                <w:sz w:val="12"/>
                <w:szCs w:val="12"/>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403</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Inventus Power, Inc. - Unfunded Revolver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03/24/2021</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01/15/2026</w:t>
            </w: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1,325</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20" w:type="dxa"/>
            <w:vAlign w:val="bottom"/>
          </w:tcPr>
          <w:p>
            <w:pPr>
              <w:spacing w:after="0"/>
              <w:rPr>
                <w:sz w:val="20"/>
                <w:szCs w:val="20"/>
                <w:color w:val="auto"/>
              </w:rPr>
            </w:pPr>
            <w:r>
              <w:rPr>
                <w:rFonts w:ascii="Times New Roman" w:cs="Times New Roman" w:eastAsia="Times New Roman" w:hAnsi="Times New Roman"/>
                <w:sz w:val="10"/>
                <w:szCs w:val="10"/>
                <w:color w:val="auto"/>
              </w:rPr>
              <w:t>Kinetic Purchaser, LLC</w:t>
            </w:r>
          </w:p>
        </w:tc>
        <w:tc>
          <w:tcPr>
            <w:tcW w:w="78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07/08/2022</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11/10/2027</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10.19%</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SOFR+615</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3,099</w:t>
            </w:r>
          </w:p>
        </w:tc>
        <w:tc>
          <w:tcPr>
            <w:tcW w:w="22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3,044</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2,634</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Kinetic Purchaser, LLC - Funded Revolver</w:t>
            </w:r>
          </w:p>
        </w:tc>
        <w:tc>
          <w:tcPr>
            <w:tcW w:w="78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07/08/2022</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11/10/2026</w:t>
            </w: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10.15%</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SOFR+615</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3,070</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3,070</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2,609</w:t>
            </w:r>
          </w:p>
        </w:tc>
        <w:tc>
          <w:tcPr>
            <w:tcW w:w="0" w:type="dxa"/>
            <w:vAlign w:val="bottom"/>
          </w:tcPr>
          <w:p>
            <w:pPr>
              <w:spacing w:after="0"/>
              <w:rPr>
                <w:sz w:val="1"/>
                <w:szCs w:val="1"/>
                <w:color w:val="auto"/>
              </w:rPr>
            </w:pPr>
          </w:p>
        </w:tc>
      </w:tr>
      <w:tr>
        <w:trPr>
          <w:trHeight w:val="120"/>
        </w:trPr>
        <w:tc>
          <w:tcPr>
            <w:tcW w:w="31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Kinetic Purchaser, LLC - Unfunded Revolver </w:t>
            </w:r>
            <w:r>
              <w:rPr>
                <w:rFonts w:ascii="Times New Roman" w:cs="Times New Roman" w:eastAsia="Times New Roman" w:hAnsi="Times New Roman"/>
                <w:sz w:val="12"/>
                <w:szCs w:val="12"/>
                <w:color w:val="auto"/>
                <w:vertAlign w:val="superscript"/>
              </w:rPr>
              <w:t>(7)</w:t>
            </w:r>
          </w:p>
        </w:tc>
        <w:tc>
          <w:tcPr>
            <w:tcW w:w="78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07/08/2022</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11/10/2026</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1,784</w:t>
            </w:r>
          </w:p>
        </w:tc>
        <w:tc>
          <w:tcPr>
            <w:tcW w:w="22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(268)</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Lash OpCo, LLC</w:t>
            </w:r>
          </w:p>
        </w:tc>
        <w:tc>
          <w:tcPr>
            <w:tcW w:w="78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08/16/2021</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02/18/2027</w:t>
            </w: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12.14%</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SOFR+785</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3,055</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3,038</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2,979</w:t>
            </w: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174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5.10%)</w:t>
            </w:r>
          </w:p>
        </w:tc>
        <w:tc>
          <w:tcPr>
            <w:tcW w:w="84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120" w:type="dxa"/>
            <w:vAlign w:val="bottom"/>
          </w:tcPr>
          <w:p>
            <w:pPr>
              <w:spacing w:after="0"/>
              <w:rPr>
                <w:sz w:val="20"/>
                <w:szCs w:val="20"/>
                <w:color w:val="auto"/>
              </w:rPr>
            </w:pPr>
            <w:r>
              <w:rPr>
                <w:rFonts w:ascii="Times New Roman" w:cs="Times New Roman" w:eastAsia="Times New Roman" w:hAnsi="Times New Roman"/>
                <w:sz w:val="10"/>
                <w:szCs w:val="10"/>
                <w:color w:val="auto"/>
              </w:rPr>
              <w:t>Lash OpCo, LLC - Funded Revolver</w:t>
            </w:r>
          </w:p>
        </w:tc>
        <w:tc>
          <w:tcPr>
            <w:tcW w:w="78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08/16/2021</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08/16/2026</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12.14%</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SOFR+785</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918</w:t>
            </w:r>
          </w:p>
        </w:tc>
        <w:tc>
          <w:tcPr>
            <w:tcW w:w="22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918</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895</w:t>
            </w:r>
          </w:p>
        </w:tc>
        <w:tc>
          <w:tcPr>
            <w:tcW w:w="0" w:type="dxa"/>
            <w:vAlign w:val="bottom"/>
          </w:tcPr>
          <w:p>
            <w:pPr>
              <w:spacing w:after="0"/>
              <w:rPr>
                <w:sz w:val="1"/>
                <w:szCs w:val="1"/>
                <w:color w:val="auto"/>
              </w:rPr>
            </w:pPr>
          </w:p>
        </w:tc>
      </w:tr>
      <w:tr>
        <w:trPr>
          <w:trHeight w:val="120"/>
        </w:trPr>
        <w:tc>
          <w:tcPr>
            <w:tcW w:w="3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(PIK 5.10%)</w:t>
            </w: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Lash OpCo, LLC - Unfunded Revolver </w:t>
            </w:r>
            <w:r>
              <w:rPr>
                <w:rFonts w:ascii="Times New Roman" w:cs="Times New Roman" w:eastAsia="Times New Roman" w:hAnsi="Times New Roman"/>
                <w:sz w:val="12"/>
                <w:szCs w:val="12"/>
                <w:color w:val="auto"/>
                <w:vertAlign w:val="superscript"/>
              </w:rPr>
              <w:t>(7)</w:t>
            </w:r>
          </w:p>
        </w:tc>
        <w:tc>
          <w:tcPr>
            <w:tcW w:w="78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08/16/2021</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08/16/2026</w:t>
            </w: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2,223</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(56)</w:t>
            </w:r>
          </w:p>
        </w:tc>
        <w:tc>
          <w:tcPr>
            <w:tcW w:w="0" w:type="dxa"/>
            <w:vAlign w:val="bottom"/>
          </w:tcPr>
          <w:p>
            <w:pPr>
              <w:spacing w:after="0"/>
              <w:rPr>
                <w:sz w:val="1"/>
                <w:szCs w:val="1"/>
                <w:color w:val="auto"/>
              </w:rPr>
            </w:pPr>
          </w:p>
        </w:tc>
      </w:tr>
      <w:tr>
        <w:trPr>
          <w:trHeight w:val="121"/>
        </w:trPr>
        <w:tc>
          <w:tcPr>
            <w:tcW w:w="3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20" w:type="dxa"/>
            <w:vAlign w:val="bottom"/>
          </w:tcPr>
          <w:p>
            <w:pPr>
              <w:spacing w:after="0"/>
              <w:rPr>
                <w:sz w:val="20"/>
                <w:szCs w:val="20"/>
                <w:color w:val="auto"/>
              </w:rPr>
            </w:pPr>
            <w:r>
              <w:rPr>
                <w:rFonts w:ascii="Times New Roman" w:cs="Times New Roman" w:eastAsia="Times New Roman" w:hAnsi="Times New Roman"/>
                <w:sz w:val="10"/>
                <w:szCs w:val="10"/>
                <w:color w:val="auto"/>
              </w:rPr>
              <w:t>LAV Gear Holdings, Inc. - Incremental Term Loan</w:t>
            </w:r>
          </w:p>
        </w:tc>
        <w:tc>
          <w:tcPr>
            <w:tcW w:w="78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02/26/2020</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07/31/2029</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PIK 10.10%</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SOFR+594</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1,218</w:t>
            </w:r>
          </w:p>
        </w:tc>
        <w:tc>
          <w:tcPr>
            <w:tcW w:w="22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1,226</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1,263</w:t>
            </w:r>
          </w:p>
        </w:tc>
        <w:tc>
          <w:tcPr>
            <w:tcW w:w="0" w:type="dxa"/>
            <w:vAlign w:val="bottom"/>
          </w:tcPr>
          <w:p>
            <w:pPr>
              <w:spacing w:after="0"/>
              <w:rPr>
                <w:sz w:val="1"/>
                <w:szCs w:val="1"/>
                <w:color w:val="auto"/>
              </w:rPr>
            </w:pPr>
          </w:p>
        </w:tc>
      </w:tr>
      <w:tr>
        <w:trPr>
          <w:trHeight w:val="121"/>
        </w:trPr>
        <w:tc>
          <w:tcPr>
            <w:tcW w:w="31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80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LAV Gear Holdings, Inc. - FOTL</w:t>
            </w:r>
          </w:p>
        </w:tc>
        <w:tc>
          <w:tcPr>
            <w:tcW w:w="78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02/26/2020</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07/31/2029</w:t>
            </w: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8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0"/>
                <w:szCs w:val="10"/>
                <w:color w:val="auto"/>
              </w:rPr>
              <w:t>PIK 10.10%</w:t>
            </w:r>
          </w:p>
        </w:tc>
        <w:tc>
          <w:tcPr>
            <w:tcW w:w="8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SOFR+595</w:t>
            </w: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134</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122</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165</w:t>
            </w:r>
          </w:p>
        </w:tc>
        <w:tc>
          <w:tcPr>
            <w:tcW w:w="0" w:type="dxa"/>
            <w:vAlign w:val="bottom"/>
          </w:tcPr>
          <w:p>
            <w:pPr>
              <w:spacing w:after="0"/>
              <w:rPr>
                <w:sz w:val="1"/>
                <w:szCs w:val="1"/>
                <w:color w:val="auto"/>
              </w:rPr>
            </w:pPr>
          </w:p>
        </w:tc>
      </w:tr>
      <w:tr>
        <w:trPr>
          <w:trHeight w:val="121"/>
        </w:trPr>
        <w:tc>
          <w:tcPr>
            <w:tcW w:w="3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12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LAV Gear Holdings, Inc. - Unfunded Revolver </w:t>
            </w:r>
            <w:r>
              <w:rPr>
                <w:rFonts w:ascii="Times New Roman" w:cs="Times New Roman" w:eastAsia="Times New Roman" w:hAnsi="Times New Roman"/>
                <w:sz w:val="12"/>
                <w:szCs w:val="12"/>
                <w:color w:val="auto"/>
                <w:vertAlign w:val="superscript"/>
              </w:rPr>
              <w:t>(7)</w:t>
            </w:r>
          </w:p>
        </w:tc>
        <w:tc>
          <w:tcPr>
            <w:tcW w:w="78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02/26/2020</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07/31/2029</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w:t>
            </w:r>
          </w:p>
        </w:tc>
        <w:tc>
          <w:tcPr>
            <w:tcW w:w="220" w:type="dxa"/>
            <w:vAlign w:val="bottom"/>
          </w:tcPr>
          <w:p>
            <w:pPr>
              <w:spacing w:after="0"/>
              <w:rPr>
                <w:sz w:val="13"/>
                <w:szCs w:val="13"/>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3"/>
                <w:szCs w:val="13"/>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425450</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720" w:top="1156" w:right="7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b w:val="1"/>
                <w:bCs w:val="1"/>
                <w:color w:val="auto"/>
                <w:w w:val="98"/>
              </w:rPr>
              <w:t>Acquisition</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Maturity</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80" w:type="dxa"/>
            <w:vAlign w:val="bottom"/>
          </w:tcPr>
          <w:p>
            <w:pPr>
              <w:jc w:val="center"/>
              <w:ind w:right="5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20" w:type="dxa"/>
            <w:vAlign w:val="bottom"/>
          </w:tcPr>
          <w:p>
            <w:pPr>
              <w:spacing w:after="0"/>
              <w:rPr>
                <w:sz w:val="10"/>
                <w:szCs w:val="10"/>
                <w:color w:val="auto"/>
              </w:rPr>
            </w:pPr>
          </w:p>
        </w:tc>
        <w:tc>
          <w:tcPr>
            <w:tcW w:w="58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0"/>
                <w:szCs w:val="10"/>
                <w:color w:val="auto"/>
              </w:rPr>
            </w:pPr>
          </w:p>
        </w:tc>
        <w:tc>
          <w:tcPr>
            <w:tcW w:w="780" w:type="dxa"/>
            <w:vAlign w:val="bottom"/>
          </w:tcPr>
          <w:p>
            <w:pPr>
              <w:jc w:val="right"/>
              <w:ind w:right="152"/>
              <w:spacing w:after="0" w:line="122" w:lineRule="exact"/>
              <w:rPr>
                <w:sz w:val="20"/>
                <w:szCs w:val="20"/>
                <w:color w:val="auto"/>
              </w:rPr>
            </w:pPr>
            <w:r>
              <w:rPr>
                <w:rFonts w:ascii="Times New Roman" w:cs="Times New Roman" w:eastAsia="Times New Roman" w:hAnsi="Times New Roman"/>
                <w:sz w:val="10"/>
                <w:szCs w:val="10"/>
                <w:b w:val="1"/>
                <w:bCs w:val="1"/>
                <w:color w:val="auto"/>
                <w:w w:val="97"/>
              </w:rPr>
              <w:t xml:space="preserve">Fair Value </w:t>
            </w:r>
            <w:r>
              <w:rPr>
                <w:rFonts w:ascii="Times New Roman" w:cs="Times New Roman" w:eastAsia="Times New Roman" w:hAnsi="Times New Roman"/>
                <w:sz w:val="12"/>
                <w:szCs w:val="12"/>
                <w:b w:val="1"/>
                <w:bCs w:val="1"/>
                <w:color w:val="auto"/>
                <w:w w:val="97"/>
                <w:vertAlign w:val="superscript"/>
              </w:rPr>
              <w:t>(3)</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Ledge Lounger, Inc.</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11/04/2021</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11/09/2026</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11.65%</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SOFR+765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8,998</w:t>
            </w:r>
          </w:p>
        </w:tc>
        <w:tc>
          <w:tcPr>
            <w:tcW w:w="2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8,949</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7,018</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17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(PIK 1.00%)</w:t>
            </w:r>
          </w:p>
        </w:tc>
        <w:tc>
          <w:tcPr>
            <w:tcW w:w="88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80" w:type="dxa"/>
            <w:vAlign w:val="bottom"/>
          </w:tcPr>
          <w:p>
            <w:pPr>
              <w:spacing w:after="0"/>
              <w:rPr>
                <w:sz w:val="20"/>
                <w:szCs w:val="20"/>
                <w:color w:val="auto"/>
              </w:rPr>
            </w:pPr>
            <w:r>
              <w:rPr>
                <w:rFonts w:ascii="Times New Roman" w:cs="Times New Roman" w:eastAsia="Times New Roman" w:hAnsi="Times New Roman"/>
                <w:sz w:val="10"/>
                <w:szCs w:val="10"/>
                <w:color w:val="auto"/>
              </w:rPr>
              <w:t>Ledge Lounger, Inc. - Funded Revolver</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11/04/2021</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11/09/2026</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11.65%</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SOFR+765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1,621</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1,621</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1,264</w:t>
            </w:r>
          </w:p>
        </w:tc>
        <w:tc>
          <w:tcPr>
            <w:tcW w:w="0" w:type="dxa"/>
            <w:vAlign w:val="bottom"/>
          </w:tcPr>
          <w:p>
            <w:pPr>
              <w:spacing w:after="0"/>
              <w:rPr>
                <w:sz w:val="1"/>
                <w:szCs w:val="1"/>
                <w:color w:val="auto"/>
              </w:rPr>
            </w:pPr>
          </w:p>
        </w:tc>
      </w:tr>
      <w:tr>
        <w:trPr>
          <w:trHeight w:val="120"/>
        </w:trPr>
        <w:tc>
          <w:tcPr>
            <w:tcW w:w="2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(PIK 1.00%)</w:t>
            </w: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Lightspeed Buyer, Inc.</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02/03/2020</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02/03/2027</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8.91%</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SOFR+475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2,011</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2,011</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2,011</w:t>
            </w:r>
          </w:p>
        </w:tc>
        <w:tc>
          <w:tcPr>
            <w:tcW w:w="0" w:type="dxa"/>
            <w:vAlign w:val="bottom"/>
          </w:tcPr>
          <w:p>
            <w:pPr>
              <w:spacing w:after="0"/>
              <w:rPr>
                <w:sz w:val="1"/>
                <w:szCs w:val="1"/>
                <w:color w:val="auto"/>
              </w:rPr>
            </w:pPr>
          </w:p>
        </w:tc>
      </w:tr>
      <w:tr>
        <w:trPr>
          <w:trHeight w:val="120"/>
        </w:trPr>
        <w:tc>
          <w:tcPr>
            <w:tcW w:w="29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Lightspeed Buyer, Inc. - Unfunded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02/03/2020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02/03/2027</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1,166</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LJ Avalon Holdings, LLC</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01/18/2023</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02/01/2030</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8.78%</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SOFR+450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5,194</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5,179</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5,194</w:t>
            </w:r>
          </w:p>
        </w:tc>
        <w:tc>
          <w:tcPr>
            <w:tcW w:w="0" w:type="dxa"/>
            <w:vAlign w:val="bottom"/>
          </w:tcPr>
          <w:p>
            <w:pPr>
              <w:spacing w:after="0"/>
              <w:rPr>
                <w:sz w:val="1"/>
                <w:szCs w:val="1"/>
                <w:color w:val="auto"/>
              </w:rPr>
            </w:pPr>
          </w:p>
        </w:tc>
      </w:tr>
      <w:tr>
        <w:trPr>
          <w:trHeight w:val="120"/>
        </w:trPr>
        <w:tc>
          <w:tcPr>
            <w:tcW w:w="29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LJ Avalon Holdings, LLC - Unfunded Term Loan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01/18/2023</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02/08/2027</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2,624</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LJ Avalon Holdings, LLC - Unfunded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01/18/2023</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02/01/2029</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1,498</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80" w:type="dxa"/>
            <w:vAlign w:val="bottom"/>
          </w:tcPr>
          <w:p>
            <w:pPr>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05/25/2023</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05/31/2028</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9.00%</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7,054</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6,982</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7,054</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Loving Tan Intermediate II, Inc. - Funded Revolver</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05/25/2023</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05/31/2028</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9.00%</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664</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664</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664</w:t>
            </w:r>
          </w:p>
        </w:tc>
        <w:tc>
          <w:tcPr>
            <w:tcW w:w="0" w:type="dxa"/>
            <w:vAlign w:val="bottom"/>
          </w:tcPr>
          <w:p>
            <w:pPr>
              <w:spacing w:after="0"/>
              <w:rPr>
                <w:sz w:val="1"/>
                <w:szCs w:val="1"/>
                <w:color w:val="auto"/>
              </w:rPr>
            </w:pPr>
          </w:p>
        </w:tc>
      </w:tr>
      <w:tr>
        <w:trPr>
          <w:trHeight w:val="120"/>
        </w:trPr>
        <w:tc>
          <w:tcPr>
            <w:tcW w:w="29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Loving Tan Intermediate II, Inc. - Unfunded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05/25/2023</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05/31/2028</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332</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Loving Tan Intermediate II, Inc. - Unfunded Term Loan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05/25/2023</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07/12/2026</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2,018</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0"/>
        </w:trPr>
        <w:tc>
          <w:tcPr>
            <w:tcW w:w="2980" w:type="dxa"/>
            <w:vAlign w:val="bottom"/>
          </w:tcPr>
          <w:p>
            <w:pPr>
              <w:spacing w:after="0"/>
              <w:rPr>
                <w:sz w:val="20"/>
                <w:szCs w:val="20"/>
                <w:color w:val="auto"/>
              </w:rPr>
            </w:pPr>
            <w:r>
              <w:rPr>
                <w:rFonts w:ascii="Times New Roman" w:cs="Times New Roman" w:eastAsia="Times New Roman" w:hAnsi="Times New Roman"/>
                <w:sz w:val="10"/>
                <w:szCs w:val="10"/>
                <w:color w:val="auto"/>
              </w:rPr>
              <w:t>Marketplace Events Acquisition, LLC</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12/19/2024</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12/19/2030</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9.25%</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1,237</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1,225</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1,237</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Marketplace Events Acquisition, LLC - Unfunded Term Loan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12/19/2024</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06/19/2026</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3,113</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31</w:t>
            </w:r>
          </w:p>
        </w:tc>
        <w:tc>
          <w:tcPr>
            <w:tcW w:w="0" w:type="dxa"/>
            <w:vAlign w:val="bottom"/>
          </w:tcPr>
          <w:p>
            <w:pPr>
              <w:spacing w:after="0"/>
              <w:rPr>
                <w:sz w:val="1"/>
                <w:szCs w:val="1"/>
                <w:color w:val="auto"/>
              </w:rPr>
            </w:pPr>
          </w:p>
        </w:tc>
      </w:tr>
      <w:tr>
        <w:trPr>
          <w:trHeight w:val="120"/>
        </w:trPr>
        <w:tc>
          <w:tcPr>
            <w:tcW w:w="2980" w:type="dxa"/>
            <w:vAlign w:val="bottom"/>
          </w:tcPr>
          <w:p>
            <w:pPr>
              <w:spacing w:after="0"/>
              <w:rPr>
                <w:sz w:val="20"/>
                <w:szCs w:val="20"/>
                <w:color w:val="auto"/>
              </w:rPr>
            </w:pPr>
            <w:r>
              <w:rPr>
                <w:rFonts w:ascii="Times New Roman" w:cs="Times New Roman" w:eastAsia="Times New Roman" w:hAnsi="Times New Roman"/>
                <w:sz w:val="10"/>
                <w:szCs w:val="10"/>
                <w:color w:val="auto"/>
              </w:rPr>
              <w:t>Marketplace Events Acquisition, LLC - Funded Revolver</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12/19/2024</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12/19/2030</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9.25%</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218</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218</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218</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Marketplace Events Acquisition, LLC - Unfunded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12/19/2024</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12/19/2030</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1,959</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80" w:type="dxa"/>
            <w:vAlign w:val="bottom"/>
          </w:tcPr>
          <w:p>
            <w:pPr>
              <w:spacing w:after="0"/>
              <w:rPr>
                <w:sz w:val="20"/>
                <w:szCs w:val="20"/>
                <w:color w:val="auto"/>
              </w:rPr>
            </w:pPr>
            <w:r>
              <w:rPr>
                <w:rFonts w:ascii="Times New Roman" w:cs="Times New Roman" w:eastAsia="Times New Roman" w:hAnsi="Times New Roman"/>
                <w:sz w:val="10"/>
                <w:szCs w:val="10"/>
                <w:color w:val="auto"/>
              </w:rPr>
              <w:t>MBS Holdings, Inc.</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04/14/2021</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04/16/2027</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9.30%</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SOFR+510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267</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266</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267</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MBS Holdings, Inc. - Unfunded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04/14/2021</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04/16/2027</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8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694</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80" w:type="dxa"/>
            <w:vAlign w:val="bottom"/>
          </w:tcPr>
          <w:p>
            <w:pPr>
              <w:spacing w:after="0"/>
              <w:rPr>
                <w:sz w:val="20"/>
                <w:szCs w:val="20"/>
                <w:color w:val="auto"/>
              </w:rPr>
            </w:pPr>
            <w:r>
              <w:rPr>
                <w:rFonts w:ascii="Times New Roman" w:cs="Times New Roman" w:eastAsia="Times New Roman" w:hAnsi="Times New Roman"/>
                <w:sz w:val="10"/>
                <w:szCs w:val="10"/>
                <w:color w:val="auto"/>
              </w:rPr>
              <w:t>MDI Buyer, Inc. - Funded Revolver</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07/19/2022</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07/25/2028</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11.50%</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SOFR+375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1,808</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1,808</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1,808</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MDI Buyer, Inc. - Unfunded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07/19/2022</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07/25/2028</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8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419</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80" w:type="dxa"/>
            <w:vAlign w:val="bottom"/>
          </w:tcPr>
          <w:p>
            <w:pPr>
              <w:spacing w:after="0"/>
              <w:rPr>
                <w:sz w:val="20"/>
                <w:szCs w:val="20"/>
                <w:color w:val="auto"/>
              </w:rPr>
            </w:pPr>
            <w:r>
              <w:rPr>
                <w:rFonts w:ascii="Times New Roman" w:cs="Times New Roman" w:eastAsia="Times New Roman" w:hAnsi="Times New Roman"/>
                <w:sz w:val="10"/>
                <w:szCs w:val="10"/>
                <w:color w:val="auto"/>
              </w:rPr>
              <w:t>Meadowlark Acquirer, LLC</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12/09/2021</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9.65%</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SOFR+565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1,903</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1,892</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1,903</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Meadowlark Acquirer, LLC - Funded Revolver</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12/09/2021</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9.65%</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SOFR+565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337</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337</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337</w:t>
            </w:r>
          </w:p>
        </w:tc>
        <w:tc>
          <w:tcPr>
            <w:tcW w:w="0" w:type="dxa"/>
            <w:vAlign w:val="bottom"/>
          </w:tcPr>
          <w:p>
            <w:pPr>
              <w:spacing w:after="0"/>
              <w:rPr>
                <w:sz w:val="1"/>
                <w:szCs w:val="1"/>
                <w:color w:val="auto"/>
              </w:rPr>
            </w:pPr>
          </w:p>
        </w:tc>
      </w:tr>
      <w:tr>
        <w:trPr>
          <w:trHeight w:val="120"/>
        </w:trPr>
        <w:tc>
          <w:tcPr>
            <w:tcW w:w="29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Meadowlark Acquirer, LLC- Unfunded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12/09/2021</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1,348</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Medina Health, LLC - Unfunded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10/16/2023</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10/20/2028</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2,774</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w:t>
            </w:r>
          </w:p>
        </w:tc>
        <w:tc>
          <w:tcPr>
            <w:tcW w:w="0" w:type="dxa"/>
            <w:vAlign w:val="bottom"/>
          </w:tcPr>
          <w:p>
            <w:pPr>
              <w:spacing w:after="0"/>
              <w:rPr>
                <w:sz w:val="1"/>
                <w:szCs w:val="1"/>
                <w:color w:val="auto"/>
              </w:rPr>
            </w:pPr>
          </w:p>
        </w:tc>
      </w:tr>
      <w:tr>
        <w:trPr>
          <w:trHeight w:val="120"/>
        </w:trPr>
        <w:tc>
          <w:tcPr>
            <w:tcW w:w="2980" w:type="dxa"/>
            <w:vAlign w:val="bottom"/>
          </w:tcPr>
          <w:p>
            <w:pPr>
              <w:spacing w:after="0"/>
              <w:rPr>
                <w:sz w:val="20"/>
                <w:szCs w:val="20"/>
                <w:color w:val="auto"/>
              </w:rPr>
            </w:pPr>
            <w:r>
              <w:rPr>
                <w:rFonts w:ascii="Times New Roman" w:cs="Times New Roman" w:eastAsia="Times New Roman" w:hAnsi="Times New Roman"/>
                <w:sz w:val="10"/>
                <w:szCs w:val="10"/>
                <w:color w:val="auto"/>
              </w:rPr>
              <w:t>Megawatt Acquisitionco, Inc. - Funded Revolver</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03/01/2024</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03/01/2030</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9.67%</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232</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232</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221</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Megawatt Acquisitionco, Inc. - Unfunded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03/01/2024</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03/01/2030</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8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1,625</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(78)</w:t>
            </w:r>
          </w:p>
        </w:tc>
        <w:tc>
          <w:tcPr>
            <w:tcW w:w="0" w:type="dxa"/>
            <w:vAlign w:val="bottom"/>
          </w:tcPr>
          <w:p>
            <w:pPr>
              <w:spacing w:after="0"/>
              <w:rPr>
                <w:sz w:val="1"/>
                <w:szCs w:val="1"/>
                <w:color w:val="auto"/>
              </w:rPr>
            </w:pPr>
          </w:p>
        </w:tc>
      </w:tr>
      <w:tr>
        <w:trPr>
          <w:trHeight w:val="120"/>
        </w:trPr>
        <w:tc>
          <w:tcPr>
            <w:tcW w:w="2980" w:type="dxa"/>
            <w:vAlign w:val="bottom"/>
          </w:tcPr>
          <w:p>
            <w:pPr>
              <w:spacing w:after="0"/>
              <w:rPr>
                <w:sz w:val="20"/>
                <w:szCs w:val="20"/>
                <w:color w:val="auto"/>
              </w:rPr>
            </w:pPr>
            <w:r>
              <w:rPr>
                <w:rFonts w:ascii="Times New Roman" w:cs="Times New Roman" w:eastAsia="Times New Roman" w:hAnsi="Times New Roman"/>
                <w:sz w:val="10"/>
                <w:szCs w:val="10"/>
                <w:color w:val="auto"/>
              </w:rPr>
              <w:t>Mineola 212, LLC</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06/24/2024</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12/24/2025</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Buildings and Real Estate</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14.00%</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3,500</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3,515</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3,507</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MOREGroup Holdings, Inc. - Unfunded Term Loan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01/09/2024</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01/16/2026</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6,124</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61</w:t>
            </w:r>
          </w:p>
        </w:tc>
        <w:tc>
          <w:tcPr>
            <w:tcW w:w="0" w:type="dxa"/>
            <w:vAlign w:val="bottom"/>
          </w:tcPr>
          <w:p>
            <w:pPr>
              <w:spacing w:after="0"/>
              <w:rPr>
                <w:sz w:val="1"/>
                <w:szCs w:val="1"/>
                <w:color w:val="auto"/>
              </w:rPr>
            </w:pPr>
          </w:p>
        </w:tc>
      </w:tr>
      <w:tr>
        <w:trPr>
          <w:trHeight w:val="120"/>
        </w:trPr>
        <w:tc>
          <w:tcPr>
            <w:tcW w:w="29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MOREGroup Holdings, Inc. - Unfunded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01/09/2024</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01/16/2030</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3,675</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4"/>
        </w:trPr>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880" w:type="dxa"/>
            <w:vAlign w:val="bottom"/>
            <w:vMerge w:val="restart"/>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09/23/2021</w:t>
            </w:r>
          </w:p>
        </w:tc>
        <w:tc>
          <w:tcPr>
            <w:tcW w:w="7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10/01/2027</w:t>
            </w:r>
          </w:p>
        </w:tc>
        <w:tc>
          <w:tcPr>
            <w:tcW w:w="170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00" w:type="dxa"/>
            <w:vAlign w:val="bottom"/>
            <w:vMerge w:val="restart"/>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9.17%</w:t>
            </w:r>
          </w:p>
        </w:tc>
        <w:tc>
          <w:tcPr>
            <w:tcW w:w="880" w:type="dxa"/>
            <w:vAlign w:val="bottom"/>
            <w:vMerge w:val="restart"/>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SOFR+515</w:t>
            </w:r>
          </w:p>
        </w:tc>
        <w:tc>
          <w:tcPr>
            <w:tcW w:w="82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1,031</w:t>
            </w:r>
          </w:p>
        </w:tc>
        <w:tc>
          <w:tcPr>
            <w:tcW w:w="220" w:type="dxa"/>
            <w:vAlign w:val="bottom"/>
            <w:shd w:val="clear" w:color="auto" w:fill="CCECFF"/>
          </w:tcPr>
          <w:p>
            <w:pPr>
              <w:spacing w:after="0"/>
              <w:rPr>
                <w:sz w:val="10"/>
                <w:szCs w:val="10"/>
                <w:color w:val="auto"/>
              </w:rPr>
            </w:pPr>
          </w:p>
        </w:tc>
        <w:tc>
          <w:tcPr>
            <w:tcW w:w="58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1,024</w:t>
            </w:r>
          </w:p>
        </w:tc>
        <w:tc>
          <w:tcPr>
            <w:tcW w:w="180" w:type="dxa"/>
            <w:vAlign w:val="bottom"/>
            <w:shd w:val="clear" w:color="auto" w:fill="CCECFF"/>
          </w:tcPr>
          <w:p>
            <w:pPr>
              <w:spacing w:after="0"/>
              <w:rPr>
                <w:sz w:val="10"/>
                <w:szCs w:val="10"/>
                <w:color w:val="auto"/>
              </w:rPr>
            </w:pPr>
          </w:p>
        </w:tc>
        <w:tc>
          <w:tcPr>
            <w:tcW w:w="780" w:type="dxa"/>
            <w:vAlign w:val="bottom"/>
            <w:vMerge w:val="restart"/>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1,031</w:t>
            </w:r>
          </w:p>
        </w:tc>
        <w:tc>
          <w:tcPr>
            <w:tcW w:w="0" w:type="dxa"/>
            <w:vAlign w:val="bottom"/>
          </w:tcPr>
          <w:p>
            <w:pPr>
              <w:spacing w:after="0"/>
              <w:rPr>
                <w:sz w:val="1"/>
                <w:szCs w:val="1"/>
                <w:color w:val="auto"/>
              </w:rPr>
            </w:pPr>
          </w:p>
        </w:tc>
      </w:tr>
      <w:tr>
        <w:trPr>
          <w:trHeight w:val="68"/>
        </w:trPr>
        <w:tc>
          <w:tcPr>
            <w:tcW w:w="2980" w:type="dxa"/>
            <w:vAlign w:val="bottom"/>
            <w:shd w:val="clear" w:color="auto" w:fill="CCECFF"/>
          </w:tcPr>
          <w:p>
            <w:pPr>
              <w:spacing w:after="0"/>
              <w:rPr>
                <w:sz w:val="5"/>
                <w:szCs w:val="5"/>
                <w:color w:val="auto"/>
              </w:rPr>
            </w:pPr>
          </w:p>
        </w:tc>
        <w:tc>
          <w:tcPr>
            <w:tcW w:w="880" w:type="dxa"/>
            <w:vAlign w:val="bottom"/>
            <w:vMerge w:val="continue"/>
            <w:shd w:val="clear" w:color="auto" w:fill="CCECFF"/>
          </w:tcPr>
          <w:p>
            <w:pPr>
              <w:spacing w:after="0"/>
              <w:rPr>
                <w:sz w:val="5"/>
                <w:szCs w:val="5"/>
                <w:color w:val="auto"/>
              </w:rPr>
            </w:pPr>
          </w:p>
        </w:tc>
        <w:tc>
          <w:tcPr>
            <w:tcW w:w="740" w:type="dxa"/>
            <w:vAlign w:val="bottom"/>
            <w:vMerge w:val="continue"/>
            <w:shd w:val="clear" w:color="auto" w:fill="CCECFF"/>
          </w:tcPr>
          <w:p>
            <w:pPr>
              <w:spacing w:after="0"/>
              <w:rPr>
                <w:sz w:val="5"/>
                <w:szCs w:val="5"/>
                <w:color w:val="auto"/>
              </w:rPr>
            </w:pPr>
          </w:p>
        </w:tc>
        <w:tc>
          <w:tcPr>
            <w:tcW w:w="1700" w:type="dxa"/>
            <w:vAlign w:val="bottom"/>
            <w:vMerge w:val="continue"/>
            <w:shd w:val="clear" w:color="auto" w:fill="CCECFF"/>
          </w:tcPr>
          <w:p>
            <w:pPr>
              <w:spacing w:after="0"/>
              <w:rPr>
                <w:sz w:val="5"/>
                <w:szCs w:val="5"/>
                <w:color w:val="auto"/>
              </w:rPr>
            </w:pPr>
          </w:p>
        </w:tc>
        <w:tc>
          <w:tcPr>
            <w:tcW w:w="800" w:type="dxa"/>
            <w:vAlign w:val="bottom"/>
            <w:vMerge w:val="continue"/>
            <w:shd w:val="clear" w:color="auto" w:fill="CCECFF"/>
          </w:tcPr>
          <w:p>
            <w:pPr>
              <w:spacing w:after="0"/>
              <w:rPr>
                <w:sz w:val="5"/>
                <w:szCs w:val="5"/>
                <w:color w:val="auto"/>
              </w:rPr>
            </w:pPr>
          </w:p>
        </w:tc>
        <w:tc>
          <w:tcPr>
            <w:tcW w:w="880" w:type="dxa"/>
            <w:vAlign w:val="bottom"/>
            <w:vMerge w:val="continue"/>
            <w:shd w:val="clear" w:color="auto" w:fill="CCECFF"/>
          </w:tcPr>
          <w:p>
            <w:pPr>
              <w:spacing w:after="0"/>
              <w:rPr>
                <w:sz w:val="5"/>
                <w:szCs w:val="5"/>
                <w:color w:val="auto"/>
              </w:rPr>
            </w:pPr>
          </w:p>
        </w:tc>
        <w:tc>
          <w:tcPr>
            <w:tcW w:w="820" w:type="dxa"/>
            <w:vAlign w:val="bottom"/>
            <w:vMerge w:val="continue"/>
            <w:shd w:val="clear" w:color="auto" w:fill="CCECFF"/>
          </w:tcPr>
          <w:p>
            <w:pPr>
              <w:spacing w:after="0"/>
              <w:rPr>
                <w:sz w:val="5"/>
                <w:szCs w:val="5"/>
                <w:color w:val="auto"/>
              </w:rPr>
            </w:pPr>
          </w:p>
        </w:tc>
        <w:tc>
          <w:tcPr>
            <w:tcW w:w="220" w:type="dxa"/>
            <w:vAlign w:val="bottom"/>
            <w:shd w:val="clear" w:color="auto" w:fill="CCECFF"/>
          </w:tcPr>
          <w:p>
            <w:pPr>
              <w:spacing w:after="0"/>
              <w:rPr>
                <w:sz w:val="5"/>
                <w:szCs w:val="5"/>
                <w:color w:val="auto"/>
              </w:rPr>
            </w:pPr>
          </w:p>
        </w:tc>
        <w:tc>
          <w:tcPr>
            <w:tcW w:w="580" w:type="dxa"/>
            <w:vAlign w:val="bottom"/>
            <w:vMerge w:val="continue"/>
            <w:shd w:val="clear" w:color="auto" w:fill="CCECFF"/>
          </w:tcPr>
          <w:p>
            <w:pPr>
              <w:spacing w:after="0"/>
              <w:rPr>
                <w:sz w:val="5"/>
                <w:szCs w:val="5"/>
                <w:color w:val="auto"/>
              </w:rPr>
            </w:pPr>
          </w:p>
        </w:tc>
        <w:tc>
          <w:tcPr>
            <w:tcW w:w="180" w:type="dxa"/>
            <w:vAlign w:val="bottom"/>
            <w:shd w:val="clear" w:color="auto" w:fill="CCECFF"/>
          </w:tcPr>
          <w:p>
            <w:pPr>
              <w:spacing w:after="0"/>
              <w:rPr>
                <w:sz w:val="5"/>
                <w:szCs w:val="5"/>
                <w:color w:val="auto"/>
              </w:rPr>
            </w:pPr>
          </w:p>
        </w:tc>
        <w:tc>
          <w:tcPr>
            <w:tcW w:w="780" w:type="dxa"/>
            <w:vAlign w:val="bottom"/>
            <w:vMerge w:val="continue"/>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9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 Unfunded Term Loan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09/23/2021</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01/15/2026</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568</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 Unfunded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09/23/2021</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10/01/2027</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1,880</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NBH Group, LLC - Unfunded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08/16/2021</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08/19/2026</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1,163</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NORA Acquisition, LLC - Funded Revolver</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08/22/2023</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08/31/2029</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10.35%</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SOFR+635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1,218</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1,218</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1,209</w:t>
            </w:r>
          </w:p>
        </w:tc>
        <w:tc>
          <w:tcPr>
            <w:tcW w:w="0" w:type="dxa"/>
            <w:vAlign w:val="bottom"/>
          </w:tcPr>
          <w:p>
            <w:pPr>
              <w:spacing w:after="0"/>
              <w:rPr>
                <w:sz w:val="1"/>
                <w:szCs w:val="1"/>
                <w:color w:val="auto"/>
              </w:rPr>
            </w:pPr>
          </w:p>
        </w:tc>
      </w:tr>
      <w:tr>
        <w:trPr>
          <w:trHeight w:val="120"/>
        </w:trPr>
        <w:tc>
          <w:tcPr>
            <w:tcW w:w="29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NORA Acquisition, LLC - Unfunded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08/22/2023</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08/31/2029</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1,489</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North American Rail Solutions, LLC</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08/29/2025</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08/29/2031</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Manufacturing/Basic Industry</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8.75%</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SOFR+475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29,416</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29,269</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29,269</w:t>
            </w:r>
          </w:p>
        </w:tc>
        <w:tc>
          <w:tcPr>
            <w:tcW w:w="0" w:type="dxa"/>
            <w:vAlign w:val="bottom"/>
          </w:tcPr>
          <w:p>
            <w:pPr>
              <w:spacing w:after="0"/>
              <w:rPr>
                <w:sz w:val="1"/>
                <w:szCs w:val="1"/>
                <w:color w:val="auto"/>
              </w:rPr>
            </w:pPr>
          </w:p>
        </w:tc>
      </w:tr>
      <w:tr>
        <w:trPr>
          <w:trHeight w:val="120"/>
        </w:trPr>
        <w:tc>
          <w:tcPr>
            <w:tcW w:w="29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North American Rail Solutions, LLC - Unfunded Term Loan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08/29/2025</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08/29/2027</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Manufacturing/Basic Industry</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2,263</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North American Rail Solutions, LLC - Funded Revolver</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08/29/2025</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08/29/2031</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Manufacturing/Basic Industry</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8.75%</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SOFR+475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784</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784</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784</w:t>
            </w:r>
          </w:p>
        </w:tc>
        <w:tc>
          <w:tcPr>
            <w:tcW w:w="0" w:type="dxa"/>
            <w:vAlign w:val="bottom"/>
          </w:tcPr>
          <w:p>
            <w:pPr>
              <w:spacing w:after="0"/>
              <w:rPr>
                <w:sz w:val="1"/>
                <w:szCs w:val="1"/>
                <w:color w:val="auto"/>
              </w:rPr>
            </w:pPr>
          </w:p>
        </w:tc>
      </w:tr>
      <w:tr>
        <w:trPr>
          <w:trHeight w:val="120"/>
        </w:trPr>
        <w:tc>
          <w:tcPr>
            <w:tcW w:w="29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North American Rail Solutions, LLC - Unfunded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08/29/2025</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08/29/2031</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Manufacturing/Basic Industry</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2,383</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NP Riverhead Industrial, LLC</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05/24/2024</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12/10/2025</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Buildings and Real Estate</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15.50%</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5,000</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5,015</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5,000</w:t>
            </w:r>
          </w:p>
        </w:tc>
        <w:tc>
          <w:tcPr>
            <w:tcW w:w="0" w:type="dxa"/>
            <w:vAlign w:val="bottom"/>
          </w:tcPr>
          <w:p>
            <w:pPr>
              <w:spacing w:after="0"/>
              <w:rPr>
                <w:sz w:val="1"/>
                <w:szCs w:val="1"/>
                <w:color w:val="auto"/>
              </w:rPr>
            </w:pPr>
          </w:p>
        </w:tc>
      </w:tr>
      <w:tr>
        <w:trPr>
          <w:trHeight w:val="120"/>
        </w:trPr>
        <w:tc>
          <w:tcPr>
            <w:tcW w:w="2980" w:type="dxa"/>
            <w:vAlign w:val="bottom"/>
          </w:tcPr>
          <w:p>
            <w:pPr>
              <w:spacing w:after="0"/>
              <w:rPr>
                <w:sz w:val="20"/>
                <w:szCs w:val="20"/>
                <w:color w:val="auto"/>
              </w:rPr>
            </w:pPr>
            <w:r>
              <w:rPr>
                <w:rFonts w:ascii="Times New Roman" w:cs="Times New Roman" w:eastAsia="Times New Roman" w:hAnsi="Times New Roman"/>
                <w:sz w:val="10"/>
                <w:szCs w:val="10"/>
                <w:color w:val="auto"/>
              </w:rPr>
              <w:t>Omnia Exterior Solutions, LLC</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12/29/2023</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12/31/2029</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9.25%</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1,787</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1,771</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1,751</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Omnia Exterior Solutions, LLC - Unfunded Term Loan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12/29/2023</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09/30/2026</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8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3,807</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(43)</w:t>
            </w:r>
          </w:p>
        </w:tc>
        <w:tc>
          <w:tcPr>
            <w:tcW w:w="0" w:type="dxa"/>
            <w:vAlign w:val="bottom"/>
          </w:tcPr>
          <w:p>
            <w:pPr>
              <w:spacing w:after="0"/>
              <w:rPr>
                <w:sz w:val="1"/>
                <w:szCs w:val="1"/>
                <w:color w:val="auto"/>
              </w:rPr>
            </w:pPr>
          </w:p>
        </w:tc>
      </w:tr>
      <w:tr>
        <w:trPr>
          <w:trHeight w:val="120"/>
        </w:trPr>
        <w:tc>
          <w:tcPr>
            <w:tcW w:w="2980" w:type="dxa"/>
            <w:vAlign w:val="bottom"/>
          </w:tcPr>
          <w:p>
            <w:pPr>
              <w:spacing w:after="0"/>
              <w:rPr>
                <w:sz w:val="20"/>
                <w:szCs w:val="20"/>
                <w:color w:val="auto"/>
              </w:rPr>
            </w:pPr>
            <w:r>
              <w:rPr>
                <w:rFonts w:ascii="Times New Roman" w:cs="Times New Roman" w:eastAsia="Times New Roman" w:hAnsi="Times New Roman"/>
                <w:sz w:val="10"/>
                <w:szCs w:val="10"/>
                <w:color w:val="auto"/>
              </w:rPr>
              <w:t>Omnia Exterior Solutions, LLC - Funded Revolver</w:t>
            </w: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12/29/2023</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12/31/2029</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9.25%</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1,260</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1,260</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1,235</w:t>
            </w:r>
          </w:p>
        </w:tc>
        <w:tc>
          <w:tcPr>
            <w:tcW w:w="0" w:type="dxa"/>
            <w:vAlign w:val="bottom"/>
          </w:tcPr>
          <w:p>
            <w:pPr>
              <w:spacing w:after="0"/>
              <w:rPr>
                <w:sz w:val="1"/>
                <w:szCs w:val="1"/>
                <w:color w:val="auto"/>
              </w:rPr>
            </w:pPr>
          </w:p>
        </w:tc>
      </w:tr>
      <w:tr>
        <w:trPr>
          <w:trHeight w:val="120"/>
        </w:trPr>
        <w:tc>
          <w:tcPr>
            <w:tcW w:w="29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Omnia Exterior Solutions, LLC - Unfunded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12/29/2023</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12/31/2029</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8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840</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(17)</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760" w:type="dxa"/>
            <w:vAlign w:val="bottom"/>
          </w:tcPr>
          <w:p>
            <w:pPr>
              <w:jc w:val="center"/>
              <w:ind w:left="12"/>
              <w:spacing w:after="0"/>
              <w:rPr>
                <w:sz w:val="20"/>
                <w:szCs w:val="20"/>
                <w:color w:val="auto"/>
              </w:rPr>
            </w:pPr>
            <w:r>
              <w:rPr>
                <w:rFonts w:ascii="Times New Roman" w:cs="Times New Roman" w:eastAsia="Times New Roman" w:hAnsi="Times New Roman"/>
                <w:sz w:val="10"/>
                <w:szCs w:val="10"/>
                <w:b w:val="1"/>
                <w:bCs w:val="1"/>
                <w:color w:val="auto"/>
                <w:w w:val="93"/>
              </w:rPr>
              <w:t>Acquisition</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80" w:type="dxa"/>
            <w:vAlign w:val="bottom"/>
          </w:tcPr>
          <w:p>
            <w:pPr>
              <w:jc w:val="center"/>
              <w:ind w:right="32"/>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(4)</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20" w:type="dxa"/>
            <w:vAlign w:val="bottom"/>
          </w:tcPr>
          <w:p>
            <w:pPr>
              <w:spacing w:after="0"/>
              <w:rPr>
                <w:sz w:val="10"/>
                <w:szCs w:val="10"/>
                <w:color w:val="auto"/>
              </w:rPr>
            </w:pPr>
          </w:p>
        </w:tc>
        <w:tc>
          <w:tcPr>
            <w:tcW w:w="56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0"/>
                <w:szCs w:val="10"/>
                <w:color w:val="auto"/>
              </w:rPr>
            </w:pPr>
          </w:p>
        </w:tc>
        <w:tc>
          <w:tcPr>
            <w:tcW w:w="780" w:type="dxa"/>
            <w:vAlign w:val="bottom"/>
          </w:tcPr>
          <w:p>
            <w:pPr>
              <w:jc w:val="right"/>
              <w:ind w:right="17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ORL Acquisition, Inc.</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09/01/2021</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09/03/2027</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13.70%</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SOFR+940</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4,426</w:t>
            </w:r>
          </w:p>
        </w:tc>
        <w:tc>
          <w:tcPr>
            <w:tcW w:w="2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4,395</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3,917</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700" w:type="dxa"/>
            <w:vAlign w:val="bottom"/>
            <w:shd w:val="clear" w:color="auto" w:fill="CCECFF"/>
          </w:tcPr>
          <w:p>
            <w:pPr>
              <w:spacing w:after="0"/>
              <w:rPr>
                <w:sz w:val="10"/>
                <w:szCs w:val="10"/>
                <w:color w:val="auto"/>
              </w:rPr>
            </w:pPr>
          </w:p>
        </w:tc>
        <w:tc>
          <w:tcPr>
            <w:tcW w:w="8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(PIK 7.50%)</w:t>
            </w:r>
          </w:p>
        </w:tc>
        <w:tc>
          <w:tcPr>
            <w:tcW w:w="88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ORL Acquisition, Inc. - Unfunded Revolver </w:t>
            </w:r>
            <w:r>
              <w:rPr>
                <w:rFonts w:ascii="Times New Roman" w:cs="Times New Roman" w:eastAsia="Times New Roman" w:hAnsi="Times New Roman"/>
                <w:sz w:val="12"/>
                <w:szCs w:val="12"/>
                <w:color w:val="auto"/>
                <w:vertAlign w:val="superscript"/>
              </w:rPr>
              <w:t>(7)</w:t>
            </w:r>
          </w:p>
        </w:tc>
        <w:tc>
          <w:tcPr>
            <w:tcW w:w="7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09/01/2021</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09/03/2027</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149</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(17)</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OSP Embedded Purchaser, LLC</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12/11/2023</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12/17/2029</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9.81%</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6,386</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6,298</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6,297</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OSP Embedded Purchaser, LLC - Unfunded Revolver </w:t>
            </w:r>
            <w:r>
              <w:rPr>
                <w:rFonts w:ascii="Times New Roman" w:cs="Times New Roman" w:eastAsia="Times New Roman" w:hAnsi="Times New Roman"/>
                <w:sz w:val="12"/>
                <w:szCs w:val="12"/>
                <w:color w:val="auto"/>
                <w:vertAlign w:val="superscript"/>
              </w:rPr>
              <w:t>(7)</w:t>
            </w:r>
          </w:p>
        </w:tc>
        <w:tc>
          <w:tcPr>
            <w:tcW w:w="7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12/11/2023</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12/17/2029</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1,477</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(21)</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Pacific Purchaser, LLC - Unfunded Revolver </w:t>
            </w:r>
            <w:r>
              <w:rPr>
                <w:rFonts w:ascii="Times New Roman" w:cs="Times New Roman" w:eastAsia="Times New Roman" w:hAnsi="Times New Roman"/>
                <w:sz w:val="12"/>
                <w:szCs w:val="12"/>
                <w:color w:val="auto"/>
                <w:vertAlign w:val="superscript"/>
              </w:rPr>
              <w:t>(7)</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10/02/2023</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10/02/2028</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1,373</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PAR Excellence Holdings, Inc.</w:t>
            </w:r>
          </w:p>
        </w:tc>
        <w:tc>
          <w:tcPr>
            <w:tcW w:w="7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09/03/2024</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09/03/2030</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9.32%</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11,940</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11,827</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11,731</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PAR Excellence Holdings, Inc. - Unfunded Revolver </w:t>
            </w:r>
            <w:r>
              <w:rPr>
                <w:rFonts w:ascii="Times New Roman" w:cs="Times New Roman" w:eastAsia="Times New Roman" w:hAnsi="Times New Roman"/>
                <w:sz w:val="12"/>
                <w:szCs w:val="12"/>
                <w:color w:val="auto"/>
                <w:vertAlign w:val="superscript"/>
              </w:rPr>
              <w:t>(7)</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09/03/2024</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09/03/2030</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2,681</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(47)</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Paving Lessor Corp.</w:t>
            </w:r>
          </w:p>
        </w:tc>
        <w:tc>
          <w:tcPr>
            <w:tcW w:w="7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07/01/2025</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07/01/2031</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9.25%</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6,974</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6,922</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6,921</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Paving Lessor Corp. - Unfunded Term Loan </w:t>
            </w:r>
            <w:r>
              <w:rPr>
                <w:rFonts w:ascii="Times New Roman" w:cs="Times New Roman" w:eastAsia="Times New Roman" w:hAnsi="Times New Roman"/>
                <w:sz w:val="12"/>
                <w:szCs w:val="12"/>
                <w:color w:val="auto"/>
                <w:vertAlign w:val="superscript"/>
              </w:rPr>
              <w:t>(7)</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07/01/2025</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07/01/2027</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3,291</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Paving Lessor Corp. - Unfunded Revolver </w:t>
            </w:r>
            <w:r>
              <w:rPr>
                <w:rFonts w:ascii="Times New Roman" w:cs="Times New Roman" w:eastAsia="Times New Roman" w:hAnsi="Times New Roman"/>
                <w:sz w:val="12"/>
                <w:szCs w:val="12"/>
                <w:color w:val="auto"/>
                <w:vertAlign w:val="superscript"/>
              </w:rPr>
              <w:t>(7)</w:t>
            </w:r>
          </w:p>
        </w:tc>
        <w:tc>
          <w:tcPr>
            <w:tcW w:w="7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07/01/2025</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07/01/2031</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2,194</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(16)</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PCS MIDCO, Inc.</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03/01/2024</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03/01/2030</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9.75%</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2,322</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2,303</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2,322</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PCS MIDCO, Inc. - Unfunded Term Loan </w:t>
            </w:r>
            <w:r>
              <w:rPr>
                <w:rFonts w:ascii="Times New Roman" w:cs="Times New Roman" w:eastAsia="Times New Roman" w:hAnsi="Times New Roman"/>
                <w:sz w:val="12"/>
                <w:szCs w:val="12"/>
                <w:color w:val="auto"/>
                <w:vertAlign w:val="superscript"/>
              </w:rPr>
              <w:t>(7)</w:t>
            </w:r>
          </w:p>
        </w:tc>
        <w:tc>
          <w:tcPr>
            <w:tcW w:w="7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03/01/2024</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03/02/2026</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2,078</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PCS MIDCO, Inc. - Unfunded Revolver </w:t>
            </w:r>
            <w:r>
              <w:rPr>
                <w:rFonts w:ascii="Times New Roman" w:cs="Times New Roman" w:eastAsia="Times New Roman" w:hAnsi="Times New Roman"/>
                <w:sz w:val="12"/>
                <w:szCs w:val="12"/>
                <w:color w:val="auto"/>
                <w:vertAlign w:val="superscript"/>
              </w:rPr>
              <w:t>(7)</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03/01/2024</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03/01/2030</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1,762</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Peninsula Pacific Entertainment</w:t>
            </w:r>
          </w:p>
        </w:tc>
        <w:tc>
          <w:tcPr>
            <w:tcW w:w="7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08/15/2025</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08/22/2032</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Gaming</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9.02%</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SOFR+475</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5,251</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5,198</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5,238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Peninsula Pacific Entertainment - Unfunded Term Loan </w:t>
            </w:r>
            <w:r>
              <w:rPr>
                <w:rFonts w:ascii="Times New Roman" w:cs="Times New Roman" w:eastAsia="Times New Roman" w:hAnsi="Times New Roman"/>
                <w:sz w:val="12"/>
                <w:szCs w:val="12"/>
                <w:color w:val="auto"/>
                <w:vertAlign w:val="superscript"/>
              </w:rPr>
              <w:t>(7)</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08/15/2025</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08/25/2027</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Gaming</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1,231</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Penta Group Holdings, Inc.</w:t>
            </w:r>
          </w:p>
        </w:tc>
        <w:tc>
          <w:tcPr>
            <w:tcW w:w="7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07/31/2025</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07/31/2031</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8.50%</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SOFR+450</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3,556</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3,538</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3,538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Penta Group Holdings, Inc. - Unfunded Term Loan </w:t>
            </w:r>
            <w:r>
              <w:rPr>
                <w:rFonts w:ascii="Times New Roman" w:cs="Times New Roman" w:eastAsia="Times New Roman" w:hAnsi="Times New Roman"/>
                <w:sz w:val="12"/>
                <w:szCs w:val="12"/>
                <w:color w:val="auto"/>
                <w:vertAlign w:val="superscript"/>
              </w:rPr>
              <w:t>(7)</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07/31/2025</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07/31/2027</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2,591</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Penta Group Holdings, Inc. - Funded Revolver</w:t>
            </w:r>
          </w:p>
        </w:tc>
        <w:tc>
          <w:tcPr>
            <w:tcW w:w="7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07/31/2025</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07/31/2031</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8.50%</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SOFR+450</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210</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209</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Penta Group Holdings, Inc. - Unfunded Revolver </w:t>
            </w:r>
            <w:r>
              <w:rPr>
                <w:rFonts w:ascii="Times New Roman" w:cs="Times New Roman" w:eastAsia="Times New Roman" w:hAnsi="Times New Roman"/>
                <w:sz w:val="12"/>
                <w:szCs w:val="12"/>
                <w:color w:val="auto"/>
                <w:vertAlign w:val="superscript"/>
              </w:rPr>
              <w:t>(7)</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07/31/2025</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07/31/2031</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437</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PlayPower, Inc.</w:t>
            </w:r>
          </w:p>
        </w:tc>
        <w:tc>
          <w:tcPr>
            <w:tcW w:w="7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08/28/2024</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08/28/2030</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Manufacturing/Basic Industry</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9.25%</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11,880</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11,804</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11,880</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PlayPower, Inc. - Unfunded Revolver </w:t>
            </w:r>
            <w:r>
              <w:rPr>
                <w:rFonts w:ascii="Times New Roman" w:cs="Times New Roman" w:eastAsia="Times New Roman" w:hAnsi="Times New Roman"/>
                <w:sz w:val="12"/>
                <w:szCs w:val="12"/>
                <w:color w:val="auto"/>
                <w:vertAlign w:val="superscript"/>
              </w:rPr>
              <w:t>(7)</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08/28/2024</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08/28/2030</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Manufacturing/Basic Industry</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2,570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Podean Buyer, Inc.</w:t>
            </w:r>
          </w:p>
        </w:tc>
        <w:tc>
          <w:tcPr>
            <w:tcW w:w="7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08/04/2025</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08/04/2031</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10.00%</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SOFR+600</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4,030</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3,990</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3,990</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Podean Buyer, Inc. - Unfunded Revolver </w:t>
            </w:r>
            <w:r>
              <w:rPr>
                <w:rFonts w:ascii="Times New Roman" w:cs="Times New Roman" w:eastAsia="Times New Roman" w:hAnsi="Times New Roman"/>
                <w:sz w:val="12"/>
                <w:szCs w:val="12"/>
                <w:color w:val="auto"/>
                <w:vertAlign w:val="superscript"/>
              </w:rPr>
              <w:t>(7)</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08/04/2025</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08/04/2031</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796</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(8)</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PL Acquisitionco, LLC - Funded Revolver </w:t>
            </w:r>
            <w:r>
              <w:rPr>
                <w:rFonts w:ascii="Times New Roman" w:cs="Times New Roman" w:eastAsia="Times New Roman" w:hAnsi="Times New Roman"/>
                <w:sz w:val="12"/>
                <w:szCs w:val="12"/>
                <w:color w:val="auto"/>
                <w:vertAlign w:val="superscript"/>
              </w:rPr>
              <w:t>(13)</w:t>
            </w:r>
          </w:p>
        </w:tc>
        <w:tc>
          <w:tcPr>
            <w:tcW w:w="7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11/05/2021</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11/09/2027</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4.27%</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863</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863</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345</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PL Acquisitionco, LLC - Unfunded Revolver </w:t>
            </w:r>
            <w:r>
              <w:rPr>
                <w:rFonts w:ascii="Times New Roman" w:cs="Times New Roman" w:eastAsia="Times New Roman" w:hAnsi="Times New Roman"/>
                <w:sz w:val="12"/>
                <w:szCs w:val="12"/>
                <w:color w:val="auto"/>
                <w:vertAlign w:val="superscript"/>
              </w:rPr>
              <w:t>(7), (13)</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11/05/2021</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11/09/2027</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755</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(453)</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Project Granite Buyer, Inc. - Unfunded Term Loan </w:t>
            </w:r>
            <w:r>
              <w:rPr>
                <w:rFonts w:ascii="Times New Roman" w:cs="Times New Roman" w:eastAsia="Times New Roman" w:hAnsi="Times New Roman"/>
                <w:sz w:val="12"/>
                <w:szCs w:val="12"/>
                <w:color w:val="auto"/>
                <w:vertAlign w:val="superscript"/>
              </w:rPr>
              <w:t>(7)</w:t>
            </w:r>
          </w:p>
        </w:tc>
        <w:tc>
          <w:tcPr>
            <w:tcW w:w="7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12/31/2024</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12/31/2026</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554</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Project Granite Buyer, Inc. - Unfunded Revolver </w:t>
            </w:r>
            <w:r>
              <w:rPr>
                <w:rFonts w:ascii="Times New Roman" w:cs="Times New Roman" w:eastAsia="Times New Roman" w:hAnsi="Times New Roman"/>
                <w:sz w:val="12"/>
                <w:szCs w:val="12"/>
                <w:color w:val="auto"/>
                <w:vertAlign w:val="superscript"/>
              </w:rPr>
              <w:t>(7)</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12/31/2024</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12/31/2030</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923</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Radius Aerospace, Inc. - Funded Revolver</w:t>
            </w:r>
          </w:p>
        </w:tc>
        <w:tc>
          <w:tcPr>
            <w:tcW w:w="7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11/14/2022</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03/29/2027</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10.29%</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SOFR+600</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410</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410</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400</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Radius Aerospace, Inc. - Unfunded Revolver </w:t>
            </w:r>
            <w:r>
              <w:rPr>
                <w:rFonts w:ascii="Times New Roman" w:cs="Times New Roman" w:eastAsia="Times New Roman" w:hAnsi="Times New Roman"/>
                <w:sz w:val="12"/>
                <w:szCs w:val="12"/>
                <w:color w:val="auto"/>
                <w:vertAlign w:val="superscript"/>
              </w:rPr>
              <w:t>(7)</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11/14/2022</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03/29/2027</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1,819</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(41)</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 Unfunded Term Loan </w:t>
            </w:r>
            <w:r>
              <w:rPr>
                <w:rFonts w:ascii="Times New Roman" w:cs="Times New Roman" w:eastAsia="Times New Roman" w:hAnsi="Times New Roman"/>
                <w:sz w:val="12"/>
                <w:szCs w:val="12"/>
                <w:color w:val="auto"/>
                <w:vertAlign w:val="superscript"/>
              </w:rPr>
              <w:t>(7)</w:t>
            </w:r>
          </w:p>
        </w:tc>
        <w:tc>
          <w:tcPr>
            <w:tcW w:w="7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09/27/2021</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06/30/2026</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1,954</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Rancho Health MSO, Inc. - Funded Revolver</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09/27/2021</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06/20/2029</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9.29%</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1,962</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1,962</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1,962</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 Unfunded Revolver </w:t>
            </w:r>
            <w:r>
              <w:rPr>
                <w:rFonts w:ascii="Times New Roman" w:cs="Times New Roman" w:eastAsia="Times New Roman" w:hAnsi="Times New Roman"/>
                <w:sz w:val="12"/>
                <w:szCs w:val="12"/>
                <w:color w:val="auto"/>
                <w:vertAlign w:val="superscript"/>
              </w:rPr>
              <w:t>(7)</w:t>
            </w:r>
          </w:p>
        </w:tc>
        <w:tc>
          <w:tcPr>
            <w:tcW w:w="7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09/27/2021</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06/20/2029</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713</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Recteq, LLC - Funded Revolver</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01/27/2021</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01/29/2026</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10.46%</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SOFR+625</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313</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313</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312</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Recteq, LLC - Unfunded Revolver </w:t>
            </w:r>
            <w:r>
              <w:rPr>
                <w:rFonts w:ascii="Times New Roman" w:cs="Times New Roman" w:eastAsia="Times New Roman" w:hAnsi="Times New Roman"/>
                <w:sz w:val="12"/>
                <w:szCs w:val="12"/>
                <w:color w:val="auto"/>
                <w:vertAlign w:val="superscript"/>
              </w:rPr>
              <w:t>(7)</w:t>
            </w:r>
          </w:p>
        </w:tc>
        <w:tc>
          <w:tcPr>
            <w:tcW w:w="7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01/27/2021</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01/29/2026</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814</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Riverpoint Medical, LLC - Unfunded Revolver </w:t>
            </w:r>
            <w:r>
              <w:rPr>
                <w:rFonts w:ascii="Times New Roman" w:cs="Times New Roman" w:eastAsia="Times New Roman" w:hAnsi="Times New Roman"/>
                <w:sz w:val="12"/>
                <w:szCs w:val="12"/>
                <w:color w:val="auto"/>
                <w:vertAlign w:val="superscript"/>
              </w:rPr>
              <w:t>(7)</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06/19/2019</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06/21/2027</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364</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4"/>
        </w:trPr>
        <w:tc>
          <w:tcPr>
            <w:tcW w:w="31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Ro Health, LLC - Funded Revolver</w:t>
            </w:r>
          </w:p>
        </w:tc>
        <w:tc>
          <w:tcPr>
            <w:tcW w:w="760" w:type="dxa"/>
            <w:vAlign w:val="bottom"/>
            <w:vMerge w:val="restart"/>
          </w:tcPr>
          <w:p>
            <w:pPr>
              <w:jc w:val="center"/>
              <w:ind w:left="32"/>
              <w:spacing w:after="0"/>
              <w:rPr>
                <w:sz w:val="20"/>
                <w:szCs w:val="20"/>
                <w:color w:val="auto"/>
              </w:rPr>
            </w:pPr>
            <w:r>
              <w:rPr>
                <w:rFonts w:ascii="Times New Roman" w:cs="Times New Roman" w:eastAsia="Times New Roman" w:hAnsi="Times New Roman"/>
                <w:sz w:val="10"/>
                <w:szCs w:val="10"/>
                <w:color w:val="auto"/>
                <w:w w:val="96"/>
              </w:rPr>
              <w:t>01/16/2025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2"/>
              </w:rPr>
              <w:t>01/17/2031</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Providers &amp; Services</w:t>
            </w:r>
          </w:p>
        </w:tc>
        <w:tc>
          <w:tcPr>
            <w:tcW w:w="8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8.50%</w:t>
            </w:r>
          </w:p>
        </w:tc>
        <w:tc>
          <w:tcPr>
            <w:tcW w:w="88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auto"/>
              </w:rPr>
              <w:t>3M SOFR+450</w:t>
            </w:r>
          </w:p>
        </w:tc>
        <w:tc>
          <w:tcPr>
            <w:tcW w:w="8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1,258</w:t>
            </w:r>
          </w:p>
        </w:tc>
        <w:tc>
          <w:tcPr>
            <w:tcW w:w="220" w:type="dxa"/>
            <w:vAlign w:val="bottom"/>
          </w:tcPr>
          <w:p>
            <w:pPr>
              <w:spacing w:after="0"/>
              <w:rPr>
                <w:sz w:val="10"/>
                <w:szCs w:val="10"/>
                <w:color w:val="auto"/>
              </w:rPr>
            </w:pPr>
          </w:p>
        </w:tc>
        <w:tc>
          <w:tcPr>
            <w:tcW w:w="5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1,258</w:t>
            </w:r>
          </w:p>
        </w:tc>
        <w:tc>
          <w:tcPr>
            <w:tcW w:w="180" w:type="dxa"/>
            <w:vAlign w:val="bottom"/>
          </w:tcPr>
          <w:p>
            <w:pPr>
              <w:spacing w:after="0"/>
              <w:rPr>
                <w:sz w:val="10"/>
                <w:szCs w:val="10"/>
                <w:color w:val="auto"/>
              </w:rPr>
            </w:pPr>
          </w:p>
        </w:tc>
        <w:tc>
          <w:tcPr>
            <w:tcW w:w="78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1,258</w:t>
            </w:r>
          </w:p>
        </w:tc>
        <w:tc>
          <w:tcPr>
            <w:tcW w:w="0" w:type="dxa"/>
            <w:vAlign w:val="bottom"/>
          </w:tcPr>
          <w:p>
            <w:pPr>
              <w:spacing w:after="0"/>
              <w:rPr>
                <w:sz w:val="1"/>
                <w:szCs w:val="1"/>
                <w:color w:val="auto"/>
              </w:rPr>
            </w:pPr>
          </w:p>
        </w:tc>
      </w:tr>
      <w:tr>
        <w:trPr>
          <w:trHeight w:val="32"/>
        </w:trPr>
        <w:tc>
          <w:tcPr>
            <w:tcW w:w="31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7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Ro Health, LLC - Unfunded Revolver </w:t>
            </w:r>
            <w:r>
              <w:rPr>
                <w:rFonts w:ascii="Times New Roman" w:cs="Times New Roman" w:eastAsia="Times New Roman" w:hAnsi="Times New Roman"/>
                <w:sz w:val="12"/>
                <w:szCs w:val="12"/>
                <w:color w:val="auto"/>
                <w:vertAlign w:val="superscript"/>
              </w:rPr>
              <w:t>(7)</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01/16/2025</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01/17/2031</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Providers &amp; Services</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2,935</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Rosco Parent, LLC</w:t>
            </w:r>
          </w:p>
        </w:tc>
        <w:tc>
          <w:tcPr>
            <w:tcW w:w="7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09/09/2025</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09/12/2031</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8.81%</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SOFR+475</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10,167</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10,090</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10,090</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Rosco Parent, LLC - Unfunded Revolver </w:t>
            </w:r>
            <w:r>
              <w:rPr>
                <w:rFonts w:ascii="Times New Roman" w:cs="Times New Roman" w:eastAsia="Times New Roman" w:hAnsi="Times New Roman"/>
                <w:sz w:val="12"/>
                <w:szCs w:val="12"/>
                <w:color w:val="auto"/>
                <w:vertAlign w:val="superscript"/>
              </w:rPr>
              <w:t>(7)</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09/09/2025</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09/12/2031</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1,332</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Route 66 Development</w:t>
            </w:r>
          </w:p>
        </w:tc>
        <w:tc>
          <w:tcPr>
            <w:tcW w:w="7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01/28/2025</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01/24/2031</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Gaming</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13.16%</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SOFR+900</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18,000</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17,655</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17,910</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RRA Corporate, LLC</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08/15/2024</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08/15/2029</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9.00%</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2,996</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2,967</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2,978</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RRA Corporate, LLC - Unfunded Term Loan </w:t>
            </w:r>
            <w:r>
              <w:rPr>
                <w:rFonts w:ascii="Times New Roman" w:cs="Times New Roman" w:eastAsia="Times New Roman" w:hAnsi="Times New Roman"/>
                <w:sz w:val="12"/>
                <w:szCs w:val="12"/>
                <w:color w:val="auto"/>
                <w:vertAlign w:val="superscript"/>
              </w:rPr>
              <w:t>(7)</w:t>
            </w:r>
          </w:p>
        </w:tc>
        <w:tc>
          <w:tcPr>
            <w:tcW w:w="7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08/15/2024</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08/17/2026</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7,178</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29</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RRA Corporate, LLC - Funded Revolver</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08/15/2024</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08/15/2029</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9.25%</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1,448</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1,448</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1,440</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RRA Corporate, LLC - Unfunded Revolver </w:t>
            </w:r>
            <w:r>
              <w:rPr>
                <w:rFonts w:ascii="Times New Roman" w:cs="Times New Roman" w:eastAsia="Times New Roman" w:hAnsi="Times New Roman"/>
                <w:sz w:val="12"/>
                <w:szCs w:val="12"/>
                <w:color w:val="auto"/>
                <w:vertAlign w:val="superscript"/>
              </w:rPr>
              <w:t>(7)</w:t>
            </w:r>
          </w:p>
        </w:tc>
        <w:tc>
          <w:tcPr>
            <w:tcW w:w="7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08/15/2024</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08/15/2029</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1,700</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RTIC Subsidiary Holdings, LLC - Funded Revolver</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05/03/2024</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05/03/2029</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9.75%</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1,898</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1,898</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1,879</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RTIC Subsidiary Holdings, LLC - Unfunded Revolver </w:t>
            </w:r>
            <w:r>
              <w:rPr>
                <w:rFonts w:ascii="Times New Roman" w:cs="Times New Roman" w:eastAsia="Times New Roman" w:hAnsi="Times New Roman"/>
                <w:sz w:val="12"/>
                <w:szCs w:val="12"/>
                <w:color w:val="auto"/>
                <w:vertAlign w:val="superscript"/>
              </w:rPr>
              <w:t>(7)</w:t>
            </w:r>
          </w:p>
        </w:tc>
        <w:tc>
          <w:tcPr>
            <w:tcW w:w="7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05/03/2024</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05/03/2029</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3,524</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(35)</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Rural Sourcing Holdings, Inc. - Funded Revolver</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06/08/2023</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06/15/2029</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10.08%</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SOFR+575</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487</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487</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438</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Rural Sourcing Holdings, Inc. - Unfunded Revolver </w:t>
            </w:r>
            <w:r>
              <w:rPr>
                <w:rFonts w:ascii="Times New Roman" w:cs="Times New Roman" w:eastAsia="Times New Roman" w:hAnsi="Times New Roman"/>
                <w:sz w:val="12"/>
                <w:szCs w:val="12"/>
                <w:color w:val="auto"/>
                <w:vertAlign w:val="superscript"/>
              </w:rPr>
              <w:t>(7)</w:t>
            </w:r>
          </w:p>
        </w:tc>
        <w:tc>
          <w:tcPr>
            <w:tcW w:w="7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06/08/2023</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06/15/2029</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373</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(37)</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Sabel Systems Technology Solutions, LLC - Funded Revolver</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10/31/2024</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10/31/2030</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Government Services</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12.75%</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66</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66</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Sabel Systems Technology Solutions, LLC - Unfunded Revolver </w:t>
            </w:r>
            <w:r>
              <w:rPr>
                <w:rFonts w:ascii="Times New Roman" w:cs="Times New Roman" w:eastAsia="Times New Roman" w:hAnsi="Times New Roman"/>
                <w:sz w:val="12"/>
                <w:szCs w:val="12"/>
                <w:color w:val="auto"/>
                <w:vertAlign w:val="superscript"/>
              </w:rPr>
              <w:t>(7)</w:t>
            </w:r>
          </w:p>
        </w:tc>
        <w:tc>
          <w:tcPr>
            <w:tcW w:w="7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10/31/2024</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10/31/2030</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Government Services</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1,261</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Safe Haven Defense US, LLC</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05/23/2024</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05/23/2029</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9.50%</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SOFR+525</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3,919</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3,871</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3,899</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Safe Haven Defense US, LLC - Unfunded Revolver </w:t>
            </w:r>
            <w:r>
              <w:rPr>
                <w:rFonts w:ascii="Times New Roman" w:cs="Times New Roman" w:eastAsia="Times New Roman" w:hAnsi="Times New Roman"/>
                <w:sz w:val="12"/>
                <w:szCs w:val="12"/>
                <w:color w:val="auto"/>
                <w:vertAlign w:val="superscript"/>
              </w:rPr>
              <w:t>(7)</w:t>
            </w:r>
          </w:p>
        </w:tc>
        <w:tc>
          <w:tcPr>
            <w:tcW w:w="7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05/23/2024</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05/23/2029</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1,114</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Sales Benchmark Index, LLC - Funded Revolver</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05/29/2020</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07/07/2026</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9.20%</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SOFR+520</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244</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244</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244</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Sales Benchmark Index, LLC - Unfunded Revolver </w:t>
            </w:r>
            <w:r>
              <w:rPr>
                <w:rFonts w:ascii="Times New Roman" w:cs="Times New Roman" w:eastAsia="Times New Roman" w:hAnsi="Times New Roman"/>
                <w:sz w:val="12"/>
                <w:szCs w:val="12"/>
                <w:color w:val="auto"/>
                <w:vertAlign w:val="superscript"/>
              </w:rPr>
              <w:t>(7)</w:t>
            </w:r>
          </w:p>
        </w:tc>
        <w:tc>
          <w:tcPr>
            <w:tcW w:w="7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05/29/2020</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07/07/2026</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366</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Sath Industries, LLC</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12/17/2024</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12/17/2029</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Event Services</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9.54%</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11,389</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11,287</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11,389</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Sath Industries, LLC - Unfunded Revolver </w:t>
            </w:r>
            <w:r>
              <w:rPr>
                <w:rFonts w:ascii="Times New Roman" w:cs="Times New Roman" w:eastAsia="Times New Roman" w:hAnsi="Times New Roman"/>
                <w:sz w:val="12"/>
                <w:szCs w:val="12"/>
                <w:color w:val="auto"/>
                <w:vertAlign w:val="superscript"/>
              </w:rPr>
              <w:t>(7)</w:t>
            </w:r>
          </w:p>
        </w:tc>
        <w:tc>
          <w:tcPr>
            <w:tcW w:w="7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12/17/2024</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12/17/2029</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Event Services</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1,300</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Schlesinger Global, Inc.</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07/02/2019</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11/12/2025</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12.92%</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SOFR+860</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2,613</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2,605</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2,482</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700" w:type="dxa"/>
            <w:vAlign w:val="bottom"/>
            <w:shd w:val="clear" w:color="auto" w:fill="CCECFF"/>
          </w:tcPr>
          <w:p>
            <w:pPr>
              <w:spacing w:after="0"/>
              <w:rPr>
                <w:sz w:val="10"/>
                <w:szCs w:val="10"/>
                <w:color w:val="auto"/>
              </w:rPr>
            </w:pPr>
          </w:p>
        </w:tc>
        <w:tc>
          <w:tcPr>
            <w:tcW w:w="8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(PIK 5.85%)</w:t>
            </w:r>
          </w:p>
        </w:tc>
        <w:tc>
          <w:tcPr>
            <w:tcW w:w="88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Schlesinger Global, Inc. - Funded Revolver</w:t>
            </w:r>
          </w:p>
        </w:tc>
        <w:tc>
          <w:tcPr>
            <w:tcW w:w="7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6"/>
              </w:rPr>
              <w:t>07/02/2019</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11/12/2025</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12.92%</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SOFR+860</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34</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32</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(PIK 5.85%)</w:t>
            </w: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Schlesinger Global, Inc. - Unfunded Revolver </w:t>
            </w:r>
            <w:r>
              <w:rPr>
                <w:rFonts w:ascii="Times New Roman" w:cs="Times New Roman" w:eastAsia="Times New Roman" w:hAnsi="Times New Roman"/>
                <w:sz w:val="12"/>
                <w:szCs w:val="12"/>
                <w:color w:val="auto"/>
                <w:vertAlign w:val="superscript"/>
              </w:rPr>
              <w:t>(7)</w:t>
            </w:r>
          </w:p>
        </w:tc>
        <w:tc>
          <w:tcPr>
            <w:tcW w:w="7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6"/>
              </w:rPr>
              <w:t>07/02/2019</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11/12/2025</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9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0"/>
        </w:trPr>
        <w:tc>
          <w:tcPr>
            <w:tcW w:w="29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9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60" w:type="dxa"/>
            <w:vAlign w:val="bottom"/>
          </w:tcPr>
          <w:p>
            <w:pPr>
              <w:jc w:val="center"/>
              <w:ind w:left="212"/>
              <w:spacing w:after="0"/>
              <w:rPr>
                <w:sz w:val="20"/>
                <w:szCs w:val="20"/>
                <w:color w:val="auto"/>
              </w:rPr>
            </w:pPr>
            <w:r>
              <w:rPr>
                <w:rFonts w:ascii="Times New Roman" w:cs="Times New Roman" w:eastAsia="Times New Roman" w:hAnsi="Times New Roman"/>
                <w:sz w:val="10"/>
                <w:szCs w:val="10"/>
                <w:b w:val="1"/>
                <w:bCs w:val="1"/>
                <w:color w:val="auto"/>
                <w:w w:val="93"/>
              </w:rPr>
              <w:t>Acquisition</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80" w:type="dxa"/>
            <w:vAlign w:val="bottom"/>
          </w:tcPr>
          <w:p>
            <w:pPr>
              <w:jc w:val="center"/>
              <w:ind w:right="32"/>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(4)</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20" w:type="dxa"/>
            <w:vAlign w:val="bottom"/>
          </w:tcPr>
          <w:p>
            <w:pPr>
              <w:spacing w:after="0"/>
              <w:rPr>
                <w:sz w:val="10"/>
                <w:szCs w:val="10"/>
                <w:color w:val="auto"/>
              </w:rPr>
            </w:pPr>
          </w:p>
        </w:tc>
        <w:tc>
          <w:tcPr>
            <w:tcW w:w="56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0"/>
                <w:szCs w:val="10"/>
                <w:color w:val="auto"/>
              </w:rPr>
            </w:pPr>
          </w:p>
        </w:tc>
        <w:tc>
          <w:tcPr>
            <w:tcW w:w="780" w:type="dxa"/>
            <w:vAlign w:val="bottom"/>
          </w:tcPr>
          <w:p>
            <w:pPr>
              <w:jc w:val="right"/>
              <w:ind w:right="17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r>
      <w:tr>
        <w:trPr>
          <w:trHeight w:val="120"/>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Seacoast Service Partners NA, LLC</w:t>
            </w:r>
          </w:p>
        </w:tc>
        <w:tc>
          <w:tcPr>
            <w:tcW w:w="9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12/20/2024</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12/20/2029</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9.01%</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1,801</w:t>
            </w:r>
          </w:p>
        </w:tc>
        <w:tc>
          <w:tcPr>
            <w:tcW w:w="2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1,786</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1,727</w:t>
            </w:r>
          </w:p>
        </w:tc>
      </w:tr>
      <w:tr>
        <w:trPr>
          <w:trHeight w:val="120"/>
        </w:trPr>
        <w:tc>
          <w:tcPr>
            <w:tcW w:w="29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Seacoast Service Partners NA, LLC - Unfunded Term Loan </w:t>
            </w:r>
            <w:r>
              <w:rPr>
                <w:rFonts w:ascii="Times New Roman" w:cs="Times New Roman" w:eastAsia="Times New Roman" w:hAnsi="Times New Roman"/>
                <w:sz w:val="12"/>
                <w:szCs w:val="12"/>
                <w:color w:val="auto"/>
                <w:vertAlign w:val="superscript"/>
              </w:rPr>
              <w:t>(7)</w:t>
            </w:r>
          </w:p>
        </w:tc>
        <w:tc>
          <w:tcPr>
            <w:tcW w:w="9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12/20/2024</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12/21/2026</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3,608</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(116)</w:t>
            </w:r>
          </w:p>
        </w:tc>
      </w:tr>
      <w:tr>
        <w:trPr>
          <w:trHeight w:val="120"/>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Seacoast Service Partners NA, LLC - Funded Revolver</w:t>
            </w:r>
          </w:p>
        </w:tc>
        <w:tc>
          <w:tcPr>
            <w:tcW w:w="9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12/20/2024</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12/20/2029</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9.00%</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SOFR+500</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569</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569</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546</w:t>
            </w:r>
          </w:p>
        </w:tc>
      </w:tr>
      <w:tr>
        <w:trPr>
          <w:trHeight w:val="120"/>
        </w:trPr>
        <w:tc>
          <w:tcPr>
            <w:tcW w:w="29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Seacoast Service Partners NA, LLC - Unfunded Revolver </w:t>
            </w:r>
            <w:r>
              <w:rPr>
                <w:rFonts w:ascii="Times New Roman" w:cs="Times New Roman" w:eastAsia="Times New Roman" w:hAnsi="Times New Roman"/>
                <w:sz w:val="12"/>
                <w:szCs w:val="12"/>
                <w:color w:val="auto"/>
                <w:vertAlign w:val="superscript"/>
              </w:rPr>
              <w:t>(7)</w:t>
            </w:r>
          </w:p>
        </w:tc>
        <w:tc>
          <w:tcPr>
            <w:tcW w:w="9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12/20/2024</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12/20/2029</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786</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(32)</w:t>
            </w:r>
          </w:p>
        </w:tc>
      </w:tr>
      <w:tr>
        <w:trPr>
          <w:trHeight w:val="120"/>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Seaway Buyer, LLC</w:t>
            </w:r>
          </w:p>
        </w:tc>
        <w:tc>
          <w:tcPr>
            <w:tcW w:w="9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06/08/2022</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06/13/2029</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10.17%</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SOFR+615</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4,656</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4,611</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4,342</w:t>
            </w:r>
          </w:p>
        </w:tc>
      </w:tr>
      <w:tr>
        <w:trPr>
          <w:trHeight w:val="120"/>
        </w:trPr>
        <w:tc>
          <w:tcPr>
            <w:tcW w:w="2960" w:type="dxa"/>
            <w:vAlign w:val="bottom"/>
          </w:tcPr>
          <w:p>
            <w:pPr>
              <w:spacing w:after="0"/>
              <w:rPr>
                <w:sz w:val="20"/>
                <w:szCs w:val="20"/>
                <w:color w:val="auto"/>
              </w:rPr>
            </w:pPr>
            <w:r>
              <w:rPr>
                <w:rFonts w:ascii="Times New Roman" w:cs="Times New Roman" w:eastAsia="Times New Roman" w:hAnsi="Times New Roman"/>
                <w:sz w:val="10"/>
                <w:szCs w:val="10"/>
                <w:color w:val="auto"/>
              </w:rPr>
              <w:t>Seaway Buyer, LLC - Funded Revolver</w:t>
            </w:r>
          </w:p>
        </w:tc>
        <w:tc>
          <w:tcPr>
            <w:tcW w:w="9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06/08/2022</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06/13/2028</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10.19%</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SOFR+615</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2,605</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2,605</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2,429</w:t>
            </w:r>
          </w:p>
        </w:tc>
      </w:tr>
      <w:tr>
        <w:trPr>
          <w:trHeight w:val="120"/>
        </w:trPr>
        <w:tc>
          <w:tcPr>
            <w:tcW w:w="29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Seaway Buyer, LLC - Unfunded Revolver </w:t>
            </w:r>
            <w:r>
              <w:rPr>
                <w:rFonts w:ascii="Times New Roman" w:cs="Times New Roman" w:eastAsia="Times New Roman" w:hAnsi="Times New Roman"/>
                <w:sz w:val="12"/>
                <w:szCs w:val="12"/>
                <w:color w:val="auto"/>
                <w:vertAlign w:val="superscript"/>
              </w:rPr>
              <w:t>(7)</w:t>
            </w:r>
          </w:p>
        </w:tc>
        <w:tc>
          <w:tcPr>
            <w:tcW w:w="9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06/08/2022</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06/13/2028</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521</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(35)</w:t>
            </w:r>
          </w:p>
        </w:tc>
      </w:tr>
      <w:tr>
        <w:trPr>
          <w:trHeight w:val="120"/>
        </w:trPr>
        <w:tc>
          <w:tcPr>
            <w:tcW w:w="2960" w:type="dxa"/>
            <w:vAlign w:val="bottom"/>
          </w:tcPr>
          <w:p>
            <w:pPr>
              <w:spacing w:after="0"/>
              <w:rPr>
                <w:sz w:val="20"/>
                <w:szCs w:val="20"/>
                <w:color w:val="auto"/>
              </w:rPr>
            </w:pPr>
            <w:r>
              <w:rPr>
                <w:rFonts w:ascii="Times New Roman" w:cs="Times New Roman" w:eastAsia="Times New Roman" w:hAnsi="Times New Roman"/>
                <w:sz w:val="10"/>
                <w:szCs w:val="10"/>
                <w:color w:val="auto"/>
              </w:rPr>
              <w:t>Shiftkey, LLC</w:t>
            </w:r>
          </w:p>
        </w:tc>
        <w:tc>
          <w:tcPr>
            <w:tcW w:w="9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06/17/2022</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06/21/2027</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10.01%</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SOFR+601</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16,593</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16,515</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15,913</w:t>
            </w:r>
          </w:p>
        </w:tc>
      </w:tr>
      <w:tr>
        <w:trPr>
          <w:trHeight w:val="120"/>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Sigma Defense Systems, LLC</w:t>
            </w:r>
          </w:p>
        </w:tc>
        <w:tc>
          <w:tcPr>
            <w:tcW w:w="9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11/30/2021</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12/20/2027</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10.31%</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SOFR+615</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10,450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10,209</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10,450</w:t>
            </w:r>
          </w:p>
        </w:tc>
      </w:tr>
      <w:tr>
        <w:trPr>
          <w:trHeight w:val="120"/>
        </w:trPr>
        <w:tc>
          <w:tcPr>
            <w:tcW w:w="2960" w:type="dxa"/>
            <w:vAlign w:val="bottom"/>
          </w:tcPr>
          <w:p>
            <w:pPr>
              <w:spacing w:after="0"/>
              <w:rPr>
                <w:sz w:val="20"/>
                <w:szCs w:val="20"/>
                <w:color w:val="auto"/>
              </w:rPr>
            </w:pPr>
            <w:r>
              <w:rPr>
                <w:rFonts w:ascii="Times New Roman" w:cs="Times New Roman" w:eastAsia="Times New Roman" w:hAnsi="Times New Roman"/>
                <w:sz w:val="10"/>
                <w:szCs w:val="10"/>
                <w:color w:val="auto"/>
              </w:rPr>
              <w:t>Sigma Defense Systems, LLC - Funded Revolver</w:t>
            </w:r>
          </w:p>
        </w:tc>
        <w:tc>
          <w:tcPr>
            <w:tcW w:w="9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11/30/2021</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12/20/2027</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10.90%</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SOFR+690</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850</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850</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850</w:t>
            </w:r>
          </w:p>
        </w:tc>
      </w:tr>
      <w:tr>
        <w:trPr>
          <w:trHeight w:val="120"/>
        </w:trPr>
        <w:tc>
          <w:tcPr>
            <w:tcW w:w="29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Sigma Defense Systems, LLC - Unfunded Revolver </w:t>
            </w:r>
            <w:r>
              <w:rPr>
                <w:rFonts w:ascii="Times New Roman" w:cs="Times New Roman" w:eastAsia="Times New Roman" w:hAnsi="Times New Roman"/>
                <w:sz w:val="12"/>
                <w:szCs w:val="12"/>
                <w:color w:val="auto"/>
                <w:vertAlign w:val="superscript"/>
              </w:rPr>
              <w:t>(7)</w:t>
            </w:r>
          </w:p>
        </w:tc>
        <w:tc>
          <w:tcPr>
            <w:tcW w:w="9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11/30/2021</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12/20/2027</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2,835</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960" w:type="dxa"/>
            <w:vAlign w:val="bottom"/>
          </w:tcPr>
          <w:p>
            <w:pPr>
              <w:spacing w:after="0"/>
              <w:rPr>
                <w:sz w:val="20"/>
                <w:szCs w:val="20"/>
                <w:color w:val="auto"/>
              </w:rPr>
            </w:pPr>
            <w:r>
              <w:rPr>
                <w:rFonts w:ascii="Times New Roman" w:cs="Times New Roman" w:eastAsia="Times New Roman" w:hAnsi="Times New Roman"/>
                <w:sz w:val="10"/>
                <w:szCs w:val="10"/>
                <w:color w:val="auto"/>
              </w:rPr>
              <w:t>Spendmend Holdings, LLC</w:t>
            </w:r>
          </w:p>
        </w:tc>
        <w:tc>
          <w:tcPr>
            <w:tcW w:w="9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02/25/2022</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03/01/2028</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9.15%</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SOFR+515</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1,192</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1,186</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1,192</w:t>
            </w:r>
          </w:p>
        </w:tc>
      </w:tr>
      <w:tr>
        <w:trPr>
          <w:trHeight w:val="120"/>
        </w:trPr>
        <w:tc>
          <w:tcPr>
            <w:tcW w:w="29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Spendmend Holdings, LLC - Unfunded Term Loan </w:t>
            </w:r>
            <w:r>
              <w:rPr>
                <w:rFonts w:ascii="Times New Roman" w:cs="Times New Roman" w:eastAsia="Times New Roman" w:hAnsi="Times New Roman"/>
                <w:sz w:val="12"/>
                <w:szCs w:val="12"/>
                <w:color w:val="auto"/>
                <w:vertAlign w:val="superscript"/>
              </w:rPr>
              <w:t>(7)</w:t>
            </w:r>
          </w:p>
        </w:tc>
        <w:tc>
          <w:tcPr>
            <w:tcW w:w="9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02/25/2022</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11/25/2026</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1,434</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w:t>
            </w:r>
          </w:p>
        </w:tc>
      </w:tr>
      <w:tr>
        <w:trPr>
          <w:trHeight w:val="120"/>
        </w:trPr>
        <w:tc>
          <w:tcPr>
            <w:tcW w:w="2960" w:type="dxa"/>
            <w:vAlign w:val="bottom"/>
          </w:tcPr>
          <w:p>
            <w:pPr>
              <w:spacing w:after="0"/>
              <w:rPr>
                <w:sz w:val="20"/>
                <w:szCs w:val="20"/>
                <w:color w:val="auto"/>
              </w:rPr>
            </w:pPr>
            <w:r>
              <w:rPr>
                <w:rFonts w:ascii="Times New Roman" w:cs="Times New Roman" w:eastAsia="Times New Roman" w:hAnsi="Times New Roman"/>
                <w:sz w:val="10"/>
                <w:szCs w:val="10"/>
                <w:color w:val="auto"/>
              </w:rPr>
              <w:t>Spendmend Holdings, LLC - Funded Revolver</w:t>
            </w:r>
          </w:p>
        </w:tc>
        <w:tc>
          <w:tcPr>
            <w:tcW w:w="9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02/25/2022</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03/01/2028</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9.15%</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SOFR+515</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234</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234</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234</w:t>
            </w:r>
          </w:p>
        </w:tc>
      </w:tr>
      <w:tr>
        <w:trPr>
          <w:trHeight w:val="120"/>
        </w:trPr>
        <w:tc>
          <w:tcPr>
            <w:tcW w:w="29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Spendmend Holdings, LLC - Unfunded Revolver </w:t>
            </w:r>
            <w:r>
              <w:rPr>
                <w:rFonts w:ascii="Times New Roman" w:cs="Times New Roman" w:eastAsia="Times New Roman" w:hAnsi="Times New Roman"/>
                <w:sz w:val="12"/>
                <w:szCs w:val="12"/>
                <w:color w:val="auto"/>
                <w:vertAlign w:val="superscript"/>
              </w:rPr>
              <w:t>(7)</w:t>
            </w:r>
          </w:p>
        </w:tc>
        <w:tc>
          <w:tcPr>
            <w:tcW w:w="9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02/25/2022</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03/01/2028</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1,168</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2960" w:type="dxa"/>
            <w:vAlign w:val="bottom"/>
          </w:tcPr>
          <w:p>
            <w:pPr>
              <w:spacing w:after="0"/>
              <w:rPr>
                <w:sz w:val="20"/>
                <w:szCs w:val="20"/>
                <w:color w:val="auto"/>
              </w:rPr>
            </w:pPr>
            <w:r>
              <w:rPr>
                <w:rFonts w:ascii="Times New Roman" w:cs="Times New Roman" w:eastAsia="Times New Roman" w:hAnsi="Times New Roman"/>
                <w:sz w:val="10"/>
                <w:szCs w:val="10"/>
                <w:color w:val="auto"/>
              </w:rPr>
              <w:t>STG Distribution, LLC - First Out New Money Term Loans</w:t>
            </w:r>
          </w:p>
        </w:tc>
        <w:tc>
          <w:tcPr>
            <w:tcW w:w="9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10/03/2024</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10/03/2029</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12.57%</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SOFR+835</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4,330</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4,131</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3,854</w:t>
            </w:r>
          </w:p>
        </w:tc>
      </w:tr>
      <w:tr>
        <w:trPr>
          <w:trHeight w:val="120"/>
        </w:trPr>
        <w:tc>
          <w:tcPr>
            <w:tcW w:w="29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(PIK 7.25%)</w:t>
            </w: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96"/>
        </w:trPr>
        <w:tc>
          <w:tcPr>
            <w:tcW w:w="29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STG Distribution, LLC - Second Out Term Loans </w:t>
            </w:r>
            <w:r>
              <w:rPr>
                <w:rFonts w:ascii="Times New Roman" w:cs="Times New Roman" w:eastAsia="Times New Roman" w:hAnsi="Times New Roman"/>
                <w:sz w:val="12"/>
                <w:szCs w:val="12"/>
                <w:color w:val="auto"/>
                <w:vertAlign w:val="superscript"/>
              </w:rPr>
              <w:t>(13)</w:t>
            </w:r>
          </w:p>
        </w:tc>
        <w:tc>
          <w:tcPr>
            <w:tcW w:w="960" w:type="dxa"/>
            <w:vAlign w:val="bottom"/>
            <w:tcBorders>
              <w:bottom w:val="single" w:sz="8" w:color="CCECFF"/>
            </w:tcBorders>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10/03/2024</w:t>
            </w:r>
          </w:p>
        </w:tc>
        <w:tc>
          <w:tcPr>
            <w:tcW w:w="7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10/03/2029</w:t>
            </w:r>
          </w:p>
        </w:tc>
        <w:tc>
          <w:tcPr>
            <w:tcW w:w="17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82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5.32%</w:t>
            </w:r>
          </w:p>
        </w:tc>
        <w:tc>
          <w:tcPr>
            <w:tcW w:w="880" w:type="dxa"/>
            <w:vAlign w:val="bottom"/>
            <w:tcBorders>
              <w:bottom w:val="single" w:sz="8" w:color="CCECFF"/>
            </w:tcBorders>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Borders>
              <w:bottom w:val="single" w:sz="8" w:color="CCECFF"/>
            </w:tcBorders>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10,012</w:t>
            </w:r>
          </w:p>
        </w:tc>
        <w:tc>
          <w:tcPr>
            <w:tcW w:w="220" w:type="dxa"/>
            <w:vAlign w:val="bottom"/>
            <w:tcBorders>
              <w:bottom w:val="single" w:sz="8" w:color="CCECFF"/>
            </w:tcBorders>
            <w:shd w:val="clear" w:color="auto" w:fill="CCECFF"/>
          </w:tcPr>
          <w:p>
            <w:pPr>
              <w:spacing w:after="0"/>
              <w:rPr>
                <w:sz w:val="17"/>
                <w:szCs w:val="17"/>
                <w:color w:val="auto"/>
              </w:rPr>
            </w:pPr>
          </w:p>
        </w:tc>
        <w:tc>
          <w:tcPr>
            <w:tcW w:w="56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5,656</w:t>
            </w:r>
          </w:p>
        </w:tc>
        <w:tc>
          <w:tcPr>
            <w:tcW w:w="180" w:type="dxa"/>
            <w:vAlign w:val="bottom"/>
            <w:tcBorders>
              <w:bottom w:val="single" w:sz="8" w:color="CCECFF"/>
            </w:tcBorders>
            <w:shd w:val="clear" w:color="auto" w:fill="CCECFF"/>
          </w:tcPr>
          <w:p>
            <w:pPr>
              <w:spacing w:after="0"/>
              <w:rPr>
                <w:sz w:val="17"/>
                <w:szCs w:val="17"/>
                <w:color w:val="auto"/>
              </w:rPr>
            </w:pPr>
          </w:p>
        </w:tc>
        <w:tc>
          <w:tcPr>
            <w:tcW w:w="780" w:type="dxa"/>
            <w:vAlign w:val="bottom"/>
            <w:tcBorders>
              <w:bottom w:val="single" w:sz="8" w:color="CCECFF"/>
            </w:tcBorders>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801</w:t>
            </w:r>
          </w:p>
        </w:tc>
      </w:tr>
      <w:tr>
        <w:trPr>
          <w:trHeight w:val="120"/>
        </w:trPr>
        <w:tc>
          <w:tcPr>
            <w:tcW w:w="29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SV-Aero Holdings, LLC - Unfunded Term Loan </w:t>
            </w:r>
            <w:r>
              <w:rPr>
                <w:rFonts w:ascii="Times New Roman" w:cs="Times New Roman" w:eastAsia="Times New Roman" w:hAnsi="Times New Roman"/>
                <w:sz w:val="12"/>
                <w:szCs w:val="12"/>
                <w:color w:val="auto"/>
                <w:vertAlign w:val="superscript"/>
              </w:rPr>
              <w:t>(7)</w:t>
            </w:r>
          </w:p>
        </w:tc>
        <w:tc>
          <w:tcPr>
            <w:tcW w:w="9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10/31/2024</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11/02/2026</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3,562</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w:t>
            </w:r>
          </w:p>
        </w:tc>
      </w:tr>
      <w:tr>
        <w:trPr>
          <w:trHeight w:val="120"/>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System Planning and Analysis, Inc.</w:t>
            </w:r>
          </w:p>
        </w:tc>
        <w:tc>
          <w:tcPr>
            <w:tcW w:w="9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10/12/2021</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08/16/2027</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9.05%</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SOFR+475</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9,468</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9,415</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9,392</w:t>
            </w:r>
          </w:p>
        </w:tc>
      </w:tr>
      <w:tr>
        <w:trPr>
          <w:trHeight w:val="120"/>
        </w:trPr>
        <w:tc>
          <w:tcPr>
            <w:tcW w:w="29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System Planning and Analysis, Inc. - Unfunded Term Loan </w:t>
            </w:r>
            <w:r>
              <w:rPr>
                <w:rFonts w:ascii="Times New Roman" w:cs="Times New Roman" w:eastAsia="Times New Roman" w:hAnsi="Times New Roman"/>
                <w:sz w:val="12"/>
                <w:szCs w:val="12"/>
                <w:color w:val="auto"/>
                <w:vertAlign w:val="superscript"/>
              </w:rPr>
              <w:t>(7)</w:t>
            </w:r>
          </w:p>
        </w:tc>
        <w:tc>
          <w:tcPr>
            <w:tcW w:w="9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10/12/2021</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06/12/2027</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589</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w:t>
            </w:r>
          </w:p>
        </w:tc>
      </w:tr>
      <w:tr>
        <w:trPr>
          <w:trHeight w:val="120"/>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System Planning and Analysis, Inc. - Funded Revolver</w:t>
            </w:r>
          </w:p>
        </w:tc>
        <w:tc>
          <w:tcPr>
            <w:tcW w:w="9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10/12/2021</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08/16/2027</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9.06%</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SOFR+475</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437</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437</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433</w:t>
            </w:r>
          </w:p>
        </w:tc>
      </w:tr>
      <w:tr>
        <w:trPr>
          <w:trHeight w:val="120"/>
        </w:trPr>
        <w:tc>
          <w:tcPr>
            <w:tcW w:w="29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System Planning and Analysis, Inc. - Unfunded Revolver </w:t>
            </w:r>
            <w:r>
              <w:rPr>
                <w:rFonts w:ascii="Times New Roman" w:cs="Times New Roman" w:eastAsia="Times New Roman" w:hAnsi="Times New Roman"/>
                <w:sz w:val="12"/>
                <w:szCs w:val="12"/>
                <w:color w:val="auto"/>
                <w:vertAlign w:val="superscript"/>
              </w:rPr>
              <w:t>(7)</w:t>
            </w:r>
          </w:p>
        </w:tc>
        <w:tc>
          <w:tcPr>
            <w:tcW w:w="9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10/12/2021</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08/16/2027</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4,279</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(34)</w:t>
            </w:r>
          </w:p>
        </w:tc>
      </w:tr>
      <w:tr>
        <w:trPr>
          <w:trHeight w:val="120"/>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TCG 3.0 Jogger Acquisitionco, Inc.</w:t>
            </w:r>
          </w:p>
        </w:tc>
        <w:tc>
          <w:tcPr>
            <w:tcW w:w="9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01/23/2024</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01/23/2029</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10.52%</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SOFR+650</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8,865</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8,753</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8,821</w:t>
            </w:r>
          </w:p>
        </w:tc>
      </w:tr>
      <w:tr>
        <w:trPr>
          <w:trHeight w:val="120"/>
        </w:trPr>
        <w:tc>
          <w:tcPr>
            <w:tcW w:w="2960" w:type="dxa"/>
            <w:vAlign w:val="bottom"/>
          </w:tcPr>
          <w:p>
            <w:pPr>
              <w:spacing w:after="0"/>
              <w:rPr>
                <w:sz w:val="20"/>
                <w:szCs w:val="20"/>
                <w:color w:val="auto"/>
              </w:rPr>
            </w:pPr>
            <w:r>
              <w:rPr>
                <w:rFonts w:ascii="Times New Roman" w:cs="Times New Roman" w:eastAsia="Times New Roman" w:hAnsi="Times New Roman"/>
                <w:sz w:val="10"/>
                <w:szCs w:val="10"/>
                <w:color w:val="auto"/>
              </w:rPr>
              <w:t>TCG 3.0 Jogger Acquisitionco, Inc. - Funded Revolver</w:t>
            </w:r>
          </w:p>
        </w:tc>
        <w:tc>
          <w:tcPr>
            <w:tcW w:w="9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01/23/2024</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01/23/2029</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12.75%</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310</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310</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309</w:t>
            </w:r>
          </w:p>
        </w:tc>
      </w:tr>
      <w:tr>
        <w:trPr>
          <w:trHeight w:val="120"/>
        </w:trPr>
        <w:tc>
          <w:tcPr>
            <w:tcW w:w="29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TCG 3.0 Jogger Acquisitionco, Inc. - Unfunded Revolver </w:t>
            </w:r>
            <w:r>
              <w:rPr>
                <w:rFonts w:ascii="Times New Roman" w:cs="Times New Roman" w:eastAsia="Times New Roman" w:hAnsi="Times New Roman"/>
                <w:sz w:val="12"/>
                <w:szCs w:val="12"/>
                <w:color w:val="auto"/>
                <w:vertAlign w:val="superscript"/>
              </w:rPr>
              <w:t>(7)</w:t>
            </w:r>
          </w:p>
        </w:tc>
        <w:tc>
          <w:tcPr>
            <w:tcW w:w="9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01/23/2024</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01/23/2029</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1,414</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(7)</w:t>
            </w:r>
          </w:p>
        </w:tc>
      </w:tr>
      <w:tr>
        <w:trPr>
          <w:trHeight w:val="120"/>
        </w:trPr>
        <w:tc>
          <w:tcPr>
            <w:tcW w:w="29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The Bluebird Group, LLC - Unfunded Revolver </w:t>
            </w:r>
            <w:r>
              <w:rPr>
                <w:rFonts w:ascii="Times New Roman" w:cs="Times New Roman" w:eastAsia="Times New Roman" w:hAnsi="Times New Roman"/>
                <w:sz w:val="12"/>
                <w:szCs w:val="12"/>
                <w:color w:val="auto"/>
                <w:vertAlign w:val="superscript"/>
              </w:rPr>
              <w:t>(7)</w:t>
            </w:r>
          </w:p>
        </w:tc>
        <w:tc>
          <w:tcPr>
            <w:tcW w:w="9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07/22/2021</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07/28/2026</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734</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The Vertex Companies, LLC</w:t>
            </w:r>
          </w:p>
        </w:tc>
        <w:tc>
          <w:tcPr>
            <w:tcW w:w="9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08/25/2021</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08/31/2028</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8.88%</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SOFR+485</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6,638</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6,587</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6,608</w:t>
            </w:r>
          </w:p>
        </w:tc>
      </w:tr>
      <w:tr>
        <w:trPr>
          <w:trHeight w:val="144"/>
        </w:trPr>
        <w:tc>
          <w:tcPr>
            <w:tcW w:w="2960" w:type="dxa"/>
            <w:vAlign w:val="bottom"/>
          </w:tcPr>
          <w:p>
            <w:pPr>
              <w:spacing w:after="0"/>
              <w:rPr>
                <w:sz w:val="20"/>
                <w:szCs w:val="20"/>
                <w:color w:val="auto"/>
              </w:rPr>
            </w:pPr>
            <w:r>
              <w:rPr>
                <w:rFonts w:ascii="Times New Roman" w:cs="Times New Roman" w:eastAsia="Times New Roman" w:hAnsi="Times New Roman"/>
                <w:sz w:val="10"/>
                <w:szCs w:val="10"/>
                <w:color w:val="auto"/>
              </w:rPr>
              <w:t>The Vertex Companies, LLC - Funded Revolver</w:t>
            </w:r>
          </w:p>
        </w:tc>
        <w:tc>
          <w:tcPr>
            <w:tcW w:w="9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08/25/2021</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08/31/2028</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9.01%</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SOFR+485</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1,455</w:t>
            </w:r>
          </w:p>
        </w:tc>
        <w:tc>
          <w:tcPr>
            <w:tcW w:w="220" w:type="dxa"/>
            <w:vAlign w:val="bottom"/>
          </w:tcPr>
          <w:p>
            <w:pPr>
              <w:spacing w:after="0"/>
              <w:rPr>
                <w:sz w:val="12"/>
                <w:szCs w:val="12"/>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1,455</w:t>
            </w:r>
          </w:p>
        </w:tc>
        <w:tc>
          <w:tcPr>
            <w:tcW w:w="180" w:type="dxa"/>
            <w:vAlign w:val="bottom"/>
          </w:tcPr>
          <w:p>
            <w:pPr>
              <w:spacing w:after="0"/>
              <w:rPr>
                <w:sz w:val="12"/>
                <w:szCs w:val="12"/>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1,448</w:t>
            </w:r>
          </w:p>
        </w:tc>
      </w:tr>
      <w:tr>
        <w:trPr>
          <w:trHeight w:val="120"/>
        </w:trPr>
        <w:tc>
          <w:tcPr>
            <w:tcW w:w="29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The Vertex Companies, LLC - Unfunded Revolver </w:t>
            </w:r>
            <w:r>
              <w:rPr>
                <w:rFonts w:ascii="Times New Roman" w:cs="Times New Roman" w:eastAsia="Times New Roman" w:hAnsi="Times New Roman"/>
                <w:sz w:val="12"/>
                <w:szCs w:val="12"/>
                <w:color w:val="auto"/>
                <w:vertAlign w:val="superscript"/>
              </w:rPr>
              <w:t>(7)</w:t>
            </w:r>
          </w:p>
        </w:tc>
        <w:tc>
          <w:tcPr>
            <w:tcW w:w="9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08/25/2021</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08/31/2028</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2,513</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(13)</w:t>
            </w:r>
          </w:p>
        </w:tc>
      </w:tr>
      <w:tr>
        <w:trPr>
          <w:trHeight w:val="121"/>
        </w:trPr>
        <w:tc>
          <w:tcPr>
            <w:tcW w:w="29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w:t>
            </w: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0"/>
        </w:trPr>
        <w:tc>
          <w:tcPr>
            <w:tcW w:w="29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TMII Enterprises, LLC - Unfunded Revolver </w:t>
            </w:r>
            <w:r>
              <w:rPr>
                <w:rFonts w:ascii="Times New Roman" w:cs="Times New Roman" w:eastAsia="Times New Roman" w:hAnsi="Times New Roman"/>
                <w:sz w:val="12"/>
                <w:szCs w:val="12"/>
                <w:color w:val="auto"/>
                <w:vertAlign w:val="superscript"/>
              </w:rPr>
              <w:t>(7)</w:t>
            </w:r>
          </w:p>
        </w:tc>
        <w:tc>
          <w:tcPr>
            <w:tcW w:w="9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12/19/2022</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12/22/2028</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Services</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2,532</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9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TransGo, LLC - Unfunded Revolver </w:t>
            </w:r>
            <w:r>
              <w:rPr>
                <w:rFonts w:ascii="Times New Roman" w:cs="Times New Roman" w:eastAsia="Times New Roman" w:hAnsi="Times New Roman"/>
                <w:sz w:val="12"/>
                <w:szCs w:val="12"/>
                <w:color w:val="auto"/>
                <w:vertAlign w:val="superscript"/>
              </w:rPr>
              <w:t>(7)</w:t>
            </w:r>
          </w:p>
        </w:tc>
        <w:tc>
          <w:tcPr>
            <w:tcW w:w="9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12/29/2023</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12/29/2028</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Machinery</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2,775</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w:t>
            </w:r>
          </w:p>
        </w:tc>
      </w:tr>
      <w:tr>
        <w:trPr>
          <w:trHeight w:val="120"/>
        </w:trPr>
        <w:tc>
          <w:tcPr>
            <w:tcW w:w="29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Urology Management Holdings, Inc. - Unfunded Term Loan </w:t>
            </w:r>
            <w:r>
              <w:rPr>
                <w:rFonts w:ascii="Times New Roman" w:cs="Times New Roman" w:eastAsia="Times New Roman" w:hAnsi="Times New Roman"/>
                <w:sz w:val="12"/>
                <w:szCs w:val="12"/>
                <w:color w:val="auto"/>
                <w:vertAlign w:val="superscript"/>
              </w:rPr>
              <w:t>(7)</w:t>
            </w:r>
          </w:p>
        </w:tc>
        <w:tc>
          <w:tcPr>
            <w:tcW w:w="9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09/03/2024</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09/03/2026</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1,000</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w:t>
            </w:r>
          </w:p>
        </w:tc>
      </w:tr>
      <w:tr>
        <w:trPr>
          <w:trHeight w:val="120"/>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US Fertility Enterprises, LLC</w:t>
            </w:r>
          </w:p>
        </w:tc>
        <w:tc>
          <w:tcPr>
            <w:tcW w:w="9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10/07/2024</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10/11/2031</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8.81%</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SOFR+450</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263</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263</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263</w:t>
            </w:r>
          </w:p>
        </w:tc>
      </w:tr>
      <w:tr>
        <w:trPr>
          <w:trHeight w:val="120"/>
        </w:trPr>
        <w:tc>
          <w:tcPr>
            <w:tcW w:w="2960" w:type="dxa"/>
            <w:vAlign w:val="bottom"/>
          </w:tcPr>
          <w:p>
            <w:pPr>
              <w:spacing w:after="0"/>
              <w:rPr>
                <w:sz w:val="20"/>
                <w:szCs w:val="20"/>
                <w:color w:val="auto"/>
              </w:rPr>
            </w:pPr>
            <w:r>
              <w:rPr>
                <w:rFonts w:ascii="Times New Roman" w:cs="Times New Roman" w:eastAsia="Times New Roman" w:hAnsi="Times New Roman"/>
                <w:sz w:val="10"/>
                <w:szCs w:val="10"/>
                <w:color w:val="auto"/>
              </w:rPr>
              <w:t>Walker Edison Furniture Company, LLC - New Money DIP</w:t>
            </w:r>
          </w:p>
        </w:tc>
        <w:tc>
          <w:tcPr>
            <w:tcW w:w="9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03/01/2023</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03/01/2029</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10.00%</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297</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297</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303</w:t>
            </w:r>
          </w:p>
        </w:tc>
      </w:tr>
      <w:tr>
        <w:trPr>
          <w:trHeight w:val="120"/>
        </w:trPr>
        <w:tc>
          <w:tcPr>
            <w:tcW w:w="29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 Unfunded Term Loan </w:t>
            </w:r>
            <w:r>
              <w:rPr>
                <w:rFonts w:ascii="Times New Roman" w:cs="Times New Roman" w:eastAsia="Times New Roman" w:hAnsi="Times New Roman"/>
                <w:sz w:val="12"/>
                <w:szCs w:val="12"/>
                <w:color w:val="auto"/>
                <w:vertAlign w:val="superscript"/>
              </w:rPr>
              <w:t>(7)</w:t>
            </w:r>
          </w:p>
        </w:tc>
        <w:tc>
          <w:tcPr>
            <w:tcW w:w="9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03/01/2023</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03/01/2029</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786</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27</w:t>
            </w:r>
          </w:p>
        </w:tc>
      </w:tr>
      <w:tr>
        <w:trPr>
          <w:trHeight w:val="120"/>
        </w:trPr>
        <w:tc>
          <w:tcPr>
            <w:tcW w:w="2960" w:type="dxa"/>
            <w:vAlign w:val="bottom"/>
          </w:tcPr>
          <w:p>
            <w:pPr>
              <w:spacing w:after="0"/>
              <w:rPr>
                <w:sz w:val="20"/>
                <w:szCs w:val="20"/>
                <w:color w:val="auto"/>
              </w:rPr>
            </w:pPr>
            <w:r>
              <w:rPr>
                <w:rFonts w:ascii="Times New Roman" w:cs="Times New Roman" w:eastAsia="Times New Roman" w:hAnsi="Times New Roman"/>
                <w:sz w:val="10"/>
                <w:szCs w:val="10"/>
                <w:color w:val="auto"/>
              </w:rPr>
              <w:t>Wash &amp; Wax Systems, LLC</w:t>
            </w:r>
          </w:p>
        </w:tc>
        <w:tc>
          <w:tcPr>
            <w:tcW w:w="9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10/20/2021</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04/30/2028</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PIK 9.78%</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1,206</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1,227</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1,231</w:t>
            </w:r>
          </w:p>
        </w:tc>
      </w:tr>
      <w:tr>
        <w:trPr>
          <w:trHeight w:val="120"/>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Wash &amp; Wax Systems, LLC - Funded Revolver</w:t>
            </w:r>
          </w:p>
        </w:tc>
        <w:tc>
          <w:tcPr>
            <w:tcW w:w="9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10/20/2021</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04/30/2028</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9.78%</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w:t>
            </w:r>
          </w:p>
        </w:tc>
      </w:tr>
      <w:tr>
        <w:trPr>
          <w:trHeight w:val="120"/>
        </w:trPr>
        <w:tc>
          <w:tcPr>
            <w:tcW w:w="29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Wash &amp; Wax Systems, LLC - Unfunded Revolver </w:t>
            </w:r>
            <w:r>
              <w:rPr>
                <w:rFonts w:ascii="Times New Roman" w:cs="Times New Roman" w:eastAsia="Times New Roman" w:hAnsi="Times New Roman"/>
                <w:sz w:val="12"/>
                <w:szCs w:val="12"/>
                <w:color w:val="auto"/>
                <w:vertAlign w:val="superscript"/>
              </w:rPr>
              <w:t>(7)</w:t>
            </w:r>
          </w:p>
        </w:tc>
        <w:tc>
          <w:tcPr>
            <w:tcW w:w="9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10/20/2021</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04/30/2028</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617</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9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Watchtower Buyer, LLC. - Unfunded Revolver </w:t>
            </w:r>
            <w:r>
              <w:rPr>
                <w:rFonts w:ascii="Times New Roman" w:cs="Times New Roman" w:eastAsia="Times New Roman" w:hAnsi="Times New Roman"/>
                <w:sz w:val="12"/>
                <w:szCs w:val="12"/>
                <w:color w:val="auto"/>
                <w:vertAlign w:val="superscript"/>
              </w:rPr>
              <w:t>(7)</w:t>
            </w:r>
          </w:p>
        </w:tc>
        <w:tc>
          <w:tcPr>
            <w:tcW w:w="9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11/29/2023</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12/03/2029</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6,300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(63)</w:t>
            </w:r>
          </w:p>
        </w:tc>
      </w:tr>
      <w:tr>
        <w:trPr>
          <w:trHeight w:val="120"/>
        </w:trPr>
        <w:tc>
          <w:tcPr>
            <w:tcW w:w="29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537,235</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517,648</w:t>
            </w:r>
          </w:p>
        </w:tc>
      </w:tr>
      <w:tr>
        <w:trPr>
          <w:trHeight w:val="120"/>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Second Lien Secured Debt - 3.9% of Net Assets</w:t>
            </w:r>
          </w:p>
        </w:tc>
        <w:tc>
          <w:tcPr>
            <w:tcW w:w="9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70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r>
      <w:tr>
        <w:trPr>
          <w:trHeight w:val="120"/>
        </w:trPr>
        <w:tc>
          <w:tcPr>
            <w:tcW w:w="2960" w:type="dxa"/>
            <w:vAlign w:val="bottom"/>
          </w:tcPr>
          <w:p>
            <w:pPr>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9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07/26/2022</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07/28/2030</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13.41%</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SOFR+910</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8,000</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7,741</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8,000</w:t>
            </w:r>
          </w:p>
        </w:tc>
      </w:tr>
      <w:tr>
        <w:trPr>
          <w:trHeight w:val="120"/>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ENC Parent Corporation</w:t>
            </w:r>
          </w:p>
        </w:tc>
        <w:tc>
          <w:tcPr>
            <w:tcW w:w="96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08/06/2021</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08/19/2029</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11.76%</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SOFR+776</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7,500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7,453</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6,750</w:t>
            </w:r>
          </w:p>
        </w:tc>
      </w:tr>
      <w:tr>
        <w:trPr>
          <w:trHeight w:val="120"/>
        </w:trPr>
        <w:tc>
          <w:tcPr>
            <w:tcW w:w="2960" w:type="dxa"/>
            <w:vAlign w:val="bottom"/>
          </w:tcPr>
          <w:p>
            <w:pPr>
              <w:spacing w:after="0"/>
              <w:rPr>
                <w:sz w:val="20"/>
                <w:szCs w:val="20"/>
                <w:color w:val="auto"/>
              </w:rPr>
            </w:pPr>
            <w:r>
              <w:rPr>
                <w:rFonts w:ascii="Times New Roman" w:cs="Times New Roman" w:eastAsia="Times New Roman" w:hAnsi="Times New Roman"/>
                <w:sz w:val="10"/>
                <w:szCs w:val="10"/>
                <w:color w:val="auto"/>
              </w:rPr>
              <w:t>TEAM Services Group, LLC</w:t>
            </w:r>
          </w:p>
        </w:tc>
        <w:tc>
          <w:tcPr>
            <w:tcW w:w="96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04/26/2024</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12/18/2028</w:t>
            </w: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13.57%</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SOFR+926</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3,429</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3,425</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3,411</w:t>
            </w:r>
          </w:p>
        </w:tc>
      </w:tr>
      <w:tr>
        <w:trPr>
          <w:trHeight w:val="120"/>
        </w:trPr>
        <w:tc>
          <w:tcPr>
            <w:tcW w:w="29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Second Lien Secured Debt</w:t>
            </w:r>
          </w:p>
        </w:tc>
        <w:tc>
          <w:tcPr>
            <w:tcW w:w="9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70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18,619</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18,161</w:t>
            </w: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Acquisition</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0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80" w:type="dxa"/>
            <w:vAlign w:val="bottom"/>
          </w:tcPr>
          <w:p>
            <w:pPr>
              <w:jc w:val="center"/>
              <w:ind w:right="32"/>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(4)</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20" w:type="dxa"/>
            <w:vAlign w:val="bottom"/>
          </w:tcPr>
          <w:p>
            <w:pPr>
              <w:spacing w:after="0"/>
              <w:rPr>
                <w:sz w:val="10"/>
                <w:szCs w:val="10"/>
                <w:color w:val="auto"/>
              </w:rPr>
            </w:pPr>
          </w:p>
        </w:tc>
        <w:tc>
          <w:tcPr>
            <w:tcW w:w="56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0"/>
                <w:szCs w:val="10"/>
                <w:color w:val="auto"/>
              </w:rPr>
            </w:pPr>
          </w:p>
        </w:tc>
        <w:tc>
          <w:tcPr>
            <w:tcW w:w="780" w:type="dxa"/>
            <w:vAlign w:val="bottom"/>
          </w:tcPr>
          <w:p>
            <w:pPr>
              <w:jc w:val="right"/>
              <w:ind w:right="17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Subordinate Debt/Corporate Notes - 8.2% of Net Assets</w:t>
            </w:r>
          </w:p>
        </w:tc>
        <w:tc>
          <w:tcPr>
            <w:tcW w:w="6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74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Beacon Behavioral Holdings,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06/21/2024</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06/21/2030</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PIK 15.00%</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5,948</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5,885</w:t>
            </w: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5,948</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Gauge Schlesinger Coinvest,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07/02/2019</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01/08/2026</w:t>
            </w: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12.92%</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SOFR+860</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20"/>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Northwinds Topco, Inc.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08/16/2024</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10/30/2029</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Services</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PIK 15.00%</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11,902</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11,814</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11,842</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Northwinds Topco, Inc. - Unfunded Term Loan </w:t>
            </w:r>
            <w:r>
              <w:rPr>
                <w:rFonts w:ascii="Times New Roman" w:cs="Times New Roman" w:eastAsia="Times New Roman" w:hAnsi="Times New Roman"/>
                <w:sz w:val="12"/>
                <w:szCs w:val="12"/>
                <w:color w:val="auto"/>
                <w:vertAlign w:val="superscript"/>
              </w:rPr>
              <w:t>(7)</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08/16/2024</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10/30/2029</w:t>
            </w: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Services</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3,500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(18)</w:t>
            </w:r>
          </w:p>
        </w:tc>
        <w:tc>
          <w:tcPr>
            <w:tcW w:w="0" w:type="dxa"/>
            <w:vAlign w:val="bottom"/>
          </w:tcPr>
          <w:p>
            <w:pPr>
              <w:spacing w:after="0"/>
              <w:rPr>
                <w:sz w:val="1"/>
                <w:szCs w:val="1"/>
                <w:color w:val="auto"/>
              </w:rPr>
            </w:pPr>
          </w:p>
        </w:tc>
      </w:tr>
      <w:tr>
        <w:trPr>
          <w:trHeight w:val="120"/>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ORL Holdco, Inc. - Convertible Notes</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08/02/2024</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03/08/2028</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18.00%</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ORL Holdco, Inc. - Unfunded Convertible Notes </w:t>
            </w:r>
            <w:r>
              <w:rPr>
                <w:rFonts w:ascii="Times New Roman" w:cs="Times New Roman" w:eastAsia="Times New Roman" w:hAnsi="Times New Roman"/>
                <w:sz w:val="12"/>
                <w:szCs w:val="12"/>
                <w:color w:val="auto"/>
                <w:vertAlign w:val="superscript"/>
              </w:rPr>
              <w:t>(7)</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08/02/2024</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03/08/2028</w:t>
            </w: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20"/>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OSP Embedded Aggregator, LP - Convertible Note</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11/06/2024</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05/08/2030</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12.00%</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24</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237</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276</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StoicLane, Inc. - Convertible Notes</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08/15/2024</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08/16/2027</w:t>
            </w: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12.00%</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917</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917</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1,055</w:t>
            </w:r>
          </w:p>
        </w:tc>
        <w:tc>
          <w:tcPr>
            <w:tcW w:w="0" w:type="dxa"/>
            <w:vAlign w:val="bottom"/>
          </w:tcPr>
          <w:p>
            <w:pPr>
              <w:spacing w:after="0"/>
              <w:rPr>
                <w:sz w:val="1"/>
                <w:szCs w:val="1"/>
                <w:color w:val="auto"/>
              </w:rPr>
            </w:pP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StoicLane, Inc. - Unfunded Convertible Notes </w:t>
            </w:r>
            <w:r>
              <w:rPr>
                <w:rFonts w:ascii="Times New Roman" w:cs="Times New Roman" w:eastAsia="Times New Roman" w:hAnsi="Times New Roman"/>
                <w:sz w:val="12"/>
                <w:szCs w:val="12"/>
                <w:color w:val="auto"/>
                <w:vertAlign w:val="superscript"/>
              </w:rPr>
              <w:t>(7)</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08/15/2024</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08/16/2027</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306</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46</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United Land Services Intermediate Parent Holdings,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07/12/2024</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12/23/2026</w:t>
            </w: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0"/>
                <w:szCs w:val="10"/>
                <w:color w:val="auto"/>
              </w:rPr>
              <w:t>PIK 14.75%</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18,112</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17,872</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17,931</w:t>
            </w:r>
          </w:p>
        </w:tc>
        <w:tc>
          <w:tcPr>
            <w:tcW w:w="0" w:type="dxa"/>
            <w:vAlign w:val="bottom"/>
          </w:tcPr>
          <w:p>
            <w:pPr>
              <w:spacing w:after="0"/>
              <w:rPr>
                <w:sz w:val="1"/>
                <w:szCs w:val="1"/>
                <w:color w:val="auto"/>
              </w:rPr>
            </w:pPr>
          </w:p>
        </w:tc>
      </w:tr>
      <w:tr>
        <w:trPr>
          <w:trHeight w:val="96"/>
        </w:trPr>
        <w:tc>
          <w:tcPr>
            <w:tcW w:w="3240" w:type="dxa"/>
            <w:vAlign w:val="bottom"/>
          </w:tcPr>
          <w:p>
            <w:pPr>
              <w:spacing w:after="0" w:line="96" w:lineRule="exact"/>
              <w:rPr>
                <w:sz w:val="20"/>
                <w:szCs w:val="20"/>
                <w:color w:val="auto"/>
              </w:rPr>
            </w:pPr>
            <w:r>
              <w:rPr>
                <w:rFonts w:ascii="Times New Roman" w:cs="Times New Roman" w:eastAsia="Times New Roman" w:hAnsi="Times New Roman"/>
                <w:sz w:val="10"/>
                <w:szCs w:val="10"/>
                <w:color w:val="auto"/>
                <w:w w:val="98"/>
              </w:rPr>
              <w:t>United Land Services Intermediate Parent Holdings, LLC - Unfunded Term Loan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07/12/2024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2"/>
              </w:rPr>
              <w:t>01/12/2026</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00" w:type="dxa"/>
            <w:vAlign w:val="bottom"/>
            <w:vMerge w:val="restart"/>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2,541</w:t>
            </w:r>
          </w:p>
        </w:tc>
        <w:tc>
          <w:tcPr>
            <w:tcW w:w="220" w:type="dxa"/>
            <w:vAlign w:val="bottom"/>
          </w:tcPr>
          <w:p>
            <w:pPr>
              <w:spacing w:after="0"/>
              <w:rPr>
                <w:sz w:val="8"/>
                <w:szCs w:val="8"/>
                <w:color w:val="auto"/>
              </w:rPr>
            </w:pPr>
          </w:p>
        </w:tc>
        <w:tc>
          <w:tcPr>
            <w:tcW w:w="5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8"/>
                <w:szCs w:val="8"/>
                <w:color w:val="auto"/>
              </w:rPr>
            </w:pPr>
          </w:p>
        </w:tc>
        <w:tc>
          <w:tcPr>
            <w:tcW w:w="78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77"/>
        </w:trPr>
        <w:tc>
          <w:tcPr>
            <w:tcW w:w="3240" w:type="dxa"/>
            <w:vAlign w:val="bottom"/>
          </w:tcPr>
          <w:p>
            <w:pPr>
              <w:spacing w:after="0"/>
              <w:rPr>
                <w:sz w:val="20"/>
                <w:szCs w:val="20"/>
                <w:color w:val="auto"/>
              </w:rPr>
            </w:pPr>
            <w:r>
              <w:rPr>
                <w:rFonts w:ascii="Times New Roman" w:cs="Times New Roman" w:eastAsia="Times New Roman" w:hAnsi="Times New Roman"/>
                <w:sz w:val="6"/>
                <w:szCs w:val="6"/>
                <w:color w:val="auto"/>
              </w:rPr>
              <w:t>(7)</w:t>
            </w: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7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32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74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Wash &amp; Wax Systems,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10/20/2021</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07/30/2028</w:t>
            </w: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8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0"/>
                <w:szCs w:val="10"/>
                <w:color w:val="auto"/>
              </w:rPr>
              <w:t>PIK 12.00%</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811</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812</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811</w:t>
            </w:r>
          </w:p>
        </w:tc>
        <w:tc>
          <w:tcPr>
            <w:tcW w:w="0" w:type="dxa"/>
            <w:vAlign w:val="bottom"/>
          </w:tcPr>
          <w:p>
            <w:pPr>
              <w:spacing w:after="0"/>
              <w:rPr>
                <w:sz w:val="1"/>
                <w:szCs w:val="1"/>
                <w:color w:val="auto"/>
              </w:rPr>
            </w:pPr>
          </w:p>
        </w:tc>
      </w:tr>
      <w:tr>
        <w:trPr>
          <w:trHeight w:val="120"/>
        </w:trPr>
        <w:tc>
          <w:tcPr>
            <w:tcW w:w="3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Subordinate Debt</w:t>
            </w: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37,544</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37,902</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Preferred Equity/Partnership Interests - 4.3% of Net Assets </w:t>
            </w:r>
            <w:r>
              <w:rPr>
                <w:rFonts w:ascii="Times New Roman" w:cs="Times New Roman" w:eastAsia="Times New Roman" w:hAnsi="Times New Roman"/>
                <w:sz w:val="12"/>
                <w:szCs w:val="12"/>
                <w:b w:val="1"/>
                <w:bCs w:val="1"/>
                <w:color w:val="auto"/>
                <w:vertAlign w:val="superscript"/>
              </w:rPr>
              <w:t>(6)</w:t>
            </w:r>
          </w:p>
        </w:tc>
        <w:tc>
          <w:tcPr>
            <w:tcW w:w="6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74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Accounting Platform Blocker, Inc.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08/09/2024</w:t>
            </w:r>
          </w:p>
        </w:tc>
        <w:tc>
          <w:tcPr>
            <w:tcW w:w="68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800" w:type="dxa"/>
            <w:vAlign w:val="bottom"/>
          </w:tcPr>
          <w:p>
            <w:pPr>
              <w:spacing w:after="0"/>
              <w:rPr>
                <w:sz w:val="10"/>
                <w:szCs w:val="10"/>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356,200</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356</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356</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Ad.net Holdings, Inc.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05/04/2021</w:t>
            </w:r>
          </w:p>
        </w:tc>
        <w:tc>
          <w:tcPr>
            <w:tcW w:w="68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0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2,400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240</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215</w:t>
            </w:r>
          </w:p>
        </w:tc>
        <w:tc>
          <w:tcPr>
            <w:tcW w:w="0" w:type="dxa"/>
            <w:vAlign w:val="bottom"/>
          </w:tcPr>
          <w:p>
            <w:pPr>
              <w:spacing w:after="0"/>
              <w:rPr>
                <w:sz w:val="1"/>
                <w:szCs w:val="1"/>
                <w:color w:val="auto"/>
              </w:rPr>
            </w:pP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AFC Acquisitions, Inc. (F-2 Series) </w:t>
            </w:r>
            <w:r>
              <w:rPr>
                <w:rFonts w:ascii="Times New Roman" w:cs="Times New Roman" w:eastAsia="Times New Roman" w:hAnsi="Times New Roman"/>
                <w:sz w:val="12"/>
                <w:szCs w:val="12"/>
                <w:color w:val="auto"/>
                <w:vertAlign w:val="superscript"/>
              </w:rPr>
              <w:t>(9)</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12/07/2023</w:t>
            </w:r>
          </w:p>
        </w:tc>
        <w:tc>
          <w:tcPr>
            <w:tcW w:w="68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00" w:type="dxa"/>
            <w:vAlign w:val="bottom"/>
          </w:tcPr>
          <w:p>
            <w:pPr>
              <w:spacing w:after="0"/>
              <w:rPr>
                <w:sz w:val="10"/>
                <w:szCs w:val="10"/>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490</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749</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819</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AFC Acquisitions, Inc. (G-2 Series) </w:t>
            </w:r>
            <w:r>
              <w:rPr>
                <w:rFonts w:ascii="Times New Roman" w:cs="Times New Roman" w:eastAsia="Times New Roman" w:hAnsi="Times New Roman"/>
                <w:sz w:val="12"/>
                <w:szCs w:val="12"/>
                <w:color w:val="auto"/>
                <w:vertAlign w:val="superscript"/>
              </w:rPr>
              <w:t>(9)</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12/07/2023</w:t>
            </w:r>
          </w:p>
        </w:tc>
        <w:tc>
          <w:tcPr>
            <w:tcW w:w="68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0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w:t>
            </w:r>
          </w:p>
        </w:tc>
        <w:tc>
          <w:tcPr>
            <w:tcW w:w="0" w:type="dxa"/>
            <w:vAlign w:val="bottom"/>
          </w:tcPr>
          <w:p>
            <w:pPr>
              <w:spacing w:after="0"/>
              <w:rPr>
                <w:sz w:val="1"/>
                <w:szCs w:val="1"/>
                <w:color w:val="auto"/>
              </w:rPr>
            </w:pP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AFC Acquisitions, Inc. (H-2 Series) </w:t>
            </w:r>
            <w:r>
              <w:rPr>
                <w:rFonts w:ascii="Times New Roman" w:cs="Times New Roman" w:eastAsia="Times New Roman" w:hAnsi="Times New Roman"/>
                <w:sz w:val="12"/>
                <w:szCs w:val="12"/>
                <w:color w:val="auto"/>
                <w:vertAlign w:val="superscript"/>
              </w:rPr>
              <w:t>(9)</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12/07/2023</w:t>
            </w:r>
          </w:p>
        </w:tc>
        <w:tc>
          <w:tcPr>
            <w:tcW w:w="68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00" w:type="dxa"/>
            <w:vAlign w:val="bottom"/>
          </w:tcPr>
          <w:p>
            <w:pPr>
              <w:spacing w:after="0"/>
              <w:rPr>
                <w:sz w:val="10"/>
                <w:szCs w:val="10"/>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AFC Acquisitions, Inc. (I-2 Series) </w:t>
            </w:r>
            <w:r>
              <w:rPr>
                <w:rFonts w:ascii="Times New Roman" w:cs="Times New Roman" w:eastAsia="Times New Roman" w:hAnsi="Times New Roman"/>
                <w:sz w:val="12"/>
                <w:szCs w:val="12"/>
                <w:color w:val="auto"/>
                <w:vertAlign w:val="superscript"/>
              </w:rPr>
              <w:t>(9)</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12/07/2023</w:t>
            </w:r>
          </w:p>
        </w:tc>
        <w:tc>
          <w:tcPr>
            <w:tcW w:w="68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0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w:t>
            </w:r>
          </w:p>
        </w:tc>
        <w:tc>
          <w:tcPr>
            <w:tcW w:w="0" w:type="dxa"/>
            <w:vAlign w:val="bottom"/>
          </w:tcPr>
          <w:p>
            <w:pPr>
              <w:spacing w:after="0"/>
              <w:rPr>
                <w:sz w:val="1"/>
                <w:szCs w:val="1"/>
                <w:color w:val="auto"/>
              </w:rPr>
            </w:pP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AFC Acquisitions, Inc. (J-2 Series) </w:t>
            </w:r>
            <w:r>
              <w:rPr>
                <w:rFonts w:ascii="Times New Roman" w:cs="Times New Roman" w:eastAsia="Times New Roman" w:hAnsi="Times New Roman"/>
                <w:sz w:val="12"/>
                <w:szCs w:val="12"/>
                <w:color w:val="auto"/>
                <w:vertAlign w:val="superscript"/>
              </w:rPr>
              <w:t>(9)</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12/07/2023</w:t>
            </w:r>
          </w:p>
        </w:tc>
        <w:tc>
          <w:tcPr>
            <w:tcW w:w="68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00" w:type="dxa"/>
            <w:vAlign w:val="bottom"/>
          </w:tcPr>
          <w:p>
            <w:pPr>
              <w:spacing w:after="0"/>
              <w:rPr>
                <w:sz w:val="10"/>
                <w:szCs w:val="10"/>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AH Holdings,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03/23/2011</w:t>
            </w:r>
          </w:p>
        </w:tc>
        <w:tc>
          <w:tcPr>
            <w:tcW w:w="68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6.00%</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211</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500</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335</w:t>
            </w:r>
          </w:p>
        </w:tc>
        <w:tc>
          <w:tcPr>
            <w:tcW w:w="0" w:type="dxa"/>
            <w:vAlign w:val="bottom"/>
          </w:tcPr>
          <w:p>
            <w:pPr>
              <w:spacing w:after="0"/>
              <w:rPr>
                <w:sz w:val="1"/>
                <w:szCs w:val="1"/>
                <w:color w:val="auto"/>
              </w:rPr>
            </w:pPr>
          </w:p>
        </w:tc>
      </w:tr>
      <w:tr>
        <w:trPr>
          <w:trHeight w:val="132"/>
        </w:trPr>
        <w:tc>
          <w:tcPr>
            <w:tcW w:w="3240" w:type="dxa"/>
            <w:vAlign w:val="bottom"/>
          </w:tcPr>
          <w:p>
            <w:pPr>
              <w:spacing w:after="0" w:line="132" w:lineRule="exact"/>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(9)</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05/21/2019</w:t>
            </w:r>
          </w:p>
        </w:tc>
        <w:tc>
          <w:tcPr>
            <w:tcW w:w="680" w:type="dxa"/>
            <w:vAlign w:val="bottom"/>
          </w:tcPr>
          <w:p>
            <w:pPr>
              <w:spacing w:after="0"/>
              <w:rPr>
                <w:sz w:val="11"/>
                <w:szCs w:val="11"/>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00" w:type="dxa"/>
            <w:vAlign w:val="bottom"/>
          </w:tcPr>
          <w:p>
            <w:pPr>
              <w:spacing w:after="0"/>
              <w:rPr>
                <w:sz w:val="11"/>
                <w:szCs w:val="11"/>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1,135</w:t>
            </w:r>
          </w:p>
        </w:tc>
        <w:tc>
          <w:tcPr>
            <w:tcW w:w="220" w:type="dxa"/>
            <w:vAlign w:val="bottom"/>
          </w:tcPr>
          <w:p>
            <w:pPr>
              <w:spacing w:after="0"/>
              <w:rPr>
                <w:sz w:val="11"/>
                <w:szCs w:val="11"/>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1,135</w:t>
            </w:r>
          </w:p>
        </w:tc>
        <w:tc>
          <w:tcPr>
            <w:tcW w:w="180" w:type="dxa"/>
            <w:vAlign w:val="bottom"/>
          </w:tcPr>
          <w:p>
            <w:pPr>
              <w:spacing w:after="0"/>
              <w:rPr>
                <w:sz w:val="11"/>
                <w:szCs w:val="1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1,120</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BioDerm Holdings, LP</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01/30/2023</w:t>
            </w:r>
          </w:p>
        </w:tc>
        <w:tc>
          <w:tcPr>
            <w:tcW w:w="68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0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1,312</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1,312</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1,307</w:t>
            </w:r>
          </w:p>
        </w:tc>
        <w:tc>
          <w:tcPr>
            <w:tcW w:w="0" w:type="dxa"/>
            <w:vAlign w:val="bottom"/>
          </w:tcPr>
          <w:p>
            <w:pPr>
              <w:spacing w:after="0"/>
              <w:rPr>
                <w:sz w:val="1"/>
                <w:szCs w:val="1"/>
                <w:color w:val="auto"/>
              </w:rPr>
            </w:pP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Cartessa Aesthetics, LLC </w:t>
            </w:r>
            <w:r>
              <w:rPr>
                <w:rFonts w:ascii="Times New Roman" w:cs="Times New Roman" w:eastAsia="Times New Roman" w:hAnsi="Times New Roman"/>
                <w:sz w:val="12"/>
                <w:szCs w:val="12"/>
                <w:color w:val="auto"/>
                <w:vertAlign w:val="superscript"/>
              </w:rPr>
              <w:t>(9)</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06/01/2022</w:t>
            </w:r>
          </w:p>
        </w:tc>
        <w:tc>
          <w:tcPr>
            <w:tcW w:w="68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00" w:type="dxa"/>
            <w:vAlign w:val="bottom"/>
          </w:tcPr>
          <w:p>
            <w:pPr>
              <w:spacing w:after="0"/>
              <w:rPr>
                <w:sz w:val="10"/>
                <w:szCs w:val="10"/>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3,562,500</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3,563</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8,088</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Connatix Parent,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07/08/2021</w:t>
            </w:r>
          </w:p>
        </w:tc>
        <w:tc>
          <w:tcPr>
            <w:tcW w:w="68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0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7,967</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w:t>
            </w:r>
          </w:p>
        </w:tc>
        <w:tc>
          <w:tcPr>
            <w:tcW w:w="0" w:type="dxa"/>
            <w:vAlign w:val="bottom"/>
          </w:tcPr>
          <w:p>
            <w:pPr>
              <w:spacing w:after="0"/>
              <w:rPr>
                <w:sz w:val="1"/>
                <w:szCs w:val="1"/>
                <w:color w:val="auto"/>
              </w:rPr>
            </w:pP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Consello Pacific Aggregator, LLC </w:t>
            </w:r>
            <w:r>
              <w:rPr>
                <w:rFonts w:ascii="Times New Roman" w:cs="Times New Roman" w:eastAsia="Times New Roman" w:hAnsi="Times New Roman"/>
                <w:sz w:val="12"/>
                <w:szCs w:val="12"/>
                <w:color w:val="auto"/>
                <w:vertAlign w:val="superscript"/>
              </w:rPr>
              <w:t>(9)</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10/02/2023</w:t>
            </w:r>
          </w:p>
        </w:tc>
        <w:tc>
          <w:tcPr>
            <w:tcW w:w="68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tcPr>
          <w:p>
            <w:pPr>
              <w:spacing w:after="0"/>
              <w:rPr>
                <w:sz w:val="10"/>
                <w:szCs w:val="10"/>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782,891</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743</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603</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C5MI Holdco, LLC </w:t>
            </w:r>
            <w:r>
              <w:rPr>
                <w:rFonts w:ascii="Times New Roman" w:cs="Times New Roman" w:eastAsia="Times New Roman" w:hAnsi="Times New Roman"/>
                <w:sz w:val="12"/>
                <w:szCs w:val="12"/>
                <w:color w:val="auto"/>
                <w:vertAlign w:val="superscript"/>
              </w:rPr>
              <w:t>(9)</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07/31/2024</w:t>
            </w:r>
          </w:p>
        </w:tc>
        <w:tc>
          <w:tcPr>
            <w:tcW w:w="68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104,000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108</w:t>
            </w:r>
          </w:p>
        </w:tc>
        <w:tc>
          <w:tcPr>
            <w:tcW w:w="0" w:type="dxa"/>
            <w:vAlign w:val="bottom"/>
          </w:tcPr>
          <w:p>
            <w:pPr>
              <w:spacing w:after="0"/>
              <w:rPr>
                <w:sz w:val="1"/>
                <w:szCs w:val="1"/>
                <w:color w:val="auto"/>
              </w:rPr>
            </w:pPr>
          </w:p>
        </w:tc>
      </w:tr>
      <w:tr>
        <w:trPr>
          <w:trHeight w:val="120"/>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Gauge Schlesinger Coinvest, LLC - Class A-2</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05/24/2023</w:t>
            </w:r>
          </w:p>
        </w:tc>
        <w:tc>
          <w:tcPr>
            <w:tcW w:w="68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tcPr>
          <w:p>
            <w:pPr>
              <w:spacing w:after="0"/>
              <w:rPr>
                <w:sz w:val="10"/>
                <w:szCs w:val="10"/>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EvAL Home Health Solutions, LLC </w:t>
            </w:r>
            <w:r>
              <w:rPr>
                <w:rFonts w:ascii="Times New Roman" w:cs="Times New Roman" w:eastAsia="Times New Roman" w:hAnsi="Times New Roman"/>
                <w:sz w:val="12"/>
                <w:szCs w:val="12"/>
                <w:color w:val="auto"/>
                <w:vertAlign w:val="superscript"/>
              </w:rPr>
              <w:t>(9)</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05/10/2024</w:t>
            </w:r>
          </w:p>
        </w:tc>
        <w:tc>
          <w:tcPr>
            <w:tcW w:w="68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0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272,771</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453</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409</w:t>
            </w: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Five Star Parent Holdings, LLC - Class P</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07/09/2025</w:t>
            </w:r>
          </w:p>
        </w:tc>
        <w:tc>
          <w:tcPr>
            <w:tcW w:w="68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800" w:type="dxa"/>
            <w:vAlign w:val="bottom"/>
          </w:tcPr>
          <w:p>
            <w:pPr>
              <w:spacing w:after="0"/>
              <w:rPr>
                <w:sz w:val="10"/>
                <w:szCs w:val="10"/>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384</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164</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Hancock Claims Consultants Investors, LLC - Class A </w:t>
            </w:r>
            <w:r>
              <w:rPr>
                <w:rFonts w:ascii="Times New Roman" w:cs="Times New Roman" w:eastAsia="Times New Roman" w:hAnsi="Times New Roman"/>
                <w:sz w:val="12"/>
                <w:szCs w:val="12"/>
                <w:color w:val="auto"/>
                <w:vertAlign w:val="superscript"/>
              </w:rPr>
              <w:t>(9)</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04/30/2024</w:t>
            </w:r>
          </w:p>
        </w:tc>
        <w:tc>
          <w:tcPr>
            <w:tcW w:w="68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80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116,588</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76</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134</w:t>
            </w:r>
          </w:p>
        </w:tc>
        <w:tc>
          <w:tcPr>
            <w:tcW w:w="0" w:type="dxa"/>
            <w:vAlign w:val="bottom"/>
          </w:tcPr>
          <w:p>
            <w:pPr>
              <w:spacing w:after="0"/>
              <w:rPr>
                <w:sz w:val="1"/>
                <w:szCs w:val="1"/>
                <w:color w:val="auto"/>
              </w:rPr>
            </w:pPr>
          </w:p>
        </w:tc>
      </w:tr>
      <w:tr>
        <w:trPr>
          <w:trHeight w:val="120"/>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HPA SPQ Aggregator, LP</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06/08/2023</w:t>
            </w:r>
          </w:p>
        </w:tc>
        <w:tc>
          <w:tcPr>
            <w:tcW w:w="68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tcPr>
          <w:p>
            <w:pPr>
              <w:spacing w:after="0"/>
              <w:rPr>
                <w:sz w:val="10"/>
                <w:szCs w:val="10"/>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52,353</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52</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52</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Imagine Topco, LP Preferred</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11/04/2021</w:t>
            </w:r>
          </w:p>
        </w:tc>
        <w:tc>
          <w:tcPr>
            <w:tcW w:w="68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8.00%</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743,826</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744</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1,017</w:t>
            </w:r>
          </w:p>
        </w:tc>
        <w:tc>
          <w:tcPr>
            <w:tcW w:w="0" w:type="dxa"/>
            <w:vAlign w:val="bottom"/>
          </w:tcPr>
          <w:p>
            <w:pPr>
              <w:spacing w:after="0"/>
              <w:rPr>
                <w:sz w:val="1"/>
                <w:szCs w:val="1"/>
                <w:color w:val="auto"/>
              </w:rPr>
            </w:pP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A </w:t>
            </w:r>
            <w:r>
              <w:rPr>
                <w:rFonts w:ascii="Times New Roman" w:cs="Times New Roman" w:eastAsia="Times New Roman" w:hAnsi="Times New Roman"/>
                <w:sz w:val="12"/>
                <w:szCs w:val="12"/>
                <w:color w:val="auto"/>
                <w:vertAlign w:val="superscript"/>
              </w:rPr>
              <w:t>(9)</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07/25/2023</w:t>
            </w:r>
          </w:p>
        </w:tc>
        <w:tc>
          <w:tcPr>
            <w:tcW w:w="68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800" w:type="dxa"/>
            <w:vAlign w:val="bottom"/>
          </w:tcPr>
          <w:p>
            <w:pPr>
              <w:spacing w:after="0"/>
              <w:rPr>
                <w:sz w:val="10"/>
                <w:szCs w:val="10"/>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1,545</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1,545</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1,424</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A-1 </w:t>
            </w:r>
            <w:r>
              <w:rPr>
                <w:rFonts w:ascii="Times New Roman" w:cs="Times New Roman" w:eastAsia="Times New Roman" w:hAnsi="Times New Roman"/>
                <w:sz w:val="12"/>
                <w:szCs w:val="12"/>
                <w:color w:val="auto"/>
                <w:vertAlign w:val="superscript"/>
              </w:rPr>
              <w:t>(9)</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07/25/2023</w:t>
            </w:r>
          </w:p>
        </w:tc>
        <w:tc>
          <w:tcPr>
            <w:tcW w:w="68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80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530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530</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1,060</w:t>
            </w:r>
          </w:p>
        </w:tc>
        <w:tc>
          <w:tcPr>
            <w:tcW w:w="0" w:type="dxa"/>
            <w:vAlign w:val="bottom"/>
          </w:tcPr>
          <w:p>
            <w:pPr>
              <w:spacing w:after="0"/>
              <w:rPr>
                <w:sz w:val="1"/>
                <w:szCs w:val="1"/>
                <w:color w:val="auto"/>
              </w:rPr>
            </w:pP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B </w:t>
            </w:r>
            <w:r>
              <w:rPr>
                <w:rFonts w:ascii="Times New Roman" w:cs="Times New Roman" w:eastAsia="Times New Roman" w:hAnsi="Times New Roman"/>
                <w:sz w:val="12"/>
                <w:szCs w:val="12"/>
                <w:color w:val="auto"/>
                <w:vertAlign w:val="superscript"/>
              </w:rPr>
              <w:t>(9)</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07/25/2023</w:t>
            </w:r>
          </w:p>
        </w:tc>
        <w:tc>
          <w:tcPr>
            <w:tcW w:w="68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800" w:type="dxa"/>
            <w:vAlign w:val="bottom"/>
          </w:tcPr>
          <w:p>
            <w:pPr>
              <w:spacing w:after="0"/>
              <w:rPr>
                <w:sz w:val="10"/>
                <w:szCs w:val="10"/>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1,018</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643</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Megawatt Acquisition Partners, LLC - Class A</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06/28/2024</w:t>
            </w:r>
          </w:p>
        </w:tc>
        <w:tc>
          <w:tcPr>
            <w:tcW w:w="68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80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5,349</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535</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417</w:t>
            </w:r>
          </w:p>
        </w:tc>
        <w:tc>
          <w:tcPr>
            <w:tcW w:w="0" w:type="dxa"/>
            <w:vAlign w:val="bottom"/>
          </w:tcPr>
          <w:p>
            <w:pPr>
              <w:spacing w:after="0"/>
              <w:rPr>
                <w:sz w:val="1"/>
                <w:szCs w:val="1"/>
                <w:color w:val="auto"/>
              </w:rPr>
            </w:pPr>
          </w:p>
        </w:tc>
      </w:tr>
      <w:tr>
        <w:trPr>
          <w:trHeight w:val="120"/>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NXOF Holdings, Inc.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02/26/2019</w:t>
            </w:r>
          </w:p>
        </w:tc>
        <w:tc>
          <w:tcPr>
            <w:tcW w:w="68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00" w:type="dxa"/>
            <w:vAlign w:val="bottom"/>
          </w:tcPr>
          <w:p>
            <w:pPr>
              <w:spacing w:after="0"/>
              <w:rPr>
                <w:sz w:val="10"/>
                <w:szCs w:val="10"/>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422</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422</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441</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ORL Holdco, Inc.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09/01/2021</w:t>
            </w:r>
          </w:p>
        </w:tc>
        <w:tc>
          <w:tcPr>
            <w:tcW w:w="68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575</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PL Acquisitionco, LLC - </w:t>
            </w:r>
            <w:r>
              <w:rPr>
                <w:rFonts w:ascii="Times New Roman" w:cs="Times New Roman" w:eastAsia="Times New Roman" w:hAnsi="Times New Roman"/>
                <w:sz w:val="12"/>
                <w:szCs w:val="12"/>
                <w:color w:val="auto"/>
                <w:vertAlign w:val="superscript"/>
              </w:rPr>
              <w:t>(9)</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05/31/2023</w:t>
            </w:r>
          </w:p>
        </w:tc>
        <w:tc>
          <w:tcPr>
            <w:tcW w:w="68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800" w:type="dxa"/>
            <w:vAlign w:val="bottom"/>
          </w:tcPr>
          <w:p>
            <w:pPr>
              <w:spacing w:after="0"/>
              <w:rPr>
                <w:sz w:val="10"/>
                <w:szCs w:val="10"/>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73</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A-1 </w:t>
            </w:r>
            <w:r>
              <w:rPr>
                <w:rFonts w:ascii="Times New Roman" w:cs="Times New Roman" w:eastAsia="Times New Roman" w:hAnsi="Times New Roman"/>
                <w:sz w:val="12"/>
                <w:szCs w:val="12"/>
                <w:color w:val="auto"/>
                <w:vertAlign w:val="superscript"/>
              </w:rPr>
              <w:t>(9)</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05/03/2024</w:t>
            </w:r>
          </w:p>
        </w:tc>
        <w:tc>
          <w:tcPr>
            <w:tcW w:w="68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0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C </w:t>
            </w:r>
            <w:r>
              <w:rPr>
                <w:rFonts w:ascii="Times New Roman" w:cs="Times New Roman" w:eastAsia="Times New Roman" w:hAnsi="Times New Roman"/>
                <w:sz w:val="12"/>
                <w:szCs w:val="12"/>
                <w:color w:val="auto"/>
                <w:vertAlign w:val="superscript"/>
              </w:rPr>
              <w:t>(9)</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05/03/2024</w:t>
            </w:r>
          </w:p>
        </w:tc>
        <w:tc>
          <w:tcPr>
            <w:tcW w:w="68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00" w:type="dxa"/>
            <w:vAlign w:val="bottom"/>
          </w:tcPr>
          <w:p>
            <w:pPr>
              <w:spacing w:after="0"/>
              <w:rPr>
                <w:sz w:val="10"/>
                <w:szCs w:val="10"/>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10,624</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700</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1,290</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D </w:t>
            </w:r>
            <w:r>
              <w:rPr>
                <w:rFonts w:ascii="Times New Roman" w:cs="Times New Roman" w:eastAsia="Times New Roman" w:hAnsi="Times New Roman"/>
                <w:sz w:val="12"/>
                <w:szCs w:val="12"/>
                <w:color w:val="auto"/>
                <w:vertAlign w:val="superscript"/>
              </w:rPr>
              <w:t>(9)</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05/03/2024</w:t>
            </w:r>
          </w:p>
        </w:tc>
        <w:tc>
          <w:tcPr>
            <w:tcW w:w="68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0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11,276</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152</w:t>
            </w:r>
          </w:p>
        </w:tc>
        <w:tc>
          <w:tcPr>
            <w:tcW w:w="0" w:type="dxa"/>
            <w:vAlign w:val="bottom"/>
          </w:tcPr>
          <w:p>
            <w:pPr>
              <w:spacing w:after="0"/>
              <w:rPr>
                <w:sz w:val="1"/>
                <w:szCs w:val="1"/>
                <w:color w:val="auto"/>
              </w:rPr>
            </w:pPr>
          </w:p>
        </w:tc>
      </w:tr>
      <w:tr>
        <w:trPr>
          <w:trHeight w:val="120"/>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SP L2 Holdings,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11/04/2021</w:t>
            </w:r>
          </w:p>
        </w:tc>
        <w:tc>
          <w:tcPr>
            <w:tcW w:w="68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00" w:type="dxa"/>
            <w:vAlign w:val="bottom"/>
          </w:tcPr>
          <w:p>
            <w:pPr>
              <w:spacing w:after="0"/>
              <w:rPr>
                <w:sz w:val="10"/>
                <w:szCs w:val="10"/>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331,229</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SP L2 Holdings, LLC - Unfunded </w:t>
            </w:r>
            <w:r>
              <w:rPr>
                <w:rFonts w:ascii="Times New Roman" w:cs="Times New Roman" w:eastAsia="Times New Roman" w:hAnsi="Times New Roman"/>
                <w:sz w:val="12"/>
                <w:szCs w:val="12"/>
                <w:color w:val="auto"/>
                <w:vertAlign w:val="superscript"/>
              </w:rPr>
              <w:t>(7)</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11/04/2021</w:t>
            </w:r>
          </w:p>
        </w:tc>
        <w:tc>
          <w:tcPr>
            <w:tcW w:w="68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0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189,274</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(46)</w:t>
            </w:r>
          </w:p>
        </w:tc>
        <w:tc>
          <w:tcPr>
            <w:tcW w:w="0" w:type="dxa"/>
            <w:vAlign w:val="bottom"/>
          </w:tcPr>
          <w:p>
            <w:pPr>
              <w:spacing w:after="0"/>
              <w:rPr>
                <w:sz w:val="1"/>
                <w:szCs w:val="1"/>
                <w:color w:val="auto"/>
              </w:rPr>
            </w:pPr>
          </w:p>
        </w:tc>
      </w:tr>
      <w:tr>
        <w:trPr>
          <w:trHeight w:val="120"/>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TPC Holding Company, LP</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12/04/2019</w:t>
            </w:r>
          </w:p>
        </w:tc>
        <w:tc>
          <w:tcPr>
            <w:tcW w:w="68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87"/>
              </w:rPr>
              <w:t>Food</w:t>
            </w:r>
          </w:p>
        </w:tc>
        <w:tc>
          <w:tcPr>
            <w:tcW w:w="800" w:type="dxa"/>
            <w:vAlign w:val="bottom"/>
          </w:tcPr>
          <w:p>
            <w:pPr>
              <w:spacing w:after="0"/>
              <w:rPr>
                <w:sz w:val="10"/>
                <w:szCs w:val="10"/>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219</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219</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236</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TWD Parent Holdings,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08/25/2021</w:t>
            </w:r>
          </w:p>
        </w:tc>
        <w:tc>
          <w:tcPr>
            <w:tcW w:w="68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33</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47</w:t>
            </w:r>
          </w:p>
        </w:tc>
        <w:tc>
          <w:tcPr>
            <w:tcW w:w="0" w:type="dxa"/>
            <w:vAlign w:val="bottom"/>
          </w:tcPr>
          <w:p>
            <w:pPr>
              <w:spacing w:after="0"/>
              <w:rPr>
                <w:sz w:val="1"/>
                <w:szCs w:val="1"/>
                <w:color w:val="auto"/>
              </w:rPr>
            </w:pPr>
          </w:p>
        </w:tc>
      </w:tr>
      <w:tr>
        <w:trPr>
          <w:trHeight w:val="120"/>
        </w:trPr>
        <w:tc>
          <w:tcPr>
            <w:tcW w:w="3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Preferred Equity/Partnership Interests</w:t>
            </w: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15,092</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19,819</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Common Equity/Partnership Interests/Warrants - 30.0% of Net Assets </w:t>
            </w:r>
            <w:r>
              <w:rPr>
                <w:rFonts w:ascii="Times New Roman" w:cs="Times New Roman" w:eastAsia="Times New Roman" w:hAnsi="Times New Roman"/>
                <w:sz w:val="12"/>
                <w:szCs w:val="12"/>
                <w:b w:val="1"/>
                <w:bCs w:val="1"/>
                <w:color w:val="auto"/>
                <w:vertAlign w:val="superscript"/>
              </w:rPr>
              <w:t>(6)</w:t>
            </w:r>
          </w:p>
        </w:tc>
        <w:tc>
          <w:tcPr>
            <w:tcW w:w="6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74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w:t>
            </w: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A1 Garage Equity, LLC </w:t>
            </w:r>
            <w:r>
              <w:rPr>
                <w:rFonts w:ascii="Times New Roman" w:cs="Times New Roman" w:eastAsia="Times New Roman" w:hAnsi="Times New Roman"/>
                <w:sz w:val="12"/>
                <w:szCs w:val="12"/>
                <w:color w:val="auto"/>
                <w:vertAlign w:val="superscript"/>
              </w:rPr>
              <w:t>(9)</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12/19/2022</w:t>
            </w:r>
          </w:p>
        </w:tc>
        <w:tc>
          <w:tcPr>
            <w:tcW w:w="68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Services</w:t>
            </w:r>
          </w:p>
        </w:tc>
        <w:tc>
          <w:tcPr>
            <w:tcW w:w="800" w:type="dxa"/>
            <w:vAlign w:val="bottom"/>
          </w:tcPr>
          <w:p>
            <w:pPr>
              <w:spacing w:after="0"/>
              <w:rPr>
                <w:sz w:val="10"/>
                <w:szCs w:val="10"/>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2,193,038</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2,193</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3,893</w:t>
            </w:r>
          </w:p>
        </w:tc>
        <w:tc>
          <w:tcPr>
            <w:tcW w:w="0" w:type="dxa"/>
            <w:vAlign w:val="bottom"/>
          </w:tcPr>
          <w:p>
            <w:pPr>
              <w:spacing w:after="0"/>
              <w:rPr>
                <w:sz w:val="1"/>
                <w:szCs w:val="1"/>
                <w:color w:val="auto"/>
              </w:rPr>
            </w:pPr>
          </w:p>
        </w:tc>
      </w:tr>
      <w:tr>
        <w:trPr>
          <w:trHeight w:val="144"/>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ACP Big Top Holdings, LP</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02/29/2024</w:t>
            </w:r>
          </w:p>
        </w:tc>
        <w:tc>
          <w:tcPr>
            <w:tcW w:w="680" w:type="dxa"/>
            <w:vAlign w:val="bottom"/>
            <w:shd w:val="clear" w:color="auto" w:fill="CCECFF"/>
          </w:tcPr>
          <w:p>
            <w:pPr>
              <w:spacing w:after="0"/>
              <w:rPr>
                <w:sz w:val="12"/>
                <w:szCs w:val="12"/>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Manufacturing/Basic Industry</w:t>
            </w:r>
          </w:p>
        </w:tc>
        <w:tc>
          <w:tcPr>
            <w:tcW w:w="800" w:type="dxa"/>
            <w:vAlign w:val="bottom"/>
            <w:shd w:val="clear" w:color="auto" w:fill="CCECFF"/>
          </w:tcPr>
          <w:p>
            <w:pPr>
              <w:spacing w:after="0"/>
              <w:rPr>
                <w:sz w:val="12"/>
                <w:szCs w:val="12"/>
                <w:color w:val="auto"/>
              </w:rPr>
            </w:pP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773,800</w:t>
            </w:r>
          </w:p>
        </w:tc>
        <w:tc>
          <w:tcPr>
            <w:tcW w:w="220" w:type="dxa"/>
            <w:vAlign w:val="bottom"/>
            <w:shd w:val="clear" w:color="auto" w:fill="CCECFF"/>
          </w:tcPr>
          <w:p>
            <w:pPr>
              <w:spacing w:after="0"/>
              <w:rPr>
                <w:sz w:val="12"/>
                <w:szCs w:val="12"/>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744</w:t>
            </w:r>
          </w:p>
        </w:tc>
        <w:tc>
          <w:tcPr>
            <w:tcW w:w="18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1,134</w:t>
            </w:r>
          </w:p>
        </w:tc>
        <w:tc>
          <w:tcPr>
            <w:tcW w:w="0" w:type="dxa"/>
            <w:vAlign w:val="bottom"/>
          </w:tcPr>
          <w:p>
            <w:pPr>
              <w:spacing w:after="0"/>
              <w:rPr>
                <w:sz w:val="1"/>
                <w:szCs w:val="1"/>
                <w:color w:val="auto"/>
              </w:rPr>
            </w:pPr>
          </w:p>
        </w:tc>
      </w:tr>
      <w:tr>
        <w:trPr>
          <w:trHeight w:val="120"/>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Ad.net Holdings, Inc.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05/04/2021</w:t>
            </w:r>
          </w:p>
        </w:tc>
        <w:tc>
          <w:tcPr>
            <w:tcW w:w="68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00" w:type="dxa"/>
            <w:vAlign w:val="bottom"/>
          </w:tcPr>
          <w:p>
            <w:pPr>
              <w:spacing w:after="0"/>
              <w:rPr>
                <w:sz w:val="10"/>
                <w:szCs w:val="10"/>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2,667</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Aechelon InvestCo, LP</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08/16/2024</w:t>
            </w:r>
          </w:p>
        </w:tc>
        <w:tc>
          <w:tcPr>
            <w:tcW w:w="68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0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10,684</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1,068</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4,064</w:t>
            </w:r>
          </w:p>
        </w:tc>
        <w:tc>
          <w:tcPr>
            <w:tcW w:w="0" w:type="dxa"/>
            <w:vAlign w:val="bottom"/>
          </w:tcPr>
          <w:p>
            <w:pPr>
              <w:spacing w:after="0"/>
              <w:rPr>
                <w:sz w:val="1"/>
                <w:szCs w:val="1"/>
                <w:color w:val="auto"/>
              </w:rPr>
            </w:pP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Aechelon InvestCo, LP - Unfunded </w:t>
            </w:r>
            <w:r>
              <w:rPr>
                <w:rFonts w:ascii="Times New Roman" w:cs="Times New Roman" w:eastAsia="Times New Roman" w:hAnsi="Times New Roman"/>
                <w:sz w:val="12"/>
                <w:szCs w:val="12"/>
                <w:color w:val="auto"/>
                <w:vertAlign w:val="superscript"/>
              </w:rPr>
              <w:t>(7)</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08/16/2024</w:t>
            </w:r>
          </w:p>
        </w:tc>
        <w:tc>
          <w:tcPr>
            <w:tcW w:w="68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00" w:type="dxa"/>
            <w:vAlign w:val="bottom"/>
          </w:tcPr>
          <w:p>
            <w:pPr>
              <w:spacing w:after="0"/>
              <w:rPr>
                <w:sz w:val="10"/>
                <w:szCs w:val="10"/>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11,940</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Aftermarket Drivetrain Products Holdings,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12/29/2023</w:t>
            </w:r>
          </w:p>
        </w:tc>
        <w:tc>
          <w:tcPr>
            <w:tcW w:w="68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Machinery</w:t>
            </w:r>
          </w:p>
        </w:tc>
        <w:tc>
          <w:tcPr>
            <w:tcW w:w="80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1,645</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1,645</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3,062</w:t>
            </w:r>
          </w:p>
        </w:tc>
        <w:tc>
          <w:tcPr>
            <w:tcW w:w="0" w:type="dxa"/>
            <w:vAlign w:val="bottom"/>
          </w:tcPr>
          <w:p>
            <w:pPr>
              <w:spacing w:after="0"/>
              <w:rPr>
                <w:sz w:val="1"/>
                <w:szCs w:val="1"/>
                <w:color w:val="auto"/>
              </w:rPr>
            </w:pP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(9)</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11/05/2018</w:t>
            </w:r>
          </w:p>
        </w:tc>
        <w:tc>
          <w:tcPr>
            <w:tcW w:w="68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tcPr>
          <w:p>
            <w:pPr>
              <w:spacing w:after="0"/>
              <w:rPr>
                <w:sz w:val="10"/>
                <w:szCs w:val="10"/>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8,052</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805</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75</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AG Investco, LP - Unfunded </w:t>
            </w:r>
            <w:r>
              <w:rPr>
                <w:rFonts w:ascii="Times New Roman" w:cs="Times New Roman" w:eastAsia="Times New Roman" w:hAnsi="Times New Roman"/>
                <w:sz w:val="12"/>
                <w:szCs w:val="12"/>
                <w:color w:val="auto"/>
                <w:vertAlign w:val="superscript"/>
              </w:rPr>
              <w:t>(7), (9)</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11/05/2018</w:t>
            </w:r>
          </w:p>
        </w:tc>
        <w:tc>
          <w:tcPr>
            <w:tcW w:w="68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1,948</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(177)</w:t>
            </w:r>
          </w:p>
        </w:tc>
        <w:tc>
          <w:tcPr>
            <w:tcW w:w="0" w:type="dxa"/>
            <w:vAlign w:val="bottom"/>
          </w:tcPr>
          <w:p>
            <w:pPr>
              <w:spacing w:after="0"/>
              <w:rPr>
                <w:sz w:val="1"/>
                <w:szCs w:val="1"/>
                <w:color w:val="auto"/>
              </w:rPr>
            </w:pPr>
          </w:p>
        </w:tc>
      </w:tr>
      <w:tr>
        <w:trPr>
          <w:trHeight w:val="120"/>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Altamira Intermediate Company II, Inc.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07/23/2019</w:t>
            </w:r>
          </w:p>
        </w:tc>
        <w:tc>
          <w:tcPr>
            <w:tcW w:w="68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00" w:type="dxa"/>
            <w:vAlign w:val="bottom"/>
          </w:tcPr>
          <w:p>
            <w:pPr>
              <w:spacing w:after="0"/>
              <w:rPr>
                <w:sz w:val="10"/>
                <w:szCs w:val="10"/>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125,000</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116</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AMCSI Crash Co-Invest, LP</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07/28/2022</w:t>
            </w:r>
          </w:p>
        </w:tc>
        <w:tc>
          <w:tcPr>
            <w:tcW w:w="68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80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24,898</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2,490</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3,794</w:t>
            </w:r>
          </w:p>
        </w:tc>
        <w:tc>
          <w:tcPr>
            <w:tcW w:w="0" w:type="dxa"/>
            <w:vAlign w:val="bottom"/>
          </w:tcPr>
          <w:p>
            <w:pPr>
              <w:spacing w:after="0"/>
              <w:rPr>
                <w:sz w:val="1"/>
                <w:szCs w:val="1"/>
                <w:color w:val="auto"/>
              </w:rPr>
            </w:pP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AMCSI Crash Co-Invest, LP - Unfunded </w:t>
            </w:r>
            <w:r>
              <w:rPr>
                <w:rFonts w:ascii="Times New Roman" w:cs="Times New Roman" w:eastAsia="Times New Roman" w:hAnsi="Times New Roman"/>
                <w:sz w:val="12"/>
                <w:szCs w:val="12"/>
                <w:color w:val="auto"/>
                <w:vertAlign w:val="superscript"/>
              </w:rPr>
              <w:t>(7)</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07/28/2022</w:t>
            </w:r>
          </w:p>
        </w:tc>
        <w:tc>
          <w:tcPr>
            <w:tcW w:w="68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800" w:type="dxa"/>
            <w:vAlign w:val="bottom"/>
          </w:tcPr>
          <w:p>
            <w:pPr>
              <w:spacing w:after="0"/>
              <w:rPr>
                <w:sz w:val="10"/>
                <w:szCs w:val="10"/>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5,102</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(9)</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05/21/2019</w:t>
            </w:r>
          </w:p>
        </w:tc>
        <w:tc>
          <w:tcPr>
            <w:tcW w:w="68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0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1,135</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APT INTERMEDIATE, LLC </w:t>
            </w:r>
            <w:r>
              <w:rPr>
                <w:rFonts w:ascii="Times New Roman" w:cs="Times New Roman" w:eastAsia="Times New Roman" w:hAnsi="Times New Roman"/>
                <w:sz w:val="12"/>
                <w:szCs w:val="12"/>
                <w:color w:val="auto"/>
                <w:vertAlign w:val="superscript"/>
              </w:rPr>
              <w:t>(9)</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09/29/2025</w:t>
            </w:r>
          </w:p>
        </w:tc>
        <w:tc>
          <w:tcPr>
            <w:tcW w:w="68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00" w:type="dxa"/>
            <w:vAlign w:val="bottom"/>
          </w:tcPr>
          <w:p>
            <w:pPr>
              <w:spacing w:after="0"/>
              <w:rPr>
                <w:sz w:val="10"/>
                <w:szCs w:val="10"/>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384,799</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519</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519</w:t>
            </w: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Athletico Holdings, LLC </w:t>
            </w:r>
            <w:r>
              <w:rPr>
                <w:rFonts w:ascii="Times New Roman" w:cs="Times New Roman" w:eastAsia="Times New Roman" w:hAnsi="Times New Roman"/>
                <w:sz w:val="12"/>
                <w:szCs w:val="12"/>
                <w:color w:val="auto"/>
                <w:vertAlign w:val="superscript"/>
              </w:rPr>
              <w:t>(9)</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02/04/2022</w:t>
            </w:r>
          </w:p>
        </w:tc>
        <w:tc>
          <w:tcPr>
            <w:tcW w:w="680" w:type="dxa"/>
            <w:vAlign w:val="bottom"/>
            <w:shd w:val="clear" w:color="auto" w:fill="CCECFF"/>
          </w:tcPr>
          <w:p>
            <w:pPr>
              <w:spacing w:after="0"/>
              <w:rPr>
                <w:sz w:val="10"/>
                <w:szCs w:val="10"/>
                <w:color w:val="auto"/>
              </w:rPr>
            </w:pPr>
          </w:p>
        </w:tc>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0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9,357</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10,000</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6,897</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7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140" w:type="dxa"/>
            <w:vAlign w:val="bottom"/>
          </w:tcPr>
          <w:p>
            <w:pPr>
              <w:jc w:val="center"/>
              <w:ind w:left="252"/>
              <w:spacing w:after="0"/>
              <w:rPr>
                <w:sz w:val="20"/>
                <w:szCs w:val="20"/>
                <w:color w:val="auto"/>
              </w:rPr>
            </w:pPr>
            <w:r>
              <w:rPr>
                <w:rFonts w:ascii="Times New Roman" w:cs="Times New Roman" w:eastAsia="Times New Roman" w:hAnsi="Times New Roman"/>
                <w:sz w:val="10"/>
                <w:szCs w:val="10"/>
                <w:b w:val="1"/>
                <w:bCs w:val="1"/>
                <w:color w:val="auto"/>
                <w:w w:val="98"/>
              </w:rPr>
              <w:t>Acquisition</w:t>
            </w:r>
          </w:p>
        </w:tc>
        <w:tc>
          <w:tcPr>
            <w:tcW w:w="72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40" w:type="dxa"/>
            <w:vAlign w:val="bottom"/>
          </w:tcPr>
          <w:p>
            <w:pPr>
              <w:jc w:val="center"/>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20" w:type="dxa"/>
            <w:vAlign w:val="bottom"/>
          </w:tcPr>
          <w:p>
            <w:pPr>
              <w:spacing w:after="0"/>
              <w:rPr>
                <w:sz w:val="10"/>
                <w:szCs w:val="10"/>
                <w:color w:val="auto"/>
              </w:rPr>
            </w:pPr>
          </w:p>
        </w:tc>
        <w:tc>
          <w:tcPr>
            <w:tcW w:w="62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900" w:type="dxa"/>
            <w:vAlign w:val="bottom"/>
          </w:tcPr>
          <w:p>
            <w:pPr>
              <w:jc w:val="right"/>
              <w:ind w:right="17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(3)</w:t>
            </w: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Atlas Investment Aggregator, LLC</w:t>
            </w:r>
          </w:p>
        </w:tc>
        <w:tc>
          <w:tcPr>
            <w:tcW w:w="114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05/03/2021</w:t>
            </w: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1,700,000</w:t>
            </w:r>
          </w:p>
        </w:tc>
        <w:tc>
          <w:tcPr>
            <w:tcW w:w="2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1,613</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7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Azureon, LLC </w:t>
            </w:r>
            <w:r>
              <w:rPr>
                <w:rFonts w:ascii="Times New Roman" w:cs="Times New Roman" w:eastAsia="Times New Roman" w:hAnsi="Times New Roman"/>
                <w:sz w:val="12"/>
                <w:szCs w:val="12"/>
                <w:color w:val="auto"/>
                <w:vertAlign w:val="superscript"/>
              </w:rPr>
              <w:t>(9)</w:t>
            </w:r>
          </w:p>
        </w:tc>
        <w:tc>
          <w:tcPr>
            <w:tcW w:w="11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06/26/2024</w:t>
            </w:r>
          </w:p>
        </w:tc>
        <w:tc>
          <w:tcPr>
            <w:tcW w:w="7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660" w:type="dxa"/>
            <w:vAlign w:val="bottom"/>
          </w:tcPr>
          <w:p>
            <w:pPr>
              <w:spacing w:after="0"/>
              <w:rPr>
                <w:sz w:val="10"/>
                <w:szCs w:val="1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508,238</w:t>
            </w:r>
          </w:p>
        </w:tc>
        <w:tc>
          <w:tcPr>
            <w:tcW w:w="2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508</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432</w:t>
            </w: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BioDerm, Inc.</w:t>
            </w:r>
          </w:p>
        </w:tc>
        <w:tc>
          <w:tcPr>
            <w:tcW w:w="114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09/09/2024</w:t>
            </w: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1,312</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Burgess Point Holdings, LP</w:t>
            </w:r>
          </w:p>
        </w:tc>
        <w:tc>
          <w:tcPr>
            <w:tcW w:w="11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07/21/2022</w:t>
            </w:r>
          </w:p>
        </w:tc>
        <w:tc>
          <w:tcPr>
            <w:tcW w:w="7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660" w:type="dxa"/>
            <w:vAlign w:val="bottom"/>
          </w:tcPr>
          <w:p>
            <w:pPr>
              <w:spacing w:after="0"/>
              <w:rPr>
                <w:sz w:val="10"/>
                <w:szCs w:val="1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764</w:t>
            </w:r>
          </w:p>
        </w:tc>
        <w:tc>
          <w:tcPr>
            <w:tcW w:w="2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777</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825</w:t>
            </w: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Carnegie Holdco, LLC </w:t>
            </w:r>
            <w:r>
              <w:rPr>
                <w:rFonts w:ascii="Times New Roman" w:cs="Times New Roman" w:eastAsia="Times New Roman" w:hAnsi="Times New Roman"/>
                <w:sz w:val="12"/>
                <w:szCs w:val="12"/>
                <w:color w:val="auto"/>
                <w:vertAlign w:val="superscript"/>
              </w:rPr>
              <w:t>(9)</w:t>
            </w:r>
          </w:p>
        </w:tc>
        <w:tc>
          <w:tcPr>
            <w:tcW w:w="114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02/07/2024</w:t>
            </w: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1,680,300</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1,603</w:t>
            </w:r>
          </w:p>
        </w:tc>
        <w:tc>
          <w:tcPr>
            <w:tcW w:w="9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1,260</w:t>
            </w:r>
          </w:p>
        </w:tc>
        <w:tc>
          <w:tcPr>
            <w:tcW w:w="0" w:type="dxa"/>
            <w:vAlign w:val="bottom"/>
          </w:tcPr>
          <w:p>
            <w:pPr>
              <w:spacing w:after="0"/>
              <w:rPr>
                <w:sz w:val="1"/>
                <w:szCs w:val="1"/>
                <w:color w:val="auto"/>
              </w:rPr>
            </w:pPr>
          </w:p>
        </w:tc>
      </w:tr>
      <w:tr>
        <w:trPr>
          <w:trHeight w:val="124"/>
        </w:trPr>
        <w:tc>
          <w:tcPr>
            <w:tcW w:w="27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Carisk Parent, LP</w:t>
            </w:r>
          </w:p>
        </w:tc>
        <w:tc>
          <w:tcPr>
            <w:tcW w:w="1140" w:type="dxa"/>
            <w:vAlign w:val="bottom"/>
            <w:vMerge w:val="restart"/>
          </w:tcPr>
          <w:p>
            <w:pPr>
              <w:jc w:val="center"/>
              <w:ind w:left="252"/>
              <w:spacing w:after="0"/>
              <w:rPr>
                <w:sz w:val="20"/>
                <w:szCs w:val="20"/>
                <w:color w:val="auto"/>
              </w:rPr>
            </w:pPr>
            <w:r>
              <w:rPr>
                <w:rFonts w:ascii="Times New Roman" w:cs="Times New Roman" w:eastAsia="Times New Roman" w:hAnsi="Times New Roman"/>
                <w:sz w:val="10"/>
                <w:szCs w:val="10"/>
                <w:color w:val="auto"/>
                <w:w w:val="96"/>
              </w:rPr>
              <w:t>11/27/2023</w:t>
            </w:r>
          </w:p>
        </w:tc>
        <w:tc>
          <w:tcPr>
            <w:tcW w:w="720" w:type="dxa"/>
            <w:vAlign w:val="bottom"/>
          </w:tcPr>
          <w:p>
            <w:pPr>
              <w:spacing w:after="0"/>
              <w:rPr>
                <w:sz w:val="10"/>
                <w:szCs w:val="10"/>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660" w:type="dxa"/>
            <w:vAlign w:val="bottom"/>
          </w:tcPr>
          <w:p>
            <w:pPr>
              <w:spacing w:after="0"/>
              <w:rPr>
                <w:sz w:val="10"/>
                <w:szCs w:val="10"/>
                <w:color w:val="auto"/>
              </w:rPr>
            </w:pPr>
          </w:p>
        </w:tc>
        <w:tc>
          <w:tcPr>
            <w:tcW w:w="940" w:type="dxa"/>
            <w:vAlign w:val="bottom"/>
            <w:vMerge w:val="restart"/>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204,455</w:t>
            </w:r>
          </w:p>
        </w:tc>
        <w:tc>
          <w:tcPr>
            <w:tcW w:w="2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204</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236</w:t>
            </w:r>
          </w:p>
        </w:tc>
        <w:tc>
          <w:tcPr>
            <w:tcW w:w="0" w:type="dxa"/>
            <w:vAlign w:val="bottom"/>
          </w:tcPr>
          <w:p>
            <w:pPr>
              <w:spacing w:after="0"/>
              <w:rPr>
                <w:sz w:val="1"/>
                <w:szCs w:val="1"/>
                <w:color w:val="auto"/>
              </w:rPr>
            </w:pPr>
          </w:p>
        </w:tc>
      </w:tr>
      <w:tr>
        <w:trPr>
          <w:trHeight w:val="80"/>
        </w:trPr>
        <w:tc>
          <w:tcPr>
            <w:tcW w:w="274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8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Connatix Parent, LLC</w:t>
            </w:r>
          </w:p>
        </w:tc>
        <w:tc>
          <w:tcPr>
            <w:tcW w:w="114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07/08/2021</w:t>
            </w: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273,207</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632</w:t>
            </w:r>
          </w:p>
        </w:tc>
        <w:tc>
          <w:tcPr>
            <w:tcW w:w="9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315</w:t>
            </w:r>
          </w:p>
        </w:tc>
        <w:tc>
          <w:tcPr>
            <w:tcW w:w="0" w:type="dxa"/>
            <w:vAlign w:val="bottom"/>
          </w:tcPr>
          <w:p>
            <w:pPr>
              <w:spacing w:after="0"/>
              <w:rPr>
                <w:sz w:val="1"/>
                <w:szCs w:val="1"/>
                <w:color w:val="auto"/>
              </w:rPr>
            </w:pP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Cowboy Parent LLC</w:t>
            </w:r>
          </w:p>
        </w:tc>
        <w:tc>
          <w:tcPr>
            <w:tcW w:w="11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09/12/2018</w:t>
            </w:r>
          </w:p>
        </w:tc>
        <w:tc>
          <w:tcPr>
            <w:tcW w:w="7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660" w:type="dxa"/>
            <w:vAlign w:val="bottom"/>
          </w:tcPr>
          <w:p>
            <w:pPr>
              <w:spacing w:after="0"/>
              <w:rPr>
                <w:sz w:val="10"/>
                <w:szCs w:val="1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27,778</w:t>
            </w:r>
          </w:p>
        </w:tc>
        <w:tc>
          <w:tcPr>
            <w:tcW w:w="2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3,015</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3,157</w:t>
            </w:r>
          </w:p>
        </w:tc>
        <w:tc>
          <w:tcPr>
            <w:tcW w:w="0" w:type="dxa"/>
            <w:vAlign w:val="bottom"/>
          </w:tcPr>
          <w:p>
            <w:pPr>
              <w:spacing w:after="0"/>
              <w:rPr>
                <w:sz w:val="1"/>
                <w:szCs w:val="1"/>
                <w:color w:val="auto"/>
              </w:rPr>
            </w:pPr>
          </w:p>
        </w:tc>
      </w:tr>
      <w:tr>
        <w:trPr>
          <w:trHeight w:val="121"/>
        </w:trPr>
        <w:tc>
          <w:tcPr>
            <w:tcW w:w="2740" w:type="dxa"/>
            <w:vAlign w:val="bottom"/>
            <w:shd w:val="clear" w:color="auto" w:fill="CCECFF"/>
          </w:tcPr>
          <w:p>
            <w:pPr>
              <w:spacing w:after="0"/>
              <w:rPr>
                <w:sz w:val="10"/>
                <w:szCs w:val="10"/>
                <w:color w:val="auto"/>
              </w:rPr>
            </w:pPr>
          </w:p>
        </w:tc>
        <w:tc>
          <w:tcPr>
            <w:tcW w:w="11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Crane 1 Acquisition Parent Holdings, LP</w:t>
            </w:r>
          </w:p>
        </w:tc>
        <w:tc>
          <w:tcPr>
            <w:tcW w:w="114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08/11/2021</w:t>
            </w: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Services</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104</w:t>
            </w:r>
          </w:p>
        </w:tc>
        <w:tc>
          <w:tcPr>
            <w:tcW w:w="9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220</w:t>
            </w:r>
          </w:p>
        </w:tc>
        <w:tc>
          <w:tcPr>
            <w:tcW w:w="0" w:type="dxa"/>
            <w:vAlign w:val="bottom"/>
          </w:tcPr>
          <w:p>
            <w:pPr>
              <w:spacing w:after="0"/>
              <w:rPr>
                <w:sz w:val="1"/>
                <w:szCs w:val="1"/>
                <w:color w:val="auto"/>
              </w:rPr>
            </w:pPr>
          </w:p>
        </w:tc>
      </w:tr>
      <w:tr>
        <w:trPr>
          <w:trHeight w:val="120"/>
        </w:trPr>
        <w:tc>
          <w:tcPr>
            <w:tcW w:w="27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C5MI Holdco, LLC </w:t>
            </w:r>
            <w:r>
              <w:rPr>
                <w:rFonts w:ascii="Times New Roman" w:cs="Times New Roman" w:eastAsia="Times New Roman" w:hAnsi="Times New Roman"/>
                <w:sz w:val="12"/>
                <w:szCs w:val="12"/>
                <w:color w:val="auto"/>
                <w:vertAlign w:val="superscript"/>
              </w:rPr>
              <w:t>(9)</w:t>
            </w:r>
          </w:p>
        </w:tc>
        <w:tc>
          <w:tcPr>
            <w:tcW w:w="11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07/31/2024</w:t>
            </w:r>
          </w:p>
        </w:tc>
        <w:tc>
          <w:tcPr>
            <w:tcW w:w="7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60" w:type="dxa"/>
            <w:vAlign w:val="bottom"/>
          </w:tcPr>
          <w:p>
            <w:pPr>
              <w:spacing w:after="0"/>
              <w:rPr>
                <w:sz w:val="10"/>
                <w:szCs w:val="1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754,200</w:t>
            </w:r>
          </w:p>
        </w:tc>
        <w:tc>
          <w:tcPr>
            <w:tcW w:w="2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754</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694</w:t>
            </w: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Delta InvestCo, LP </w:t>
            </w:r>
            <w:r>
              <w:rPr>
                <w:rFonts w:ascii="Times New Roman" w:cs="Times New Roman" w:eastAsia="Times New Roman" w:hAnsi="Times New Roman"/>
                <w:sz w:val="12"/>
                <w:szCs w:val="12"/>
                <w:color w:val="auto"/>
                <w:vertAlign w:val="superscript"/>
              </w:rPr>
              <w:t>(9)</w:t>
            </w:r>
          </w:p>
        </w:tc>
        <w:tc>
          <w:tcPr>
            <w:tcW w:w="114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12/16/2020</w:t>
            </w: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913,649</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866</w:t>
            </w:r>
          </w:p>
        </w:tc>
        <w:tc>
          <w:tcPr>
            <w:tcW w:w="9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1,768</w:t>
            </w:r>
          </w:p>
        </w:tc>
        <w:tc>
          <w:tcPr>
            <w:tcW w:w="0" w:type="dxa"/>
            <w:vAlign w:val="bottom"/>
          </w:tcPr>
          <w:p>
            <w:pPr>
              <w:spacing w:after="0"/>
              <w:rPr>
                <w:sz w:val="1"/>
                <w:szCs w:val="1"/>
                <w:color w:val="auto"/>
              </w:rPr>
            </w:pPr>
          </w:p>
        </w:tc>
      </w:tr>
      <w:tr>
        <w:trPr>
          <w:trHeight w:val="120"/>
        </w:trPr>
        <w:tc>
          <w:tcPr>
            <w:tcW w:w="27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Delta InvestCo, LP - Unfunded </w:t>
            </w:r>
            <w:r>
              <w:rPr>
                <w:rFonts w:ascii="Times New Roman" w:cs="Times New Roman" w:eastAsia="Times New Roman" w:hAnsi="Times New Roman"/>
                <w:sz w:val="12"/>
                <w:szCs w:val="12"/>
                <w:color w:val="auto"/>
                <w:vertAlign w:val="superscript"/>
              </w:rPr>
              <w:t>(7), (9)</w:t>
            </w:r>
          </w:p>
        </w:tc>
        <w:tc>
          <w:tcPr>
            <w:tcW w:w="11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12/16/2020</w:t>
            </w:r>
          </w:p>
        </w:tc>
        <w:tc>
          <w:tcPr>
            <w:tcW w:w="7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660" w:type="dxa"/>
            <w:vAlign w:val="bottom"/>
          </w:tcPr>
          <w:p>
            <w:pPr>
              <w:spacing w:after="0"/>
              <w:rPr>
                <w:sz w:val="10"/>
                <w:szCs w:val="1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227,395</w:t>
            </w:r>
          </w:p>
        </w:tc>
        <w:tc>
          <w:tcPr>
            <w:tcW w:w="2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Duggal Acquisition, LLC</w:t>
            </w:r>
          </w:p>
        </w:tc>
        <w:tc>
          <w:tcPr>
            <w:tcW w:w="114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09/30/2024</w:t>
            </w: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314</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314</w:t>
            </w:r>
          </w:p>
        </w:tc>
        <w:tc>
          <w:tcPr>
            <w:tcW w:w="9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287</w:t>
            </w:r>
          </w:p>
        </w:tc>
        <w:tc>
          <w:tcPr>
            <w:tcW w:w="0" w:type="dxa"/>
            <w:vAlign w:val="bottom"/>
          </w:tcPr>
          <w:p>
            <w:pPr>
              <w:spacing w:after="0"/>
              <w:rPr>
                <w:sz w:val="1"/>
                <w:szCs w:val="1"/>
                <w:color w:val="auto"/>
              </w:rPr>
            </w:pP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EDS Topco, LP</w:t>
            </w:r>
          </w:p>
        </w:tc>
        <w:tc>
          <w:tcPr>
            <w:tcW w:w="11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12/19/2022</w:t>
            </w:r>
          </w:p>
        </w:tc>
        <w:tc>
          <w:tcPr>
            <w:tcW w:w="7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60" w:type="dxa"/>
            <w:vAlign w:val="bottom"/>
          </w:tcPr>
          <w:p>
            <w:pPr>
              <w:spacing w:after="0"/>
              <w:rPr>
                <w:sz w:val="10"/>
                <w:szCs w:val="1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937,500</w:t>
            </w:r>
          </w:p>
        </w:tc>
        <w:tc>
          <w:tcPr>
            <w:tcW w:w="2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938</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1,935</w:t>
            </w: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Events Buyer, LLC</w:t>
            </w:r>
          </w:p>
        </w:tc>
        <w:tc>
          <w:tcPr>
            <w:tcW w:w="114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12/17/2024</w:t>
            </w: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Event Services</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536,267</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536</w:t>
            </w:r>
          </w:p>
        </w:tc>
        <w:tc>
          <w:tcPr>
            <w:tcW w:w="9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684</w:t>
            </w:r>
          </w:p>
        </w:tc>
        <w:tc>
          <w:tcPr>
            <w:tcW w:w="0" w:type="dxa"/>
            <w:vAlign w:val="bottom"/>
          </w:tcPr>
          <w:p>
            <w:pPr>
              <w:spacing w:after="0"/>
              <w:rPr>
                <w:sz w:val="1"/>
                <w:szCs w:val="1"/>
                <w:color w:val="auto"/>
              </w:rPr>
            </w:pPr>
          </w:p>
        </w:tc>
      </w:tr>
      <w:tr>
        <w:trPr>
          <w:trHeight w:val="124"/>
        </w:trPr>
        <w:tc>
          <w:tcPr>
            <w:tcW w:w="27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Exigo, LLC</w:t>
            </w:r>
          </w:p>
        </w:tc>
        <w:tc>
          <w:tcPr>
            <w:tcW w:w="11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03/10/2022</w:t>
            </w:r>
          </w:p>
        </w:tc>
        <w:tc>
          <w:tcPr>
            <w:tcW w:w="720" w:type="dxa"/>
            <w:vAlign w:val="bottom"/>
          </w:tcPr>
          <w:p>
            <w:pPr>
              <w:spacing w:after="0"/>
              <w:rPr>
                <w:sz w:val="10"/>
                <w:szCs w:val="10"/>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60" w:type="dxa"/>
            <w:vAlign w:val="bottom"/>
          </w:tcPr>
          <w:p>
            <w:pPr>
              <w:spacing w:after="0"/>
              <w:rPr>
                <w:sz w:val="10"/>
                <w:szCs w:val="10"/>
                <w:color w:val="auto"/>
              </w:rPr>
            </w:pPr>
          </w:p>
        </w:tc>
        <w:tc>
          <w:tcPr>
            <w:tcW w:w="940" w:type="dxa"/>
            <w:vAlign w:val="bottom"/>
            <w:vMerge w:val="restart"/>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1,458,333</w:t>
            </w:r>
          </w:p>
        </w:tc>
        <w:tc>
          <w:tcPr>
            <w:tcW w:w="220" w:type="dxa"/>
            <w:vAlign w:val="bottom"/>
          </w:tcPr>
          <w:p>
            <w:pPr>
              <w:spacing w:after="0"/>
              <w:rPr>
                <w:sz w:val="10"/>
                <w:szCs w:val="10"/>
                <w:color w:val="auto"/>
              </w:rPr>
            </w:pPr>
          </w:p>
        </w:tc>
        <w:tc>
          <w:tcPr>
            <w:tcW w:w="62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1,458</w:t>
            </w:r>
          </w:p>
        </w:tc>
        <w:tc>
          <w:tcPr>
            <w:tcW w:w="9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1,547</w:t>
            </w:r>
          </w:p>
        </w:tc>
        <w:tc>
          <w:tcPr>
            <w:tcW w:w="0" w:type="dxa"/>
            <w:vAlign w:val="bottom"/>
          </w:tcPr>
          <w:p>
            <w:pPr>
              <w:spacing w:after="0"/>
              <w:rPr>
                <w:sz w:val="1"/>
                <w:szCs w:val="1"/>
                <w:color w:val="auto"/>
              </w:rPr>
            </w:pPr>
          </w:p>
        </w:tc>
      </w:tr>
      <w:tr>
        <w:trPr>
          <w:trHeight w:val="44"/>
        </w:trPr>
        <w:tc>
          <w:tcPr>
            <w:tcW w:w="274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(9)</w:t>
            </w:r>
          </w:p>
        </w:tc>
        <w:tc>
          <w:tcPr>
            <w:tcW w:w="114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08/26/2021</w:t>
            </w: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15,255</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545</w:t>
            </w:r>
          </w:p>
        </w:tc>
        <w:tc>
          <w:tcPr>
            <w:tcW w:w="9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2,023</w:t>
            </w:r>
          </w:p>
        </w:tc>
        <w:tc>
          <w:tcPr>
            <w:tcW w:w="0" w:type="dxa"/>
            <w:vAlign w:val="bottom"/>
          </w:tcPr>
          <w:p>
            <w:pPr>
              <w:spacing w:after="0"/>
              <w:rPr>
                <w:sz w:val="1"/>
                <w:szCs w:val="1"/>
                <w:color w:val="auto"/>
              </w:rPr>
            </w:pPr>
          </w:p>
        </w:tc>
      </w:tr>
      <w:tr>
        <w:trPr>
          <w:trHeight w:val="120"/>
        </w:trPr>
        <w:tc>
          <w:tcPr>
            <w:tcW w:w="27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FedHC InvestCo, LP - Unfunded </w:t>
            </w:r>
            <w:r>
              <w:rPr>
                <w:rFonts w:ascii="Times New Roman" w:cs="Times New Roman" w:eastAsia="Times New Roman" w:hAnsi="Times New Roman"/>
                <w:sz w:val="12"/>
                <w:szCs w:val="12"/>
                <w:color w:val="auto"/>
                <w:vertAlign w:val="superscript"/>
              </w:rPr>
              <w:t>(7), (9)</w:t>
            </w:r>
          </w:p>
        </w:tc>
        <w:tc>
          <w:tcPr>
            <w:tcW w:w="11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08/26/2021</w:t>
            </w:r>
          </w:p>
        </w:tc>
        <w:tc>
          <w:tcPr>
            <w:tcW w:w="7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60" w:type="dxa"/>
            <w:vAlign w:val="bottom"/>
          </w:tcPr>
          <w:p>
            <w:pPr>
              <w:spacing w:after="0"/>
              <w:rPr>
                <w:sz w:val="10"/>
                <w:szCs w:val="1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2,563</w:t>
            </w:r>
          </w:p>
        </w:tc>
        <w:tc>
          <w:tcPr>
            <w:tcW w:w="2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FedHC InvestCo II, LP </w:t>
            </w:r>
            <w:r>
              <w:rPr>
                <w:rFonts w:ascii="Times New Roman" w:cs="Times New Roman" w:eastAsia="Times New Roman" w:hAnsi="Times New Roman"/>
                <w:sz w:val="12"/>
                <w:szCs w:val="12"/>
                <w:color w:val="auto"/>
                <w:vertAlign w:val="superscript"/>
              </w:rPr>
              <w:t>(9)</w:t>
            </w:r>
          </w:p>
        </w:tc>
        <w:tc>
          <w:tcPr>
            <w:tcW w:w="114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12/23/2021</w:t>
            </w: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21,817</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2,303</w:t>
            </w:r>
          </w:p>
        </w:tc>
        <w:tc>
          <w:tcPr>
            <w:tcW w:w="9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3,002</w:t>
            </w:r>
          </w:p>
        </w:tc>
        <w:tc>
          <w:tcPr>
            <w:tcW w:w="0" w:type="dxa"/>
            <w:vAlign w:val="bottom"/>
          </w:tcPr>
          <w:p>
            <w:pPr>
              <w:spacing w:after="0"/>
              <w:rPr>
                <w:sz w:val="1"/>
                <w:szCs w:val="1"/>
                <w:color w:val="auto"/>
              </w:rPr>
            </w:pP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First Medical Holdings, LLC</w:t>
            </w:r>
          </w:p>
        </w:tc>
        <w:tc>
          <w:tcPr>
            <w:tcW w:w="11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06/13/2025</w:t>
            </w:r>
          </w:p>
        </w:tc>
        <w:tc>
          <w:tcPr>
            <w:tcW w:w="7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660" w:type="dxa"/>
            <w:vAlign w:val="bottom"/>
          </w:tcPr>
          <w:p>
            <w:pPr>
              <w:spacing w:after="0"/>
              <w:rPr>
                <w:sz w:val="10"/>
                <w:szCs w:val="1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45,000</w:t>
            </w:r>
          </w:p>
        </w:tc>
        <w:tc>
          <w:tcPr>
            <w:tcW w:w="2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450</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464</w:t>
            </w:r>
          </w:p>
        </w:tc>
        <w:tc>
          <w:tcPr>
            <w:tcW w:w="0" w:type="dxa"/>
            <w:vAlign w:val="bottom"/>
          </w:tcPr>
          <w:p>
            <w:pPr>
              <w:spacing w:after="0"/>
              <w:rPr>
                <w:sz w:val="1"/>
                <w:szCs w:val="1"/>
                <w:color w:val="auto"/>
              </w:rPr>
            </w:pPr>
          </w:p>
        </w:tc>
      </w:tr>
      <w:tr>
        <w:trPr>
          <w:trHeight w:val="121"/>
        </w:trPr>
        <w:tc>
          <w:tcPr>
            <w:tcW w:w="2740" w:type="dxa"/>
            <w:vAlign w:val="bottom"/>
            <w:shd w:val="clear" w:color="auto" w:fill="CCECFF"/>
          </w:tcPr>
          <w:p>
            <w:pPr>
              <w:spacing w:after="0"/>
              <w:rPr>
                <w:sz w:val="10"/>
                <w:szCs w:val="10"/>
                <w:color w:val="auto"/>
              </w:rPr>
            </w:pPr>
          </w:p>
        </w:tc>
        <w:tc>
          <w:tcPr>
            <w:tcW w:w="11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Five Star Parent Holdings, LLC</w:t>
            </w:r>
          </w:p>
        </w:tc>
        <w:tc>
          <w:tcPr>
            <w:tcW w:w="114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02/21/2023</w:t>
            </w: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655,714</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656</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Gauge APHIX Blocker, LLC</w:t>
            </w:r>
          </w:p>
        </w:tc>
        <w:tc>
          <w:tcPr>
            <w:tcW w:w="11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07/16/2025</w:t>
            </w:r>
          </w:p>
        </w:tc>
        <w:tc>
          <w:tcPr>
            <w:tcW w:w="7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60" w:type="dxa"/>
            <w:vAlign w:val="bottom"/>
          </w:tcPr>
          <w:p>
            <w:pPr>
              <w:spacing w:after="0"/>
              <w:rPr>
                <w:sz w:val="10"/>
                <w:szCs w:val="1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489,789</w:t>
            </w:r>
          </w:p>
        </w:tc>
        <w:tc>
          <w:tcPr>
            <w:tcW w:w="2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490</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519</w:t>
            </w: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rPr>
                <w:sz w:val="10"/>
                <w:szCs w:val="10"/>
                <w:color w:val="auto"/>
              </w:rPr>
            </w:pPr>
          </w:p>
        </w:tc>
        <w:tc>
          <w:tcPr>
            <w:tcW w:w="11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Gauge ETE Blocker, LLC</w:t>
            </w:r>
          </w:p>
        </w:tc>
        <w:tc>
          <w:tcPr>
            <w:tcW w:w="114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05/24/2023</w:t>
            </w: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Services</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374,444</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374</w:t>
            </w:r>
          </w:p>
        </w:tc>
        <w:tc>
          <w:tcPr>
            <w:tcW w:w="9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288</w:t>
            </w:r>
          </w:p>
        </w:tc>
        <w:tc>
          <w:tcPr>
            <w:tcW w:w="0" w:type="dxa"/>
            <w:vAlign w:val="bottom"/>
          </w:tcPr>
          <w:p>
            <w:pPr>
              <w:spacing w:after="0"/>
              <w:rPr>
                <w:sz w:val="1"/>
                <w:szCs w:val="1"/>
                <w:color w:val="auto"/>
              </w:rPr>
            </w:pP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Gauge Lash Coinvest, LLC</w:t>
            </w:r>
          </w:p>
        </w:tc>
        <w:tc>
          <w:tcPr>
            <w:tcW w:w="11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12/04/2019</w:t>
            </w:r>
          </w:p>
        </w:tc>
        <w:tc>
          <w:tcPr>
            <w:tcW w:w="7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660" w:type="dxa"/>
            <w:vAlign w:val="bottom"/>
          </w:tcPr>
          <w:p>
            <w:pPr>
              <w:spacing w:after="0"/>
              <w:rPr>
                <w:sz w:val="10"/>
                <w:szCs w:val="1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1,231,392</w:t>
            </w:r>
          </w:p>
        </w:tc>
        <w:tc>
          <w:tcPr>
            <w:tcW w:w="2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951</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2,430</w:t>
            </w: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Gauge Loving Tan, LP</w:t>
            </w:r>
          </w:p>
        </w:tc>
        <w:tc>
          <w:tcPr>
            <w:tcW w:w="114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05/25/2023</w:t>
            </w: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543,562</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544</w:t>
            </w:r>
          </w:p>
        </w:tc>
        <w:tc>
          <w:tcPr>
            <w:tcW w:w="9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700</w:t>
            </w:r>
          </w:p>
        </w:tc>
        <w:tc>
          <w:tcPr>
            <w:tcW w:w="0" w:type="dxa"/>
            <w:vAlign w:val="bottom"/>
          </w:tcPr>
          <w:p>
            <w:pPr>
              <w:spacing w:after="0"/>
              <w:rPr>
                <w:sz w:val="1"/>
                <w:szCs w:val="1"/>
                <w:color w:val="auto"/>
              </w:rPr>
            </w:pP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Gauge Schlesinger Coinvest, LLC</w:t>
            </w:r>
          </w:p>
        </w:tc>
        <w:tc>
          <w:tcPr>
            <w:tcW w:w="11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04/22/2020</w:t>
            </w:r>
          </w:p>
        </w:tc>
        <w:tc>
          <w:tcPr>
            <w:tcW w:w="7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60" w:type="dxa"/>
            <w:vAlign w:val="bottom"/>
          </w:tcPr>
          <w:p>
            <w:pPr>
              <w:spacing w:after="0"/>
              <w:rPr>
                <w:sz w:val="10"/>
                <w:szCs w:val="1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w:t>
            </w:r>
          </w:p>
        </w:tc>
        <w:tc>
          <w:tcPr>
            <w:tcW w:w="2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GCOM InvestCo, LP</w:t>
            </w:r>
          </w:p>
        </w:tc>
        <w:tc>
          <w:tcPr>
            <w:tcW w:w="114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05/11/2021</w:t>
            </w: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2,434</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1,003</w:t>
            </w:r>
          </w:p>
        </w:tc>
        <w:tc>
          <w:tcPr>
            <w:tcW w:w="9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649</w:t>
            </w:r>
          </w:p>
        </w:tc>
        <w:tc>
          <w:tcPr>
            <w:tcW w:w="0" w:type="dxa"/>
            <w:vAlign w:val="bottom"/>
          </w:tcPr>
          <w:p>
            <w:pPr>
              <w:spacing w:after="0"/>
              <w:rPr>
                <w:sz w:val="1"/>
                <w:szCs w:val="1"/>
                <w:color w:val="auto"/>
              </w:rPr>
            </w:pP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GCP Boss Holdco, LLC</w:t>
            </w:r>
          </w:p>
        </w:tc>
        <w:tc>
          <w:tcPr>
            <w:tcW w:w="11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12/27/2024</w:t>
            </w:r>
          </w:p>
        </w:tc>
        <w:tc>
          <w:tcPr>
            <w:tcW w:w="7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Conglomerate Manufacturing</w:t>
            </w:r>
          </w:p>
        </w:tc>
        <w:tc>
          <w:tcPr>
            <w:tcW w:w="660" w:type="dxa"/>
            <w:vAlign w:val="bottom"/>
          </w:tcPr>
          <w:p>
            <w:pPr>
              <w:spacing w:after="0"/>
              <w:rPr>
                <w:sz w:val="10"/>
                <w:szCs w:val="1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1,045,100</w:t>
            </w:r>
          </w:p>
        </w:tc>
        <w:tc>
          <w:tcPr>
            <w:tcW w:w="2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1,045</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1,515</w:t>
            </w:r>
          </w:p>
        </w:tc>
        <w:tc>
          <w:tcPr>
            <w:tcW w:w="0" w:type="dxa"/>
            <w:vAlign w:val="bottom"/>
          </w:tcPr>
          <w:p>
            <w:pPr>
              <w:spacing w:after="0"/>
              <w:rPr>
                <w:sz w:val="1"/>
                <w:szCs w:val="1"/>
                <w:color w:val="auto"/>
              </w:rPr>
            </w:pPr>
          </w:p>
        </w:tc>
      </w:tr>
      <w:tr>
        <w:trPr>
          <w:trHeight w:val="121"/>
        </w:trPr>
        <w:tc>
          <w:tcPr>
            <w:tcW w:w="2740" w:type="dxa"/>
            <w:vAlign w:val="bottom"/>
            <w:shd w:val="clear" w:color="auto" w:fill="CCECFF"/>
          </w:tcPr>
          <w:p>
            <w:pPr>
              <w:spacing w:after="0"/>
              <w:rPr>
                <w:sz w:val="10"/>
                <w:szCs w:val="10"/>
                <w:color w:val="auto"/>
              </w:rPr>
            </w:pPr>
          </w:p>
        </w:tc>
        <w:tc>
          <w:tcPr>
            <w:tcW w:w="11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Home and Office Furnishings,</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rPr>
                <w:sz w:val="10"/>
                <w:szCs w:val="10"/>
                <w:color w:val="auto"/>
              </w:rPr>
            </w:pPr>
          </w:p>
        </w:tc>
        <w:tc>
          <w:tcPr>
            <w:tcW w:w="11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Housewares and Durable Consumer</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GGG MIDCO, LLC </w:t>
            </w:r>
            <w:r>
              <w:rPr>
                <w:rFonts w:ascii="Times New Roman" w:cs="Times New Roman" w:eastAsia="Times New Roman" w:hAnsi="Times New Roman"/>
                <w:sz w:val="12"/>
                <w:szCs w:val="12"/>
                <w:color w:val="auto"/>
                <w:vertAlign w:val="superscript"/>
              </w:rPr>
              <w:t>(9)</w:t>
            </w:r>
          </w:p>
        </w:tc>
        <w:tc>
          <w:tcPr>
            <w:tcW w:w="114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09/27/2024</w:t>
            </w: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Products</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1,222,700</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1,223</w:t>
            </w:r>
          </w:p>
        </w:tc>
        <w:tc>
          <w:tcPr>
            <w:tcW w:w="9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1,589</w:t>
            </w:r>
          </w:p>
        </w:tc>
        <w:tc>
          <w:tcPr>
            <w:tcW w:w="0" w:type="dxa"/>
            <w:vAlign w:val="bottom"/>
          </w:tcPr>
          <w:p>
            <w:pPr>
              <w:spacing w:after="0"/>
              <w:rPr>
                <w:sz w:val="1"/>
                <w:szCs w:val="1"/>
                <w:color w:val="auto"/>
              </w:rPr>
            </w:pP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GMP Hills, LP</w:t>
            </w:r>
          </w:p>
        </w:tc>
        <w:tc>
          <w:tcPr>
            <w:tcW w:w="11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11/02/2023</w:t>
            </w:r>
          </w:p>
        </w:tc>
        <w:tc>
          <w:tcPr>
            <w:tcW w:w="7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660" w:type="dxa"/>
            <w:vAlign w:val="bottom"/>
          </w:tcPr>
          <w:p>
            <w:pPr>
              <w:spacing w:after="0"/>
              <w:rPr>
                <w:sz w:val="10"/>
                <w:szCs w:val="1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3,747,470</w:t>
            </w:r>
          </w:p>
        </w:tc>
        <w:tc>
          <w:tcPr>
            <w:tcW w:w="2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3,747</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4,647</w:t>
            </w: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Hancock Claims Consultants Investors, LLC </w:t>
            </w:r>
            <w:r>
              <w:rPr>
                <w:rFonts w:ascii="Times New Roman" w:cs="Times New Roman" w:eastAsia="Times New Roman" w:hAnsi="Times New Roman"/>
                <w:sz w:val="12"/>
                <w:szCs w:val="12"/>
                <w:color w:val="auto"/>
                <w:vertAlign w:val="superscript"/>
              </w:rPr>
              <w:t>(9)</w:t>
            </w:r>
          </w:p>
        </w:tc>
        <w:tc>
          <w:tcPr>
            <w:tcW w:w="114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12/23/2020</w:t>
            </w: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450,000</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450</w:t>
            </w:r>
          </w:p>
        </w:tc>
        <w:tc>
          <w:tcPr>
            <w:tcW w:w="9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194</w:t>
            </w:r>
          </w:p>
        </w:tc>
        <w:tc>
          <w:tcPr>
            <w:tcW w:w="0" w:type="dxa"/>
            <w:vAlign w:val="bottom"/>
          </w:tcPr>
          <w:p>
            <w:pPr>
              <w:spacing w:after="0"/>
              <w:rPr>
                <w:sz w:val="1"/>
                <w:szCs w:val="1"/>
                <w:color w:val="auto"/>
              </w:rPr>
            </w:pP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HPA SPQ Aggregator, LP</w:t>
            </w:r>
          </w:p>
        </w:tc>
        <w:tc>
          <w:tcPr>
            <w:tcW w:w="11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06/08/2023</w:t>
            </w:r>
          </w:p>
        </w:tc>
        <w:tc>
          <w:tcPr>
            <w:tcW w:w="7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60" w:type="dxa"/>
            <w:vAlign w:val="bottom"/>
          </w:tcPr>
          <w:p>
            <w:pPr>
              <w:spacing w:after="0"/>
              <w:rPr>
                <w:sz w:val="10"/>
                <w:szCs w:val="1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750,399</w:t>
            </w:r>
          </w:p>
        </w:tc>
        <w:tc>
          <w:tcPr>
            <w:tcW w:w="2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750</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46</w:t>
            </w: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HV Watterson Holdings, LLC</w:t>
            </w:r>
          </w:p>
        </w:tc>
        <w:tc>
          <w:tcPr>
            <w:tcW w:w="114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06/13/2022</w:t>
            </w: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1,600,000</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1,600</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Icon Partners V C, LP</w:t>
            </w:r>
          </w:p>
        </w:tc>
        <w:tc>
          <w:tcPr>
            <w:tcW w:w="11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12/20/2021</w:t>
            </w:r>
          </w:p>
        </w:tc>
        <w:tc>
          <w:tcPr>
            <w:tcW w:w="7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60" w:type="dxa"/>
            <w:vAlign w:val="bottom"/>
          </w:tcPr>
          <w:p>
            <w:pPr>
              <w:spacing w:after="0"/>
              <w:rPr>
                <w:sz w:val="10"/>
                <w:szCs w:val="1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1,201,283</w:t>
            </w:r>
          </w:p>
        </w:tc>
        <w:tc>
          <w:tcPr>
            <w:tcW w:w="2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1,201</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1,184</w:t>
            </w: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Icon Partners V C, LP - Unfunded </w:t>
            </w:r>
            <w:r>
              <w:rPr>
                <w:rFonts w:ascii="Times New Roman" w:cs="Times New Roman" w:eastAsia="Times New Roman" w:hAnsi="Times New Roman"/>
                <w:sz w:val="12"/>
                <w:szCs w:val="12"/>
                <w:color w:val="auto"/>
                <w:vertAlign w:val="superscript"/>
              </w:rPr>
              <w:t>(7)</w:t>
            </w:r>
          </w:p>
        </w:tc>
        <w:tc>
          <w:tcPr>
            <w:tcW w:w="114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12/20/2021</w:t>
            </w: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298,717</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21"/>
        </w:trPr>
        <w:tc>
          <w:tcPr>
            <w:tcW w:w="27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w:t>
            </w:r>
          </w:p>
        </w:tc>
        <w:tc>
          <w:tcPr>
            <w:tcW w:w="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IHS Parent Holdings, LP</w:t>
            </w:r>
          </w:p>
        </w:tc>
        <w:tc>
          <w:tcPr>
            <w:tcW w:w="11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12/21/2022</w:t>
            </w:r>
          </w:p>
        </w:tc>
        <w:tc>
          <w:tcPr>
            <w:tcW w:w="7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Services</w:t>
            </w:r>
          </w:p>
        </w:tc>
        <w:tc>
          <w:tcPr>
            <w:tcW w:w="660" w:type="dxa"/>
            <w:vAlign w:val="bottom"/>
          </w:tcPr>
          <w:p>
            <w:pPr>
              <w:spacing w:after="0"/>
              <w:rPr>
                <w:sz w:val="10"/>
                <w:szCs w:val="1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1,218,045</w:t>
            </w:r>
          </w:p>
        </w:tc>
        <w:tc>
          <w:tcPr>
            <w:tcW w:w="2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1,218</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1,717</w:t>
            </w: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Imagine Topco, LP</w:t>
            </w:r>
          </w:p>
        </w:tc>
        <w:tc>
          <w:tcPr>
            <w:tcW w:w="114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11/04/2021</w:t>
            </w: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743,826</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69</w:t>
            </w:r>
          </w:p>
        </w:tc>
        <w:tc>
          <w:tcPr>
            <w:tcW w:w="0" w:type="dxa"/>
            <w:vAlign w:val="bottom"/>
          </w:tcPr>
          <w:p>
            <w:pPr>
              <w:spacing w:after="0"/>
              <w:rPr>
                <w:sz w:val="1"/>
                <w:szCs w:val="1"/>
                <w:color w:val="auto"/>
              </w:rPr>
            </w:pP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Infogroup Parent Holdings, Inc.</w:t>
            </w:r>
          </w:p>
        </w:tc>
        <w:tc>
          <w:tcPr>
            <w:tcW w:w="11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05/31/2023</w:t>
            </w:r>
          </w:p>
        </w:tc>
        <w:tc>
          <w:tcPr>
            <w:tcW w:w="7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Other Media</w:t>
            </w:r>
          </w:p>
        </w:tc>
        <w:tc>
          <w:tcPr>
            <w:tcW w:w="660" w:type="dxa"/>
            <w:vAlign w:val="bottom"/>
          </w:tcPr>
          <w:p>
            <w:pPr>
              <w:spacing w:after="0"/>
              <w:rPr>
                <w:sz w:val="10"/>
                <w:szCs w:val="1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181,495</w:t>
            </w:r>
          </w:p>
        </w:tc>
        <w:tc>
          <w:tcPr>
            <w:tcW w:w="2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2,040</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2,735</w:t>
            </w: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Ironclad Holdco, LLC (Applied Technical Services, LLC)</w:t>
            </w:r>
          </w:p>
        </w:tc>
        <w:tc>
          <w:tcPr>
            <w:tcW w:w="114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12/23/2020</w:t>
            </w: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4,993</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525</w:t>
            </w:r>
          </w:p>
        </w:tc>
        <w:tc>
          <w:tcPr>
            <w:tcW w:w="9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1,139</w:t>
            </w:r>
          </w:p>
        </w:tc>
        <w:tc>
          <w:tcPr>
            <w:tcW w:w="0" w:type="dxa"/>
            <w:vAlign w:val="bottom"/>
          </w:tcPr>
          <w:p>
            <w:pPr>
              <w:spacing w:after="0"/>
              <w:rPr>
                <w:sz w:val="1"/>
                <w:szCs w:val="1"/>
                <w:color w:val="auto"/>
              </w:rPr>
            </w:pPr>
          </w:p>
        </w:tc>
      </w:tr>
      <w:tr>
        <w:trPr>
          <w:trHeight w:val="120"/>
        </w:trPr>
        <w:tc>
          <w:tcPr>
            <w:tcW w:w="27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ITC Infusion Co-invest, LP </w:t>
            </w:r>
            <w:r>
              <w:rPr>
                <w:rFonts w:ascii="Times New Roman" w:cs="Times New Roman" w:eastAsia="Times New Roman" w:hAnsi="Times New Roman"/>
                <w:sz w:val="12"/>
                <w:szCs w:val="12"/>
                <w:color w:val="auto"/>
                <w:vertAlign w:val="superscript"/>
              </w:rPr>
              <w:t>(9)</w:t>
            </w:r>
          </w:p>
        </w:tc>
        <w:tc>
          <w:tcPr>
            <w:tcW w:w="11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02/16/2022</w:t>
            </w:r>
          </w:p>
        </w:tc>
        <w:tc>
          <w:tcPr>
            <w:tcW w:w="7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660" w:type="dxa"/>
            <w:vAlign w:val="bottom"/>
          </w:tcPr>
          <w:p>
            <w:pPr>
              <w:spacing w:after="0"/>
              <w:rPr>
                <w:sz w:val="10"/>
                <w:szCs w:val="1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162,445</w:t>
            </w:r>
          </w:p>
        </w:tc>
        <w:tc>
          <w:tcPr>
            <w:tcW w:w="2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1,673</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4,419</w:t>
            </w: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Kinetic Purchaser, LLC - Class A</w:t>
            </w:r>
          </w:p>
        </w:tc>
        <w:tc>
          <w:tcPr>
            <w:tcW w:w="114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11/08/2021</w:t>
            </w: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1,308,814</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1,309</w:t>
            </w:r>
          </w:p>
        </w:tc>
        <w:tc>
          <w:tcPr>
            <w:tcW w:w="9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w:t>
            </w:r>
          </w:p>
        </w:tc>
        <w:tc>
          <w:tcPr>
            <w:tcW w:w="0" w:type="dxa"/>
            <w:vAlign w:val="bottom"/>
          </w:tcPr>
          <w:p>
            <w:pPr>
              <w:spacing w:after="0"/>
              <w:rPr>
                <w:sz w:val="1"/>
                <w:szCs w:val="1"/>
                <w:color w:val="auto"/>
              </w:rPr>
            </w:pP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Kinetic Purchaser, LLC - Class AA</w:t>
            </w:r>
          </w:p>
        </w:tc>
        <w:tc>
          <w:tcPr>
            <w:tcW w:w="11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11/08/2021</w:t>
            </w:r>
          </w:p>
        </w:tc>
        <w:tc>
          <w:tcPr>
            <w:tcW w:w="7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660" w:type="dxa"/>
            <w:vAlign w:val="bottom"/>
          </w:tcPr>
          <w:p>
            <w:pPr>
              <w:spacing w:after="0"/>
              <w:rPr>
                <w:sz w:val="10"/>
                <w:szCs w:val="1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115,688</w:t>
            </w:r>
          </w:p>
        </w:tc>
        <w:tc>
          <w:tcPr>
            <w:tcW w:w="2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135</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271</w:t>
            </w:r>
          </w:p>
        </w:tc>
        <w:tc>
          <w:tcPr>
            <w:tcW w:w="0" w:type="dxa"/>
            <w:vAlign w:val="bottom"/>
          </w:tcPr>
          <w:p>
            <w:pPr>
              <w:spacing w:after="0"/>
              <w:rPr>
                <w:sz w:val="1"/>
                <w:szCs w:val="1"/>
                <w:color w:val="auto"/>
              </w:rPr>
            </w:pPr>
          </w:p>
        </w:tc>
      </w:tr>
      <w:tr>
        <w:trPr>
          <w:trHeight w:val="121"/>
        </w:trPr>
        <w:tc>
          <w:tcPr>
            <w:tcW w:w="2740" w:type="dxa"/>
            <w:vAlign w:val="bottom"/>
            <w:shd w:val="clear" w:color="auto" w:fill="CCECFF"/>
          </w:tcPr>
          <w:p>
            <w:pPr>
              <w:spacing w:after="0"/>
              <w:rPr>
                <w:sz w:val="10"/>
                <w:szCs w:val="10"/>
                <w:color w:val="auto"/>
              </w:rPr>
            </w:pPr>
          </w:p>
        </w:tc>
        <w:tc>
          <w:tcPr>
            <w:tcW w:w="11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KL Stockton Co-Invest, LP </w:t>
            </w:r>
            <w:r>
              <w:rPr>
                <w:rFonts w:ascii="Times New Roman" w:cs="Times New Roman" w:eastAsia="Times New Roman" w:hAnsi="Times New Roman"/>
                <w:sz w:val="12"/>
                <w:szCs w:val="12"/>
                <w:color w:val="auto"/>
                <w:vertAlign w:val="superscript"/>
              </w:rPr>
              <w:t>(9)</w:t>
            </w:r>
          </w:p>
        </w:tc>
        <w:tc>
          <w:tcPr>
            <w:tcW w:w="114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07/16/2021</w:t>
            </w: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Services</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382,353</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385</w:t>
            </w:r>
          </w:p>
        </w:tc>
        <w:tc>
          <w:tcPr>
            <w:tcW w:w="9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639</w:t>
            </w:r>
          </w:p>
        </w:tc>
        <w:tc>
          <w:tcPr>
            <w:tcW w:w="0" w:type="dxa"/>
            <w:vAlign w:val="bottom"/>
          </w:tcPr>
          <w:p>
            <w:pPr>
              <w:spacing w:after="0"/>
              <w:rPr>
                <w:sz w:val="1"/>
                <w:szCs w:val="1"/>
                <w:color w:val="auto"/>
              </w:rPr>
            </w:pP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Lightspeed Investment Holdco, LLC</w:t>
            </w:r>
          </w:p>
        </w:tc>
        <w:tc>
          <w:tcPr>
            <w:tcW w:w="11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01/21/2020</w:t>
            </w:r>
          </w:p>
        </w:tc>
        <w:tc>
          <w:tcPr>
            <w:tcW w:w="7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660" w:type="dxa"/>
            <w:vAlign w:val="bottom"/>
          </w:tcPr>
          <w:p>
            <w:pPr>
              <w:spacing w:after="0"/>
              <w:rPr>
                <w:sz w:val="10"/>
                <w:szCs w:val="1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273,143</w:t>
            </w:r>
          </w:p>
        </w:tc>
        <w:tc>
          <w:tcPr>
            <w:tcW w:w="2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273</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993</w:t>
            </w: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LJ Avalon, LP</w:t>
            </w:r>
          </w:p>
        </w:tc>
        <w:tc>
          <w:tcPr>
            <w:tcW w:w="114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01/18/2023</w:t>
            </w: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851,087</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851</w:t>
            </w:r>
          </w:p>
        </w:tc>
        <w:tc>
          <w:tcPr>
            <w:tcW w:w="9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1,362</w:t>
            </w:r>
          </w:p>
        </w:tc>
        <w:tc>
          <w:tcPr>
            <w:tcW w:w="0" w:type="dxa"/>
            <w:vAlign w:val="bottom"/>
          </w:tcPr>
          <w:p>
            <w:pPr>
              <w:spacing w:after="0"/>
              <w:rPr>
                <w:sz w:val="1"/>
                <w:szCs w:val="1"/>
                <w:color w:val="auto"/>
              </w:rPr>
            </w:pP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Lorient Peregrine Investments, LP</w:t>
            </w:r>
          </w:p>
        </w:tc>
        <w:tc>
          <w:tcPr>
            <w:tcW w:w="11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11/18/2022</w:t>
            </w:r>
          </w:p>
        </w:tc>
        <w:tc>
          <w:tcPr>
            <w:tcW w:w="7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60" w:type="dxa"/>
            <w:vAlign w:val="bottom"/>
          </w:tcPr>
          <w:p>
            <w:pPr>
              <w:spacing w:after="0"/>
              <w:rPr>
                <w:sz w:val="10"/>
                <w:szCs w:val="1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335,590</w:t>
            </w:r>
          </w:p>
        </w:tc>
        <w:tc>
          <w:tcPr>
            <w:tcW w:w="2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4,530</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2,339</w:t>
            </w: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A </w:t>
            </w:r>
            <w:r>
              <w:rPr>
                <w:rFonts w:ascii="Times New Roman" w:cs="Times New Roman" w:eastAsia="Times New Roman" w:hAnsi="Times New Roman"/>
                <w:sz w:val="12"/>
                <w:szCs w:val="12"/>
                <w:color w:val="auto"/>
                <w:vertAlign w:val="superscript"/>
              </w:rPr>
              <w:t>(9)</w:t>
            </w:r>
          </w:p>
        </w:tc>
        <w:tc>
          <w:tcPr>
            <w:tcW w:w="114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07/25/2023</w:t>
            </w: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1,545,460</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7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B </w:t>
            </w:r>
            <w:r>
              <w:rPr>
                <w:rFonts w:ascii="Times New Roman" w:cs="Times New Roman" w:eastAsia="Times New Roman" w:hAnsi="Times New Roman"/>
                <w:sz w:val="12"/>
                <w:szCs w:val="12"/>
                <w:color w:val="auto"/>
                <w:vertAlign w:val="superscript"/>
              </w:rPr>
              <w:t>(9)</w:t>
            </w:r>
          </w:p>
        </w:tc>
        <w:tc>
          <w:tcPr>
            <w:tcW w:w="11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07/25/2023</w:t>
            </w:r>
          </w:p>
        </w:tc>
        <w:tc>
          <w:tcPr>
            <w:tcW w:w="7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660" w:type="dxa"/>
            <w:vAlign w:val="bottom"/>
          </w:tcPr>
          <w:p>
            <w:pPr>
              <w:spacing w:after="0"/>
              <w:rPr>
                <w:sz w:val="10"/>
                <w:szCs w:val="1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1,017,840</w:t>
            </w:r>
          </w:p>
        </w:tc>
        <w:tc>
          <w:tcPr>
            <w:tcW w:w="2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Marketplace Events Acquisition, LLC</w:t>
            </w:r>
          </w:p>
        </w:tc>
        <w:tc>
          <w:tcPr>
            <w:tcW w:w="114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12/19/2024</w:t>
            </w: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14,640</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1,464</w:t>
            </w:r>
          </w:p>
        </w:tc>
        <w:tc>
          <w:tcPr>
            <w:tcW w:w="9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1,731</w:t>
            </w:r>
          </w:p>
        </w:tc>
        <w:tc>
          <w:tcPr>
            <w:tcW w:w="0" w:type="dxa"/>
            <w:vAlign w:val="bottom"/>
          </w:tcPr>
          <w:p>
            <w:pPr>
              <w:spacing w:after="0"/>
              <w:rPr>
                <w:sz w:val="1"/>
                <w:szCs w:val="1"/>
                <w:color w:val="auto"/>
              </w:rPr>
            </w:pP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MDI Aggregator, LP</w:t>
            </w:r>
          </w:p>
        </w:tc>
        <w:tc>
          <w:tcPr>
            <w:tcW w:w="11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07/19/2022</w:t>
            </w:r>
          </w:p>
        </w:tc>
        <w:tc>
          <w:tcPr>
            <w:tcW w:w="7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660" w:type="dxa"/>
            <w:vAlign w:val="bottom"/>
          </w:tcPr>
          <w:p>
            <w:pPr>
              <w:spacing w:after="0"/>
              <w:rPr>
                <w:sz w:val="10"/>
                <w:szCs w:val="1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31,904</w:t>
            </w:r>
          </w:p>
        </w:tc>
        <w:tc>
          <w:tcPr>
            <w:tcW w:w="2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3,232</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3,035</w:t>
            </w: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Meadowlark Title, LLC </w:t>
            </w:r>
            <w:r>
              <w:rPr>
                <w:rFonts w:ascii="Times New Roman" w:cs="Times New Roman" w:eastAsia="Times New Roman" w:hAnsi="Times New Roman"/>
                <w:sz w:val="12"/>
                <w:szCs w:val="12"/>
                <w:color w:val="auto"/>
                <w:vertAlign w:val="superscript"/>
              </w:rPr>
              <w:t>(9)</w:t>
            </w:r>
          </w:p>
        </w:tc>
        <w:tc>
          <w:tcPr>
            <w:tcW w:w="114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12/09/2021</w:t>
            </w: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815,385</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802</w:t>
            </w:r>
          </w:p>
        </w:tc>
        <w:tc>
          <w:tcPr>
            <w:tcW w:w="9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383</w:t>
            </w:r>
          </w:p>
        </w:tc>
        <w:tc>
          <w:tcPr>
            <w:tcW w:w="0" w:type="dxa"/>
            <w:vAlign w:val="bottom"/>
          </w:tcPr>
          <w:p>
            <w:pPr>
              <w:spacing w:after="0"/>
              <w:rPr>
                <w:sz w:val="1"/>
                <w:szCs w:val="1"/>
                <w:color w:val="auto"/>
              </w:rPr>
            </w:pP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Megawatt Acquisition Partners, LLC - Class A</w:t>
            </w:r>
          </w:p>
        </w:tc>
        <w:tc>
          <w:tcPr>
            <w:tcW w:w="11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06/28/2024</w:t>
            </w:r>
          </w:p>
        </w:tc>
        <w:tc>
          <w:tcPr>
            <w:tcW w:w="7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660" w:type="dxa"/>
            <w:vAlign w:val="bottom"/>
          </w:tcPr>
          <w:p>
            <w:pPr>
              <w:spacing w:after="0"/>
              <w:rPr>
                <w:sz w:val="10"/>
                <w:szCs w:val="1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594</w:t>
            </w:r>
          </w:p>
        </w:tc>
        <w:tc>
          <w:tcPr>
            <w:tcW w:w="2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59</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114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09/28/2021</w:t>
            </w: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3,920,145</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3,984</w:t>
            </w:r>
          </w:p>
        </w:tc>
        <w:tc>
          <w:tcPr>
            <w:tcW w:w="9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8,154</w:t>
            </w:r>
          </w:p>
        </w:tc>
        <w:tc>
          <w:tcPr>
            <w:tcW w:w="0" w:type="dxa"/>
            <w:vAlign w:val="bottom"/>
          </w:tcPr>
          <w:p>
            <w:pPr>
              <w:spacing w:after="0"/>
              <w:rPr>
                <w:sz w:val="1"/>
                <w:szCs w:val="1"/>
                <w:color w:val="auto"/>
              </w:rPr>
            </w:pPr>
          </w:p>
        </w:tc>
      </w:tr>
      <w:tr>
        <w:trPr>
          <w:trHeight w:val="120"/>
        </w:trPr>
        <w:tc>
          <w:tcPr>
            <w:tcW w:w="27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NEPRT Parent Holdings, LLC </w:t>
            </w:r>
            <w:r>
              <w:rPr>
                <w:rFonts w:ascii="Times New Roman" w:cs="Times New Roman" w:eastAsia="Times New Roman" w:hAnsi="Times New Roman"/>
                <w:sz w:val="12"/>
                <w:szCs w:val="12"/>
                <w:color w:val="auto"/>
                <w:vertAlign w:val="superscript"/>
              </w:rPr>
              <w:t>(9)</w:t>
            </w:r>
          </w:p>
        </w:tc>
        <w:tc>
          <w:tcPr>
            <w:tcW w:w="11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6"/>
              </w:rPr>
              <w:t>01/27/2021</w:t>
            </w:r>
          </w:p>
        </w:tc>
        <w:tc>
          <w:tcPr>
            <w:tcW w:w="7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660" w:type="dxa"/>
            <w:vAlign w:val="bottom"/>
          </w:tcPr>
          <w:p>
            <w:pPr>
              <w:spacing w:after="0"/>
              <w:rPr>
                <w:sz w:val="10"/>
                <w:szCs w:val="1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1,299</w:t>
            </w:r>
          </w:p>
        </w:tc>
        <w:tc>
          <w:tcPr>
            <w:tcW w:w="2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1,250</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205</w:t>
            </w:r>
          </w:p>
        </w:tc>
        <w:tc>
          <w:tcPr>
            <w:tcW w:w="0" w:type="dxa"/>
            <w:vAlign w:val="bottom"/>
          </w:tcPr>
          <w:p>
            <w:pPr>
              <w:spacing w:after="0"/>
              <w:rPr>
                <w:sz w:val="1"/>
                <w:szCs w:val="1"/>
                <w:color w:val="auto"/>
              </w:rPr>
            </w:pP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New Insight Holdings, Inc.</w:t>
            </w:r>
          </w:p>
        </w:tc>
        <w:tc>
          <w:tcPr>
            <w:tcW w:w="114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6"/>
              </w:rPr>
              <w:t>07/15/2024</w:t>
            </w:r>
          </w:p>
        </w:tc>
        <w:tc>
          <w:tcPr>
            <w:tcW w:w="72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60" w:type="dxa"/>
            <w:vAlign w:val="bottom"/>
            <w:shd w:val="clear" w:color="auto" w:fill="CCECFF"/>
          </w:tcPr>
          <w:p>
            <w:pPr>
              <w:spacing w:after="0"/>
              <w:rPr>
                <w:sz w:val="10"/>
                <w:szCs w:val="10"/>
                <w:color w:val="auto"/>
              </w:rPr>
            </w:pP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1,157</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20</w:t>
            </w:r>
          </w:p>
        </w:tc>
        <w:tc>
          <w:tcPr>
            <w:tcW w:w="9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0"/>
        </w:trPr>
        <w:tc>
          <w:tcPr>
            <w:tcW w:w="2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7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120" w:type="dxa"/>
            <w:vAlign w:val="bottom"/>
          </w:tcPr>
          <w:p>
            <w:pPr>
              <w:jc w:val="center"/>
              <w:ind w:left="252"/>
              <w:spacing w:after="0"/>
              <w:rPr>
                <w:sz w:val="20"/>
                <w:szCs w:val="20"/>
                <w:color w:val="auto"/>
              </w:rPr>
            </w:pPr>
            <w:r>
              <w:rPr>
                <w:rFonts w:ascii="Times New Roman" w:cs="Times New Roman" w:eastAsia="Times New Roman" w:hAnsi="Times New Roman"/>
                <w:sz w:val="10"/>
                <w:szCs w:val="10"/>
                <w:b w:val="1"/>
                <w:bCs w:val="1"/>
                <w:color w:val="auto"/>
                <w:w w:val="93"/>
              </w:rPr>
              <w:t>Acquisition</w:t>
            </w:r>
          </w:p>
        </w:tc>
        <w:tc>
          <w:tcPr>
            <w:tcW w:w="70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(4)</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40" w:type="dxa"/>
            <w:vAlign w:val="bottom"/>
          </w:tcPr>
          <w:p>
            <w:pPr>
              <w:spacing w:after="0"/>
              <w:rPr>
                <w:sz w:val="10"/>
                <w:szCs w:val="10"/>
                <w:color w:val="auto"/>
              </w:rPr>
            </w:pPr>
          </w:p>
        </w:tc>
        <w:tc>
          <w:tcPr>
            <w:tcW w:w="60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Pr>
          <w:p>
            <w:pPr>
              <w:spacing w:after="0"/>
              <w:rPr>
                <w:sz w:val="10"/>
                <w:szCs w:val="10"/>
                <w:color w:val="auto"/>
              </w:rPr>
            </w:pPr>
          </w:p>
        </w:tc>
        <w:tc>
          <w:tcPr>
            <w:tcW w:w="800" w:type="dxa"/>
            <w:vAlign w:val="bottom"/>
          </w:tcPr>
          <w:p>
            <w:pPr>
              <w:jc w:val="right"/>
              <w:ind w:right="172"/>
              <w:spacing w:after="0" w:line="122" w:lineRule="exact"/>
              <w:rPr>
                <w:sz w:val="20"/>
                <w:szCs w:val="20"/>
                <w:color w:val="auto"/>
              </w:rPr>
            </w:pPr>
            <w:r>
              <w:rPr>
                <w:rFonts w:ascii="Times New Roman" w:cs="Times New Roman" w:eastAsia="Times New Roman" w:hAnsi="Times New Roman"/>
                <w:sz w:val="10"/>
                <w:szCs w:val="10"/>
                <w:b w:val="1"/>
                <w:bCs w:val="1"/>
                <w:color w:val="auto"/>
                <w:w w:val="97"/>
              </w:rPr>
              <w:t xml:space="preserve">Fair Value </w:t>
            </w:r>
            <w:r>
              <w:rPr>
                <w:rFonts w:ascii="Times New Roman" w:cs="Times New Roman" w:eastAsia="Times New Roman" w:hAnsi="Times New Roman"/>
                <w:sz w:val="12"/>
                <w:szCs w:val="12"/>
                <w:b w:val="1"/>
                <w:bCs w:val="1"/>
                <w:color w:val="auto"/>
                <w:w w:val="97"/>
                <w:vertAlign w:val="superscript"/>
              </w:rPr>
              <w:t>(3)</w:t>
            </w:r>
          </w:p>
        </w:tc>
      </w:tr>
      <w:tr>
        <w:trPr>
          <w:trHeight w:val="120"/>
        </w:trPr>
        <w:tc>
          <w:tcPr>
            <w:tcW w:w="27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New Medina Health, LLC </w:t>
            </w:r>
            <w:r>
              <w:rPr>
                <w:rFonts w:ascii="Times New Roman" w:cs="Times New Roman" w:eastAsia="Times New Roman" w:hAnsi="Times New Roman"/>
                <w:sz w:val="12"/>
                <w:szCs w:val="12"/>
                <w:color w:val="auto"/>
                <w:vertAlign w:val="superscript"/>
              </w:rPr>
              <w:t>(9)</w:t>
            </w:r>
          </w:p>
        </w:tc>
        <w:tc>
          <w:tcPr>
            <w:tcW w:w="112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10/16/2023</w:t>
            </w:r>
          </w:p>
        </w:tc>
        <w:tc>
          <w:tcPr>
            <w:tcW w:w="7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660" w:type="dxa"/>
            <w:vAlign w:val="bottom"/>
            <w:shd w:val="clear" w:color="auto" w:fill="CCECFF"/>
          </w:tcPr>
          <w:p>
            <w:pPr>
              <w:spacing w:after="0"/>
              <w:rPr>
                <w:sz w:val="10"/>
                <w:szCs w:val="10"/>
                <w:color w:val="auto"/>
              </w:rPr>
            </w:pP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1,429,480</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1,429</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2,225</w:t>
            </w: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NFS - CFP Holdings, LLC</w:t>
            </w:r>
          </w:p>
        </w:tc>
        <w:tc>
          <w:tcPr>
            <w:tcW w:w="112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09/13/2024</w:t>
            </w:r>
          </w:p>
        </w:tc>
        <w:tc>
          <w:tcPr>
            <w:tcW w:w="70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60" w:type="dxa"/>
            <w:vAlign w:val="bottom"/>
          </w:tcPr>
          <w:p>
            <w:pPr>
              <w:spacing w:after="0"/>
              <w:rPr>
                <w:sz w:val="10"/>
                <w:szCs w:val="10"/>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662,983</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663</w:t>
            </w:r>
          </w:p>
        </w:tc>
        <w:tc>
          <w:tcPr>
            <w:tcW w:w="200" w:type="dxa"/>
            <w:vAlign w:val="bottom"/>
          </w:tcPr>
          <w:p>
            <w:pPr>
              <w:spacing w:after="0"/>
              <w:rPr>
                <w:sz w:val="10"/>
                <w:szCs w:val="1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804</w:t>
            </w:r>
          </w:p>
        </w:tc>
      </w:tr>
      <w:tr>
        <w:trPr>
          <w:trHeight w:val="120"/>
        </w:trPr>
        <w:tc>
          <w:tcPr>
            <w:tcW w:w="27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NORA Parent Holdings, LLC </w:t>
            </w:r>
            <w:r>
              <w:rPr>
                <w:rFonts w:ascii="Times New Roman" w:cs="Times New Roman" w:eastAsia="Times New Roman" w:hAnsi="Times New Roman"/>
                <w:sz w:val="12"/>
                <w:szCs w:val="12"/>
                <w:color w:val="auto"/>
                <w:vertAlign w:val="superscript"/>
              </w:rPr>
              <w:t>(9)</w:t>
            </w:r>
          </w:p>
        </w:tc>
        <w:tc>
          <w:tcPr>
            <w:tcW w:w="112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08/22/2023</w:t>
            </w:r>
          </w:p>
        </w:tc>
        <w:tc>
          <w:tcPr>
            <w:tcW w:w="7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660" w:type="dxa"/>
            <w:vAlign w:val="bottom"/>
            <w:shd w:val="clear" w:color="auto" w:fill="CCECFF"/>
          </w:tcPr>
          <w:p>
            <w:pPr>
              <w:spacing w:after="0"/>
              <w:rPr>
                <w:sz w:val="10"/>
                <w:szCs w:val="10"/>
                <w:color w:val="auto"/>
              </w:rPr>
            </w:pP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1,257</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1,248</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612</w:t>
            </w:r>
          </w:p>
        </w:tc>
      </w:tr>
      <w:tr>
        <w:trPr>
          <w:trHeight w:val="120"/>
        </w:trPr>
        <w:tc>
          <w:tcPr>
            <w:tcW w:w="27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North Haven Saints Equity Holdings, LP </w:t>
            </w:r>
            <w:r>
              <w:rPr>
                <w:rFonts w:ascii="Times New Roman" w:cs="Times New Roman" w:eastAsia="Times New Roman" w:hAnsi="Times New Roman"/>
                <w:sz w:val="12"/>
                <w:szCs w:val="12"/>
                <w:color w:val="auto"/>
                <w:vertAlign w:val="superscript"/>
              </w:rPr>
              <w:t>(9)</w:t>
            </w:r>
          </w:p>
        </w:tc>
        <w:tc>
          <w:tcPr>
            <w:tcW w:w="112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02/25/2022</w:t>
            </w:r>
          </w:p>
        </w:tc>
        <w:tc>
          <w:tcPr>
            <w:tcW w:w="70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60" w:type="dxa"/>
            <w:vAlign w:val="bottom"/>
          </w:tcPr>
          <w:p>
            <w:pPr>
              <w:spacing w:after="0"/>
              <w:rPr>
                <w:sz w:val="10"/>
                <w:szCs w:val="10"/>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351,553</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352</w:t>
            </w:r>
          </w:p>
        </w:tc>
        <w:tc>
          <w:tcPr>
            <w:tcW w:w="200" w:type="dxa"/>
            <w:vAlign w:val="bottom"/>
          </w:tcPr>
          <w:p>
            <w:pPr>
              <w:spacing w:after="0"/>
              <w:rPr>
                <w:sz w:val="10"/>
                <w:szCs w:val="1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355</w:t>
            </w: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Northwinds Services Group, LLC</w:t>
            </w:r>
          </w:p>
        </w:tc>
        <w:tc>
          <w:tcPr>
            <w:tcW w:w="112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08/16/2024</w:t>
            </w:r>
          </w:p>
        </w:tc>
        <w:tc>
          <w:tcPr>
            <w:tcW w:w="7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Services</w:t>
            </w:r>
          </w:p>
        </w:tc>
        <w:tc>
          <w:tcPr>
            <w:tcW w:w="660" w:type="dxa"/>
            <w:vAlign w:val="bottom"/>
            <w:shd w:val="clear" w:color="auto" w:fill="CCECFF"/>
          </w:tcPr>
          <w:p>
            <w:pPr>
              <w:spacing w:after="0"/>
              <w:rPr>
                <w:sz w:val="10"/>
                <w:szCs w:val="10"/>
                <w:color w:val="auto"/>
              </w:rPr>
            </w:pP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840,000</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1,680</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1,960</w:t>
            </w: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NXOF Holdings, Inc.</w:t>
            </w:r>
          </w:p>
        </w:tc>
        <w:tc>
          <w:tcPr>
            <w:tcW w:w="112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02/26/2019</w:t>
            </w:r>
          </w:p>
        </w:tc>
        <w:tc>
          <w:tcPr>
            <w:tcW w:w="70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60" w:type="dxa"/>
            <w:vAlign w:val="bottom"/>
          </w:tcPr>
          <w:p>
            <w:pPr>
              <w:spacing w:after="0"/>
              <w:rPr>
                <w:sz w:val="10"/>
                <w:szCs w:val="10"/>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8,188</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w:t>
            </w:r>
          </w:p>
        </w:tc>
        <w:tc>
          <w:tcPr>
            <w:tcW w:w="20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7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OceanSound Discovery Equity, LP </w:t>
            </w:r>
            <w:r>
              <w:rPr>
                <w:rFonts w:ascii="Times New Roman" w:cs="Times New Roman" w:eastAsia="Times New Roman" w:hAnsi="Times New Roman"/>
                <w:sz w:val="12"/>
                <w:szCs w:val="12"/>
                <w:color w:val="auto"/>
                <w:vertAlign w:val="superscript"/>
              </w:rPr>
              <w:t>(9)</w:t>
            </w:r>
          </w:p>
        </w:tc>
        <w:tc>
          <w:tcPr>
            <w:tcW w:w="112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03/28/2024</w:t>
            </w:r>
          </w:p>
        </w:tc>
        <w:tc>
          <w:tcPr>
            <w:tcW w:w="7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60" w:type="dxa"/>
            <w:vAlign w:val="bottom"/>
            <w:shd w:val="clear" w:color="auto" w:fill="CCECFF"/>
          </w:tcPr>
          <w:p>
            <w:pPr>
              <w:spacing w:after="0"/>
              <w:rPr>
                <w:sz w:val="10"/>
                <w:szCs w:val="10"/>
                <w:color w:val="auto"/>
              </w:rPr>
            </w:pP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119,966</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1,200</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1,496</w:t>
            </w: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OES Co-Invest, LP - Class A</w:t>
            </w:r>
          </w:p>
        </w:tc>
        <w:tc>
          <w:tcPr>
            <w:tcW w:w="112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05/31/2024</w:t>
            </w:r>
          </w:p>
        </w:tc>
        <w:tc>
          <w:tcPr>
            <w:tcW w:w="70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660" w:type="dxa"/>
            <w:vAlign w:val="bottom"/>
          </w:tcPr>
          <w:p>
            <w:pPr>
              <w:spacing w:after="0"/>
              <w:rPr>
                <w:sz w:val="10"/>
                <w:szCs w:val="10"/>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840</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851</w:t>
            </w:r>
          </w:p>
        </w:tc>
        <w:tc>
          <w:tcPr>
            <w:tcW w:w="200" w:type="dxa"/>
            <w:vAlign w:val="bottom"/>
          </w:tcPr>
          <w:p>
            <w:pPr>
              <w:spacing w:after="0"/>
              <w:rPr>
                <w:sz w:val="10"/>
                <w:szCs w:val="1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714</w:t>
            </w: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OHCP V BC COI, LP</w:t>
            </w:r>
          </w:p>
        </w:tc>
        <w:tc>
          <w:tcPr>
            <w:tcW w:w="112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12/13/2021</w:t>
            </w:r>
          </w:p>
        </w:tc>
        <w:tc>
          <w:tcPr>
            <w:tcW w:w="7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660" w:type="dxa"/>
            <w:vAlign w:val="bottom"/>
            <w:shd w:val="clear" w:color="auto" w:fill="CCECFF"/>
          </w:tcPr>
          <w:p>
            <w:pPr>
              <w:spacing w:after="0"/>
              <w:rPr>
                <w:sz w:val="10"/>
                <w:szCs w:val="10"/>
                <w:color w:val="auto"/>
              </w:rPr>
            </w:pP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699,844</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700</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385</w:t>
            </w:r>
          </w:p>
        </w:tc>
      </w:tr>
      <w:tr>
        <w:trPr>
          <w:trHeight w:val="120"/>
        </w:trPr>
        <w:tc>
          <w:tcPr>
            <w:tcW w:w="27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OHCP V BC COI, LP - Unfunded </w:t>
            </w:r>
            <w:r>
              <w:rPr>
                <w:rFonts w:ascii="Times New Roman" w:cs="Times New Roman" w:eastAsia="Times New Roman" w:hAnsi="Times New Roman"/>
                <w:sz w:val="12"/>
                <w:szCs w:val="12"/>
                <w:color w:val="auto"/>
                <w:vertAlign w:val="superscript"/>
              </w:rPr>
              <w:t>(7)</w:t>
            </w:r>
          </w:p>
        </w:tc>
        <w:tc>
          <w:tcPr>
            <w:tcW w:w="112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12/13/2021</w:t>
            </w:r>
          </w:p>
        </w:tc>
        <w:tc>
          <w:tcPr>
            <w:tcW w:w="70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660" w:type="dxa"/>
            <w:vAlign w:val="bottom"/>
          </w:tcPr>
          <w:p>
            <w:pPr>
              <w:spacing w:after="0"/>
              <w:rPr>
                <w:sz w:val="10"/>
                <w:szCs w:val="10"/>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50,156</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(23)</w:t>
            </w: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ORL Holdco, Inc.</w:t>
            </w:r>
          </w:p>
        </w:tc>
        <w:tc>
          <w:tcPr>
            <w:tcW w:w="112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09/01/2021</w:t>
            </w:r>
          </w:p>
        </w:tc>
        <w:tc>
          <w:tcPr>
            <w:tcW w:w="7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60" w:type="dxa"/>
            <w:vAlign w:val="bottom"/>
            <w:shd w:val="clear" w:color="auto" w:fill="CCECFF"/>
          </w:tcPr>
          <w:p>
            <w:pPr>
              <w:spacing w:after="0"/>
              <w:rPr>
                <w:sz w:val="10"/>
                <w:szCs w:val="10"/>
                <w:color w:val="auto"/>
              </w:rPr>
            </w:pP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638</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OSP Embedded Aggregator, LP</w:t>
            </w:r>
          </w:p>
        </w:tc>
        <w:tc>
          <w:tcPr>
            <w:tcW w:w="112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12/11/2023</w:t>
            </w:r>
          </w:p>
        </w:tc>
        <w:tc>
          <w:tcPr>
            <w:tcW w:w="70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60" w:type="dxa"/>
            <w:vAlign w:val="bottom"/>
          </w:tcPr>
          <w:p>
            <w:pPr>
              <w:spacing w:after="0"/>
              <w:rPr>
                <w:sz w:val="10"/>
                <w:szCs w:val="10"/>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871</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871</w:t>
            </w:r>
          </w:p>
        </w:tc>
        <w:tc>
          <w:tcPr>
            <w:tcW w:w="200" w:type="dxa"/>
            <w:vAlign w:val="bottom"/>
          </w:tcPr>
          <w:p>
            <w:pPr>
              <w:spacing w:after="0"/>
              <w:rPr>
                <w:sz w:val="10"/>
                <w:szCs w:val="1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1,011</w:t>
            </w: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OSP PAR Holdings, LP</w:t>
            </w:r>
          </w:p>
        </w:tc>
        <w:tc>
          <w:tcPr>
            <w:tcW w:w="112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09/03/2024</w:t>
            </w:r>
          </w:p>
        </w:tc>
        <w:tc>
          <w:tcPr>
            <w:tcW w:w="7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660" w:type="dxa"/>
            <w:vAlign w:val="bottom"/>
            <w:shd w:val="clear" w:color="auto" w:fill="CCECFF"/>
          </w:tcPr>
          <w:p>
            <w:pPr>
              <w:spacing w:after="0"/>
              <w:rPr>
                <w:sz w:val="10"/>
                <w:szCs w:val="10"/>
                <w:color w:val="auto"/>
              </w:rPr>
            </w:pP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1,806</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1,812</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1,735</w:t>
            </w: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Paving Parent, LLC</w:t>
            </w:r>
          </w:p>
        </w:tc>
        <w:tc>
          <w:tcPr>
            <w:tcW w:w="112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07/01/2025</w:t>
            </w:r>
          </w:p>
        </w:tc>
        <w:tc>
          <w:tcPr>
            <w:tcW w:w="70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60" w:type="dxa"/>
            <w:vAlign w:val="bottom"/>
          </w:tcPr>
          <w:p>
            <w:pPr>
              <w:spacing w:after="0"/>
              <w:rPr>
                <w:sz w:val="10"/>
                <w:szCs w:val="10"/>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1,166</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1,166</w:t>
            </w:r>
          </w:p>
        </w:tc>
        <w:tc>
          <w:tcPr>
            <w:tcW w:w="200" w:type="dxa"/>
            <w:vAlign w:val="bottom"/>
          </w:tcPr>
          <w:p>
            <w:pPr>
              <w:spacing w:after="0"/>
              <w:rPr>
                <w:sz w:val="10"/>
                <w:szCs w:val="1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1,092</w:t>
            </w:r>
          </w:p>
        </w:tc>
      </w:tr>
      <w:tr>
        <w:trPr>
          <w:trHeight w:val="132"/>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PCS Parent, LP</w:t>
            </w:r>
          </w:p>
        </w:tc>
        <w:tc>
          <w:tcPr>
            <w:tcW w:w="112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03/01/2024</w:t>
            </w:r>
          </w:p>
        </w:tc>
        <w:tc>
          <w:tcPr>
            <w:tcW w:w="700" w:type="dxa"/>
            <w:vAlign w:val="bottom"/>
            <w:shd w:val="clear" w:color="auto" w:fill="CCECFF"/>
          </w:tcPr>
          <w:p>
            <w:pPr>
              <w:spacing w:after="0"/>
              <w:rPr>
                <w:sz w:val="11"/>
                <w:szCs w:val="11"/>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660" w:type="dxa"/>
            <w:vAlign w:val="bottom"/>
            <w:shd w:val="clear" w:color="auto" w:fill="CCECFF"/>
          </w:tcPr>
          <w:p>
            <w:pPr>
              <w:spacing w:after="0"/>
              <w:rPr>
                <w:sz w:val="11"/>
                <w:szCs w:val="11"/>
                <w:color w:val="auto"/>
              </w:rPr>
            </w:pP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421,304</w:t>
            </w:r>
          </w:p>
        </w:tc>
        <w:tc>
          <w:tcPr>
            <w:tcW w:w="240" w:type="dxa"/>
            <w:vAlign w:val="bottom"/>
            <w:shd w:val="clear" w:color="auto" w:fill="CCECFF"/>
          </w:tcPr>
          <w:p>
            <w:pPr>
              <w:spacing w:after="0"/>
              <w:rPr>
                <w:sz w:val="11"/>
                <w:szCs w:val="11"/>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421</w:t>
            </w:r>
          </w:p>
        </w:tc>
        <w:tc>
          <w:tcPr>
            <w:tcW w:w="200" w:type="dxa"/>
            <w:vAlign w:val="bottom"/>
            <w:shd w:val="clear" w:color="auto" w:fill="CCECFF"/>
          </w:tcPr>
          <w:p>
            <w:pPr>
              <w:spacing w:after="0"/>
              <w:rPr>
                <w:sz w:val="11"/>
                <w:szCs w:val="11"/>
                <w:color w:val="auto"/>
              </w:rPr>
            </w:pP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421</w:t>
            </w:r>
          </w:p>
        </w:tc>
      </w:tr>
      <w:tr>
        <w:trPr>
          <w:trHeight w:val="120"/>
        </w:trPr>
        <w:tc>
          <w:tcPr>
            <w:tcW w:w="27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PennantPark-TSO Senior Loan Fund II, LP </w:t>
            </w:r>
            <w:r>
              <w:rPr>
                <w:rFonts w:ascii="Times New Roman" w:cs="Times New Roman" w:eastAsia="Times New Roman" w:hAnsi="Times New Roman"/>
                <w:sz w:val="12"/>
                <w:szCs w:val="12"/>
                <w:color w:val="auto"/>
                <w:vertAlign w:val="superscript"/>
              </w:rPr>
              <w:t>(11)</w:t>
            </w:r>
          </w:p>
        </w:tc>
        <w:tc>
          <w:tcPr>
            <w:tcW w:w="112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01/07/2022</w:t>
            </w:r>
          </w:p>
        </w:tc>
        <w:tc>
          <w:tcPr>
            <w:tcW w:w="70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660" w:type="dxa"/>
            <w:vAlign w:val="bottom"/>
          </w:tcPr>
          <w:p>
            <w:pPr>
              <w:spacing w:after="0"/>
              <w:rPr>
                <w:sz w:val="10"/>
                <w:szCs w:val="10"/>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8,115,794</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8,116</w:t>
            </w:r>
          </w:p>
        </w:tc>
        <w:tc>
          <w:tcPr>
            <w:tcW w:w="200" w:type="dxa"/>
            <w:vAlign w:val="bottom"/>
          </w:tcPr>
          <w:p>
            <w:pPr>
              <w:spacing w:after="0"/>
              <w:rPr>
                <w:sz w:val="10"/>
                <w:szCs w:val="1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7,008</w:t>
            </w: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Penta Group Holdings, Inc.</w:t>
            </w:r>
          </w:p>
        </w:tc>
        <w:tc>
          <w:tcPr>
            <w:tcW w:w="112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07/31/2025</w:t>
            </w:r>
          </w:p>
        </w:tc>
        <w:tc>
          <w:tcPr>
            <w:tcW w:w="7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60" w:type="dxa"/>
            <w:vAlign w:val="bottom"/>
            <w:shd w:val="clear" w:color="auto" w:fill="CCECFF"/>
          </w:tcPr>
          <w:p>
            <w:pPr>
              <w:spacing w:after="0"/>
              <w:rPr>
                <w:sz w:val="10"/>
                <w:szCs w:val="10"/>
                <w:color w:val="auto"/>
              </w:rPr>
            </w:pP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813,376</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813</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813</w:t>
            </w:r>
          </w:p>
        </w:tc>
      </w:tr>
      <w:tr>
        <w:trPr>
          <w:trHeight w:val="120"/>
        </w:trPr>
        <w:tc>
          <w:tcPr>
            <w:tcW w:w="27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Pink Lily Holdco, LLC </w:t>
            </w:r>
            <w:r>
              <w:rPr>
                <w:rFonts w:ascii="Times New Roman" w:cs="Times New Roman" w:eastAsia="Times New Roman" w:hAnsi="Times New Roman"/>
                <w:sz w:val="12"/>
                <w:szCs w:val="12"/>
                <w:color w:val="auto"/>
                <w:vertAlign w:val="superscript"/>
              </w:rPr>
              <w:t>(9)</w:t>
            </w:r>
          </w:p>
        </w:tc>
        <w:tc>
          <w:tcPr>
            <w:tcW w:w="112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11/05/2021</w:t>
            </w:r>
          </w:p>
        </w:tc>
        <w:tc>
          <w:tcPr>
            <w:tcW w:w="70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Retail</w:t>
            </w:r>
          </w:p>
        </w:tc>
        <w:tc>
          <w:tcPr>
            <w:tcW w:w="660" w:type="dxa"/>
            <w:vAlign w:val="bottom"/>
          </w:tcPr>
          <w:p>
            <w:pPr>
              <w:spacing w:after="0"/>
              <w:rPr>
                <w:sz w:val="10"/>
                <w:szCs w:val="10"/>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1,044</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1,044</w:t>
            </w:r>
          </w:p>
        </w:tc>
        <w:tc>
          <w:tcPr>
            <w:tcW w:w="20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Podean Intermediate II, LLC</w:t>
            </w:r>
          </w:p>
        </w:tc>
        <w:tc>
          <w:tcPr>
            <w:tcW w:w="112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08/04/2025</w:t>
            </w:r>
          </w:p>
        </w:tc>
        <w:tc>
          <w:tcPr>
            <w:tcW w:w="7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660" w:type="dxa"/>
            <w:vAlign w:val="bottom"/>
            <w:shd w:val="clear" w:color="auto" w:fill="CCECFF"/>
          </w:tcPr>
          <w:p>
            <w:pPr>
              <w:spacing w:after="0"/>
              <w:rPr>
                <w:sz w:val="10"/>
                <w:szCs w:val="10"/>
                <w:color w:val="auto"/>
              </w:rPr>
            </w:pP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287</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287</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287</w:t>
            </w: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Project Granite Holdings, LLC</w:t>
            </w:r>
          </w:p>
        </w:tc>
        <w:tc>
          <w:tcPr>
            <w:tcW w:w="112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12/31/2024</w:t>
            </w:r>
          </w:p>
        </w:tc>
        <w:tc>
          <w:tcPr>
            <w:tcW w:w="70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60" w:type="dxa"/>
            <w:vAlign w:val="bottom"/>
          </w:tcPr>
          <w:p>
            <w:pPr>
              <w:spacing w:after="0"/>
              <w:rPr>
                <w:sz w:val="10"/>
                <w:szCs w:val="10"/>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369</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369</w:t>
            </w:r>
          </w:p>
        </w:tc>
        <w:tc>
          <w:tcPr>
            <w:tcW w:w="200" w:type="dxa"/>
            <w:vAlign w:val="bottom"/>
          </w:tcPr>
          <w:p>
            <w:pPr>
              <w:spacing w:after="0"/>
              <w:rPr>
                <w:sz w:val="10"/>
                <w:szCs w:val="1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386</w:t>
            </w: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Quad (U.S.) Co-Invest, LP</w:t>
            </w:r>
          </w:p>
        </w:tc>
        <w:tc>
          <w:tcPr>
            <w:tcW w:w="112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10/03/2022</w:t>
            </w:r>
          </w:p>
        </w:tc>
        <w:tc>
          <w:tcPr>
            <w:tcW w:w="7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60" w:type="dxa"/>
            <w:vAlign w:val="bottom"/>
            <w:shd w:val="clear" w:color="auto" w:fill="CCECFF"/>
          </w:tcPr>
          <w:p>
            <w:pPr>
              <w:spacing w:after="0"/>
              <w:rPr>
                <w:sz w:val="10"/>
                <w:szCs w:val="10"/>
                <w:color w:val="auto"/>
              </w:rPr>
            </w:pP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2,607,587</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2,608</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4,036</w:t>
            </w:r>
          </w:p>
        </w:tc>
      </w:tr>
      <w:tr>
        <w:trPr>
          <w:trHeight w:val="120"/>
        </w:trPr>
        <w:tc>
          <w:tcPr>
            <w:tcW w:w="27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(9)</w:t>
            </w:r>
          </w:p>
        </w:tc>
        <w:tc>
          <w:tcPr>
            <w:tcW w:w="112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05/01/2020</w:t>
            </w:r>
          </w:p>
        </w:tc>
        <w:tc>
          <w:tcPr>
            <w:tcW w:w="70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60" w:type="dxa"/>
            <w:vAlign w:val="bottom"/>
          </w:tcPr>
          <w:p>
            <w:pPr>
              <w:spacing w:after="0"/>
              <w:rPr>
                <w:sz w:val="10"/>
                <w:szCs w:val="10"/>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700</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96</w:t>
            </w:r>
          </w:p>
        </w:tc>
      </w:tr>
      <w:tr>
        <w:trPr>
          <w:trHeight w:val="120"/>
        </w:trPr>
        <w:tc>
          <w:tcPr>
            <w:tcW w:w="27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LP - Unfunded </w:t>
            </w:r>
            <w:r>
              <w:rPr>
                <w:rFonts w:ascii="Times New Roman" w:cs="Times New Roman" w:eastAsia="Times New Roman" w:hAnsi="Times New Roman"/>
                <w:sz w:val="12"/>
                <w:szCs w:val="12"/>
                <w:color w:val="auto"/>
                <w:vertAlign w:val="superscript"/>
              </w:rPr>
              <w:t>(7), (9)</w:t>
            </w:r>
          </w:p>
        </w:tc>
        <w:tc>
          <w:tcPr>
            <w:tcW w:w="112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05/01/2020</w:t>
            </w:r>
          </w:p>
        </w:tc>
        <w:tc>
          <w:tcPr>
            <w:tcW w:w="7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60" w:type="dxa"/>
            <w:vAlign w:val="bottom"/>
            <w:shd w:val="clear" w:color="auto" w:fill="CCECFF"/>
          </w:tcPr>
          <w:p>
            <w:pPr>
              <w:spacing w:after="0"/>
              <w:rPr>
                <w:sz w:val="10"/>
                <w:szCs w:val="10"/>
                <w:color w:val="auto"/>
              </w:rPr>
            </w:pP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955</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7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II, LP </w:t>
            </w:r>
            <w:r>
              <w:rPr>
                <w:rFonts w:ascii="Times New Roman" w:cs="Times New Roman" w:eastAsia="Times New Roman" w:hAnsi="Times New Roman"/>
                <w:sz w:val="12"/>
                <w:szCs w:val="12"/>
                <w:color w:val="auto"/>
                <w:vertAlign w:val="superscript"/>
              </w:rPr>
              <w:t>(9)</w:t>
            </w:r>
          </w:p>
        </w:tc>
        <w:tc>
          <w:tcPr>
            <w:tcW w:w="112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05/01/2020</w:t>
            </w:r>
          </w:p>
        </w:tc>
        <w:tc>
          <w:tcPr>
            <w:tcW w:w="70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60" w:type="dxa"/>
            <w:vAlign w:val="bottom"/>
          </w:tcPr>
          <w:p>
            <w:pPr>
              <w:spacing w:after="0"/>
              <w:rPr>
                <w:sz w:val="10"/>
                <w:szCs w:val="10"/>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w:t>
            </w:r>
          </w:p>
        </w:tc>
        <w:tc>
          <w:tcPr>
            <w:tcW w:w="200" w:type="dxa"/>
            <w:vAlign w:val="bottom"/>
          </w:tcPr>
          <w:p>
            <w:pPr>
              <w:spacing w:after="0"/>
              <w:rPr>
                <w:sz w:val="10"/>
                <w:szCs w:val="1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w:t>
            </w: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RFMG Parent, LP</w:t>
            </w:r>
          </w:p>
        </w:tc>
        <w:tc>
          <w:tcPr>
            <w:tcW w:w="112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12/16/2020</w:t>
            </w:r>
          </w:p>
        </w:tc>
        <w:tc>
          <w:tcPr>
            <w:tcW w:w="7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660" w:type="dxa"/>
            <w:vAlign w:val="bottom"/>
            <w:shd w:val="clear" w:color="auto" w:fill="CCECFF"/>
          </w:tcPr>
          <w:p>
            <w:pPr>
              <w:spacing w:after="0"/>
              <w:rPr>
                <w:sz w:val="10"/>
                <w:szCs w:val="10"/>
                <w:color w:val="auto"/>
              </w:rPr>
            </w:pP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1,050,000</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1,050</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1,292</w:t>
            </w: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Ro Health Holdings, Inc.</w:t>
            </w:r>
          </w:p>
        </w:tc>
        <w:tc>
          <w:tcPr>
            <w:tcW w:w="112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01/16/2025</w:t>
            </w:r>
          </w:p>
        </w:tc>
        <w:tc>
          <w:tcPr>
            <w:tcW w:w="70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Healthcare Providers &amp; Services</w:t>
            </w:r>
          </w:p>
        </w:tc>
        <w:tc>
          <w:tcPr>
            <w:tcW w:w="660" w:type="dxa"/>
            <w:vAlign w:val="bottom"/>
          </w:tcPr>
          <w:p>
            <w:pPr>
              <w:spacing w:after="0"/>
              <w:rPr>
                <w:sz w:val="10"/>
                <w:szCs w:val="10"/>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289,700</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290</w:t>
            </w:r>
          </w:p>
        </w:tc>
        <w:tc>
          <w:tcPr>
            <w:tcW w:w="200" w:type="dxa"/>
            <w:vAlign w:val="bottom"/>
          </w:tcPr>
          <w:p>
            <w:pPr>
              <w:spacing w:after="0"/>
              <w:rPr>
                <w:sz w:val="10"/>
                <w:szCs w:val="1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436</w:t>
            </w: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Rosco Topco, LLC</w:t>
            </w:r>
          </w:p>
        </w:tc>
        <w:tc>
          <w:tcPr>
            <w:tcW w:w="112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09/09/2025</w:t>
            </w:r>
          </w:p>
        </w:tc>
        <w:tc>
          <w:tcPr>
            <w:tcW w:w="7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60" w:type="dxa"/>
            <w:vAlign w:val="bottom"/>
            <w:shd w:val="clear" w:color="auto" w:fill="CCECFF"/>
          </w:tcPr>
          <w:p>
            <w:pPr>
              <w:spacing w:after="0"/>
              <w:rPr>
                <w:sz w:val="10"/>
                <w:szCs w:val="10"/>
                <w:color w:val="auto"/>
              </w:rPr>
            </w:pP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701,149</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701</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701</w:t>
            </w:r>
          </w:p>
        </w:tc>
      </w:tr>
      <w:tr>
        <w:trPr>
          <w:trHeight w:val="120"/>
        </w:trPr>
        <w:tc>
          <w:tcPr>
            <w:tcW w:w="27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Sabel InvestCo, LP </w:t>
            </w:r>
            <w:r>
              <w:rPr>
                <w:rFonts w:ascii="Times New Roman" w:cs="Times New Roman" w:eastAsia="Times New Roman" w:hAnsi="Times New Roman"/>
                <w:sz w:val="12"/>
                <w:szCs w:val="12"/>
                <w:color w:val="auto"/>
                <w:vertAlign w:val="superscript"/>
              </w:rPr>
              <w:t>(9)</w:t>
            </w:r>
          </w:p>
        </w:tc>
        <w:tc>
          <w:tcPr>
            <w:tcW w:w="112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10/31/2024</w:t>
            </w:r>
          </w:p>
        </w:tc>
        <w:tc>
          <w:tcPr>
            <w:tcW w:w="70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Government Services</w:t>
            </w:r>
          </w:p>
        </w:tc>
        <w:tc>
          <w:tcPr>
            <w:tcW w:w="660" w:type="dxa"/>
            <w:vAlign w:val="bottom"/>
          </w:tcPr>
          <w:p>
            <w:pPr>
              <w:spacing w:after="0"/>
              <w:rPr>
                <w:sz w:val="10"/>
                <w:szCs w:val="10"/>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32,771</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830</w:t>
            </w:r>
          </w:p>
        </w:tc>
        <w:tc>
          <w:tcPr>
            <w:tcW w:w="200" w:type="dxa"/>
            <w:vAlign w:val="bottom"/>
          </w:tcPr>
          <w:p>
            <w:pPr>
              <w:spacing w:after="0"/>
              <w:rPr>
                <w:sz w:val="10"/>
                <w:szCs w:val="1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1,098</w:t>
            </w:r>
          </w:p>
        </w:tc>
      </w:tr>
      <w:tr>
        <w:trPr>
          <w:trHeight w:val="120"/>
        </w:trPr>
        <w:tc>
          <w:tcPr>
            <w:tcW w:w="27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Sabel InvestCo, LP - Unfunded </w:t>
            </w:r>
            <w:r>
              <w:rPr>
                <w:rFonts w:ascii="Times New Roman" w:cs="Times New Roman" w:eastAsia="Times New Roman" w:hAnsi="Times New Roman"/>
                <w:sz w:val="12"/>
                <w:szCs w:val="12"/>
                <w:color w:val="auto"/>
                <w:vertAlign w:val="superscript"/>
              </w:rPr>
              <w:t>(7), (9)</w:t>
            </w:r>
          </w:p>
        </w:tc>
        <w:tc>
          <w:tcPr>
            <w:tcW w:w="112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10/31/2024</w:t>
            </w:r>
          </w:p>
        </w:tc>
        <w:tc>
          <w:tcPr>
            <w:tcW w:w="7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Government Services</w:t>
            </w:r>
          </w:p>
        </w:tc>
        <w:tc>
          <w:tcPr>
            <w:tcW w:w="660" w:type="dxa"/>
            <w:vAlign w:val="bottom"/>
            <w:shd w:val="clear" w:color="auto" w:fill="CCECFF"/>
          </w:tcPr>
          <w:p>
            <w:pPr>
              <w:spacing w:after="0"/>
              <w:rPr>
                <w:sz w:val="10"/>
                <w:szCs w:val="10"/>
                <w:color w:val="auto"/>
              </w:rPr>
            </w:pP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47,957</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7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Safe Haven Defense MidCo, LLC </w:t>
            </w:r>
            <w:r>
              <w:rPr>
                <w:rFonts w:ascii="Times New Roman" w:cs="Times New Roman" w:eastAsia="Times New Roman" w:hAnsi="Times New Roman"/>
                <w:sz w:val="12"/>
                <w:szCs w:val="12"/>
                <w:color w:val="auto"/>
                <w:vertAlign w:val="superscript"/>
              </w:rPr>
              <w:t>(9)</w:t>
            </w:r>
          </w:p>
        </w:tc>
        <w:tc>
          <w:tcPr>
            <w:tcW w:w="112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05/23/2024</w:t>
            </w:r>
          </w:p>
        </w:tc>
        <w:tc>
          <w:tcPr>
            <w:tcW w:w="70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660" w:type="dxa"/>
            <w:vAlign w:val="bottom"/>
          </w:tcPr>
          <w:p>
            <w:pPr>
              <w:spacing w:after="0"/>
              <w:rPr>
                <w:sz w:val="10"/>
                <w:szCs w:val="10"/>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245</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245</w:t>
            </w:r>
          </w:p>
        </w:tc>
        <w:tc>
          <w:tcPr>
            <w:tcW w:w="200" w:type="dxa"/>
            <w:vAlign w:val="bottom"/>
          </w:tcPr>
          <w:p>
            <w:pPr>
              <w:spacing w:after="0"/>
              <w:rPr>
                <w:sz w:val="10"/>
                <w:szCs w:val="1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89</w:t>
            </w: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SBI Holdings Investments, LLC</w:t>
            </w:r>
          </w:p>
        </w:tc>
        <w:tc>
          <w:tcPr>
            <w:tcW w:w="112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12/23/2019</w:t>
            </w:r>
          </w:p>
        </w:tc>
        <w:tc>
          <w:tcPr>
            <w:tcW w:w="7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60" w:type="dxa"/>
            <w:vAlign w:val="bottom"/>
            <w:shd w:val="clear" w:color="auto" w:fill="CCECFF"/>
          </w:tcPr>
          <w:p>
            <w:pPr>
              <w:spacing w:after="0"/>
              <w:rPr>
                <w:sz w:val="10"/>
                <w:szCs w:val="10"/>
                <w:color w:val="auto"/>
              </w:rPr>
            </w:pP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36,585</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366</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410</w:t>
            </w: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Seacoast Service Partners, LLC</w:t>
            </w:r>
          </w:p>
        </w:tc>
        <w:tc>
          <w:tcPr>
            <w:tcW w:w="112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12/20/2024</w:t>
            </w:r>
          </w:p>
        </w:tc>
        <w:tc>
          <w:tcPr>
            <w:tcW w:w="70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660" w:type="dxa"/>
            <w:vAlign w:val="bottom"/>
          </w:tcPr>
          <w:p>
            <w:pPr>
              <w:spacing w:after="0"/>
              <w:rPr>
                <w:sz w:val="10"/>
                <w:szCs w:val="10"/>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274</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351</w:t>
            </w:r>
          </w:p>
        </w:tc>
        <w:tc>
          <w:tcPr>
            <w:tcW w:w="200" w:type="dxa"/>
            <w:vAlign w:val="bottom"/>
          </w:tcPr>
          <w:p>
            <w:pPr>
              <w:spacing w:after="0"/>
              <w:rPr>
                <w:sz w:val="10"/>
                <w:szCs w:val="1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263</w:t>
            </w: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Seaway Topco, LP</w:t>
            </w:r>
          </w:p>
        </w:tc>
        <w:tc>
          <w:tcPr>
            <w:tcW w:w="112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06/08/2022</w:t>
            </w:r>
          </w:p>
        </w:tc>
        <w:tc>
          <w:tcPr>
            <w:tcW w:w="7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660" w:type="dxa"/>
            <w:vAlign w:val="bottom"/>
            <w:shd w:val="clear" w:color="auto" w:fill="CCECFF"/>
          </w:tcPr>
          <w:p>
            <w:pPr>
              <w:spacing w:after="0"/>
              <w:rPr>
                <w:sz w:val="10"/>
                <w:szCs w:val="10"/>
                <w:color w:val="auto"/>
              </w:rPr>
            </w:pP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2,981</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2,981</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661</w:t>
            </w: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SP L2 Holdings, LLC</w:t>
            </w:r>
          </w:p>
        </w:tc>
        <w:tc>
          <w:tcPr>
            <w:tcW w:w="112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11/04/2021</w:t>
            </w:r>
          </w:p>
        </w:tc>
        <w:tc>
          <w:tcPr>
            <w:tcW w:w="70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660" w:type="dxa"/>
            <w:vAlign w:val="bottom"/>
          </w:tcPr>
          <w:p>
            <w:pPr>
              <w:spacing w:after="0"/>
              <w:rPr>
                <w:sz w:val="10"/>
                <w:szCs w:val="10"/>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881,966</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882</w:t>
            </w:r>
          </w:p>
        </w:tc>
        <w:tc>
          <w:tcPr>
            <w:tcW w:w="20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SSC Dominion Holdings, LLC</w:t>
            </w:r>
          </w:p>
        </w:tc>
        <w:tc>
          <w:tcPr>
            <w:tcW w:w="112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07/11/2018</w:t>
            </w:r>
          </w:p>
        </w:tc>
        <w:tc>
          <w:tcPr>
            <w:tcW w:w="7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660" w:type="dxa"/>
            <w:vAlign w:val="bottom"/>
            <w:shd w:val="clear" w:color="auto" w:fill="CCECFF"/>
          </w:tcPr>
          <w:p>
            <w:pPr>
              <w:spacing w:after="0"/>
              <w:rPr>
                <w:sz w:val="10"/>
                <w:szCs w:val="10"/>
                <w:color w:val="auto"/>
              </w:rPr>
            </w:pP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3,478</w:t>
            </w: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StellPen Holdings, LLC</w:t>
            </w:r>
          </w:p>
        </w:tc>
        <w:tc>
          <w:tcPr>
            <w:tcW w:w="112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08/17/2021</w:t>
            </w:r>
          </w:p>
        </w:tc>
        <w:tc>
          <w:tcPr>
            <w:tcW w:w="70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60" w:type="dxa"/>
            <w:vAlign w:val="bottom"/>
          </w:tcPr>
          <w:p>
            <w:pPr>
              <w:spacing w:after="0"/>
              <w:rPr>
                <w:sz w:val="10"/>
                <w:szCs w:val="10"/>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153,846</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w:t>
            </w:r>
          </w:p>
        </w:tc>
        <w:tc>
          <w:tcPr>
            <w:tcW w:w="200" w:type="dxa"/>
            <w:vAlign w:val="bottom"/>
          </w:tcPr>
          <w:p>
            <w:pPr>
              <w:spacing w:after="0"/>
              <w:rPr>
                <w:sz w:val="10"/>
                <w:szCs w:val="1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114</w:t>
            </w:r>
          </w:p>
        </w:tc>
      </w:tr>
      <w:tr>
        <w:trPr>
          <w:trHeight w:val="120"/>
        </w:trPr>
        <w:tc>
          <w:tcPr>
            <w:tcW w:w="27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TAC LifePort Holdings, LLC </w:t>
            </w:r>
            <w:r>
              <w:rPr>
                <w:rFonts w:ascii="Times New Roman" w:cs="Times New Roman" w:eastAsia="Times New Roman" w:hAnsi="Times New Roman"/>
                <w:sz w:val="12"/>
                <w:szCs w:val="12"/>
                <w:color w:val="auto"/>
                <w:vertAlign w:val="superscript"/>
              </w:rPr>
              <w:t>(9)</w:t>
            </w:r>
          </w:p>
        </w:tc>
        <w:tc>
          <w:tcPr>
            <w:tcW w:w="112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02/24/2021</w:t>
            </w:r>
          </w:p>
        </w:tc>
        <w:tc>
          <w:tcPr>
            <w:tcW w:w="7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60" w:type="dxa"/>
            <w:vAlign w:val="bottom"/>
            <w:shd w:val="clear" w:color="auto" w:fill="CCECFF"/>
          </w:tcPr>
          <w:p>
            <w:pPr>
              <w:spacing w:after="0"/>
              <w:rPr>
                <w:sz w:val="10"/>
                <w:szCs w:val="10"/>
                <w:color w:val="auto"/>
              </w:rPr>
            </w:pP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254,206</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239</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600</w:t>
            </w: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TCG 3.0 Jogger Co-Invest, LP</w:t>
            </w:r>
          </w:p>
        </w:tc>
        <w:tc>
          <w:tcPr>
            <w:tcW w:w="112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01/22/2024</w:t>
            </w:r>
          </w:p>
        </w:tc>
        <w:tc>
          <w:tcPr>
            <w:tcW w:w="70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60" w:type="dxa"/>
            <w:vAlign w:val="bottom"/>
          </w:tcPr>
          <w:p>
            <w:pPr>
              <w:spacing w:after="0"/>
              <w:rPr>
                <w:sz w:val="10"/>
                <w:szCs w:val="10"/>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6,475</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1,252</w:t>
            </w:r>
          </w:p>
        </w:tc>
        <w:tc>
          <w:tcPr>
            <w:tcW w:w="200" w:type="dxa"/>
            <w:vAlign w:val="bottom"/>
          </w:tcPr>
          <w:p>
            <w:pPr>
              <w:spacing w:after="0"/>
              <w:rPr>
                <w:sz w:val="10"/>
                <w:szCs w:val="1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841</w:t>
            </w:r>
          </w:p>
        </w:tc>
      </w:tr>
      <w:tr>
        <w:trPr>
          <w:trHeight w:val="120"/>
        </w:trPr>
        <w:tc>
          <w:tcPr>
            <w:tcW w:w="27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Tinicum Space Coast Co-Invest, LLC </w:t>
            </w:r>
            <w:r>
              <w:rPr>
                <w:rFonts w:ascii="Times New Roman" w:cs="Times New Roman" w:eastAsia="Times New Roman" w:hAnsi="Times New Roman"/>
                <w:sz w:val="12"/>
                <w:szCs w:val="12"/>
                <w:color w:val="auto"/>
                <w:vertAlign w:val="superscript"/>
              </w:rPr>
              <w:t>(9)</w:t>
            </w:r>
          </w:p>
        </w:tc>
        <w:tc>
          <w:tcPr>
            <w:tcW w:w="112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10/29/2024</w:t>
            </w:r>
          </w:p>
        </w:tc>
        <w:tc>
          <w:tcPr>
            <w:tcW w:w="7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60" w:type="dxa"/>
            <w:vAlign w:val="bottom"/>
            <w:shd w:val="clear" w:color="auto" w:fill="CCECFF"/>
          </w:tcPr>
          <w:p>
            <w:pPr>
              <w:spacing w:after="0"/>
              <w:rPr>
                <w:sz w:val="10"/>
                <w:szCs w:val="10"/>
                <w:color w:val="auto"/>
              </w:rPr>
            </w:pP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216</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2,177</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2,406</w:t>
            </w:r>
          </w:p>
        </w:tc>
      </w:tr>
      <w:tr>
        <w:trPr>
          <w:trHeight w:val="18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Tinicum Space Coast Holdings, LLC </w:t>
            </w:r>
            <w:r>
              <w:rPr>
                <w:rFonts w:ascii="Times New Roman" w:cs="Times New Roman" w:eastAsia="Times New Roman" w:hAnsi="Times New Roman"/>
                <w:sz w:val="12"/>
                <w:szCs w:val="12"/>
                <w:color w:val="auto"/>
                <w:vertAlign w:val="superscript"/>
              </w:rPr>
              <w:t>(9)</w:t>
            </w:r>
          </w:p>
        </w:tc>
        <w:tc>
          <w:tcPr>
            <w:tcW w:w="112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12/06/2023</w:t>
            </w:r>
          </w:p>
        </w:tc>
        <w:tc>
          <w:tcPr>
            <w:tcW w:w="70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60" w:type="dxa"/>
            <w:vAlign w:val="bottom"/>
          </w:tcPr>
          <w:p>
            <w:pPr>
              <w:spacing w:after="0"/>
              <w:rPr>
                <w:sz w:val="15"/>
                <w:szCs w:val="15"/>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w:t>
            </w:r>
          </w:p>
        </w:tc>
        <w:tc>
          <w:tcPr>
            <w:tcW w:w="240" w:type="dxa"/>
            <w:vAlign w:val="bottom"/>
          </w:tcPr>
          <w:p>
            <w:pPr>
              <w:spacing w:after="0"/>
              <w:rPr>
                <w:sz w:val="15"/>
                <w:szCs w:val="15"/>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w:t>
            </w:r>
          </w:p>
        </w:tc>
        <w:tc>
          <w:tcPr>
            <w:tcW w:w="200" w:type="dxa"/>
            <w:vAlign w:val="bottom"/>
          </w:tcPr>
          <w:p>
            <w:pPr>
              <w:spacing w:after="0"/>
              <w:rPr>
                <w:sz w:val="15"/>
                <w:szCs w:val="15"/>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614</w:t>
            </w:r>
          </w:p>
        </w:tc>
      </w:tr>
      <w:tr>
        <w:trPr>
          <w:trHeight w:val="120"/>
        </w:trPr>
        <w:tc>
          <w:tcPr>
            <w:tcW w:w="27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Tower Arch Infolinks Media, LP </w:t>
            </w:r>
            <w:r>
              <w:rPr>
                <w:rFonts w:ascii="Times New Roman" w:cs="Times New Roman" w:eastAsia="Times New Roman" w:hAnsi="Times New Roman"/>
                <w:sz w:val="12"/>
                <w:szCs w:val="12"/>
                <w:color w:val="auto"/>
                <w:vertAlign w:val="superscript"/>
              </w:rPr>
              <w:t>(9)</w:t>
            </w:r>
          </w:p>
        </w:tc>
        <w:tc>
          <w:tcPr>
            <w:tcW w:w="112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10/27/2021</w:t>
            </w:r>
          </w:p>
        </w:tc>
        <w:tc>
          <w:tcPr>
            <w:tcW w:w="7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60" w:type="dxa"/>
            <w:vAlign w:val="bottom"/>
            <w:shd w:val="clear" w:color="auto" w:fill="CCECFF"/>
          </w:tcPr>
          <w:p>
            <w:pPr>
              <w:spacing w:after="0"/>
              <w:rPr>
                <w:sz w:val="10"/>
                <w:szCs w:val="10"/>
                <w:color w:val="auto"/>
              </w:rPr>
            </w:pP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548,251</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253</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644</w:t>
            </w:r>
          </w:p>
        </w:tc>
      </w:tr>
      <w:tr>
        <w:trPr>
          <w:trHeight w:val="120"/>
        </w:trPr>
        <w:tc>
          <w:tcPr>
            <w:tcW w:w="27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Tower Arch Infolinks Media, LP - Unfunded </w:t>
            </w:r>
            <w:r>
              <w:rPr>
                <w:rFonts w:ascii="Times New Roman" w:cs="Times New Roman" w:eastAsia="Times New Roman" w:hAnsi="Times New Roman"/>
                <w:sz w:val="12"/>
                <w:szCs w:val="12"/>
                <w:color w:val="auto"/>
                <w:vertAlign w:val="superscript"/>
              </w:rPr>
              <w:t>(7), (9)</w:t>
            </w:r>
          </w:p>
        </w:tc>
        <w:tc>
          <w:tcPr>
            <w:tcW w:w="112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10/27/2021</w:t>
            </w:r>
          </w:p>
        </w:tc>
        <w:tc>
          <w:tcPr>
            <w:tcW w:w="70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60" w:type="dxa"/>
            <w:vAlign w:val="bottom"/>
          </w:tcPr>
          <w:p>
            <w:pPr>
              <w:spacing w:after="0"/>
              <w:rPr>
                <w:sz w:val="10"/>
                <w:szCs w:val="10"/>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347,194</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TPC Holding Company, LP</w:t>
            </w:r>
          </w:p>
        </w:tc>
        <w:tc>
          <w:tcPr>
            <w:tcW w:w="112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12/04/2019</w:t>
            </w:r>
          </w:p>
        </w:tc>
        <w:tc>
          <w:tcPr>
            <w:tcW w:w="7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660" w:type="dxa"/>
            <w:vAlign w:val="bottom"/>
            <w:shd w:val="clear" w:color="auto" w:fill="CCECFF"/>
          </w:tcPr>
          <w:p>
            <w:pPr>
              <w:spacing w:after="0"/>
              <w:rPr>
                <w:sz w:val="10"/>
                <w:szCs w:val="10"/>
                <w:color w:val="auto"/>
              </w:rPr>
            </w:pP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11,527</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740" w:type="dxa"/>
            <w:vAlign w:val="bottom"/>
          </w:tcPr>
          <w:p>
            <w:pPr>
              <w:spacing w:after="0"/>
              <w:rPr>
                <w:sz w:val="20"/>
                <w:szCs w:val="20"/>
                <w:color w:val="auto"/>
              </w:rPr>
            </w:pPr>
            <w:r>
              <w:rPr>
                <w:rFonts w:ascii="Times New Roman" w:cs="Times New Roman" w:eastAsia="Times New Roman" w:hAnsi="Times New Roman"/>
                <w:sz w:val="10"/>
                <w:szCs w:val="10"/>
                <w:color w:val="auto"/>
              </w:rPr>
              <w:t>TWD Parent Holdings, LLC</w:t>
            </w:r>
          </w:p>
        </w:tc>
        <w:tc>
          <w:tcPr>
            <w:tcW w:w="112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08/25/2021</w:t>
            </w:r>
          </w:p>
        </w:tc>
        <w:tc>
          <w:tcPr>
            <w:tcW w:w="70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60" w:type="dxa"/>
            <w:vAlign w:val="bottom"/>
          </w:tcPr>
          <w:p>
            <w:pPr>
              <w:spacing w:after="0"/>
              <w:rPr>
                <w:sz w:val="10"/>
                <w:szCs w:val="10"/>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670</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w:t>
            </w:r>
          </w:p>
        </w:tc>
        <w:tc>
          <w:tcPr>
            <w:tcW w:w="200" w:type="dxa"/>
            <w:vAlign w:val="bottom"/>
          </w:tcPr>
          <w:p>
            <w:pPr>
              <w:spacing w:after="0"/>
              <w:rPr>
                <w:sz w:val="10"/>
                <w:szCs w:val="1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w:t>
            </w: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United Land Services Holdings, LLC</w:t>
            </w:r>
          </w:p>
        </w:tc>
        <w:tc>
          <w:tcPr>
            <w:tcW w:w="112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07/12/2024</w:t>
            </w:r>
          </w:p>
        </w:tc>
        <w:tc>
          <w:tcPr>
            <w:tcW w:w="7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660" w:type="dxa"/>
            <w:vAlign w:val="bottom"/>
            <w:shd w:val="clear" w:color="auto" w:fill="CCECFF"/>
          </w:tcPr>
          <w:p>
            <w:pPr>
              <w:spacing w:after="0"/>
              <w:rPr>
                <w:sz w:val="10"/>
                <w:szCs w:val="10"/>
                <w:color w:val="auto"/>
              </w:rPr>
            </w:pP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184,049</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600</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695</w:t>
            </w:r>
          </w:p>
        </w:tc>
      </w:tr>
      <w:tr>
        <w:trPr>
          <w:trHeight w:val="120"/>
        </w:trPr>
        <w:tc>
          <w:tcPr>
            <w:tcW w:w="27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UniVista Insurance </w:t>
            </w:r>
            <w:r>
              <w:rPr>
                <w:rFonts w:ascii="Times New Roman" w:cs="Times New Roman" w:eastAsia="Times New Roman" w:hAnsi="Times New Roman"/>
                <w:sz w:val="12"/>
                <w:szCs w:val="12"/>
                <w:color w:val="auto"/>
                <w:vertAlign w:val="superscript"/>
              </w:rPr>
              <w:t>(9)</w:t>
            </w:r>
          </w:p>
        </w:tc>
        <w:tc>
          <w:tcPr>
            <w:tcW w:w="112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06/14/2021</w:t>
            </w:r>
          </w:p>
        </w:tc>
        <w:tc>
          <w:tcPr>
            <w:tcW w:w="70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60" w:type="dxa"/>
            <w:vAlign w:val="bottom"/>
          </w:tcPr>
          <w:p>
            <w:pPr>
              <w:spacing w:after="0"/>
              <w:rPr>
                <w:sz w:val="10"/>
                <w:szCs w:val="10"/>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400</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113</w:t>
            </w: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Urology Partners Co, LP</w:t>
            </w:r>
          </w:p>
        </w:tc>
        <w:tc>
          <w:tcPr>
            <w:tcW w:w="112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01/20/2023</w:t>
            </w:r>
          </w:p>
        </w:tc>
        <w:tc>
          <w:tcPr>
            <w:tcW w:w="7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660" w:type="dxa"/>
            <w:vAlign w:val="bottom"/>
            <w:shd w:val="clear" w:color="auto" w:fill="CCECFF"/>
          </w:tcPr>
          <w:p>
            <w:pPr>
              <w:spacing w:after="0"/>
              <w:rPr>
                <w:sz w:val="10"/>
                <w:szCs w:val="10"/>
                <w:color w:val="auto"/>
              </w:rPr>
            </w:pP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1,111,111</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1,111</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4,656</w:t>
            </w:r>
          </w:p>
        </w:tc>
      </w:tr>
      <w:tr>
        <w:trPr>
          <w:trHeight w:val="120"/>
        </w:trPr>
        <w:tc>
          <w:tcPr>
            <w:tcW w:w="27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Wash &amp; Wax Systems. LLC </w:t>
            </w:r>
            <w:r>
              <w:rPr>
                <w:rFonts w:ascii="Times New Roman" w:cs="Times New Roman" w:eastAsia="Times New Roman" w:hAnsi="Times New Roman"/>
                <w:sz w:val="12"/>
                <w:szCs w:val="12"/>
                <w:color w:val="auto"/>
                <w:vertAlign w:val="superscript"/>
              </w:rPr>
              <w:t>(9)</w:t>
            </w:r>
          </w:p>
        </w:tc>
        <w:tc>
          <w:tcPr>
            <w:tcW w:w="112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04/30/2025</w:t>
            </w:r>
          </w:p>
        </w:tc>
        <w:tc>
          <w:tcPr>
            <w:tcW w:w="70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660" w:type="dxa"/>
            <w:vAlign w:val="bottom"/>
          </w:tcPr>
          <w:p>
            <w:pPr>
              <w:spacing w:after="0"/>
              <w:rPr>
                <w:sz w:val="10"/>
                <w:szCs w:val="10"/>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514</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917</w:t>
            </w:r>
          </w:p>
        </w:tc>
        <w:tc>
          <w:tcPr>
            <w:tcW w:w="200" w:type="dxa"/>
            <w:vAlign w:val="bottom"/>
          </w:tcPr>
          <w:p>
            <w:pPr>
              <w:spacing w:after="0"/>
              <w:rPr>
                <w:sz w:val="10"/>
                <w:szCs w:val="1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947</w:t>
            </w:r>
          </w:p>
        </w:tc>
      </w:tr>
      <w:tr>
        <w:trPr>
          <w:trHeight w:val="120"/>
        </w:trPr>
        <w:tc>
          <w:tcPr>
            <w:tcW w:w="27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Watchtower Holdings, LLC </w:t>
            </w:r>
            <w:r>
              <w:rPr>
                <w:rFonts w:ascii="Times New Roman" w:cs="Times New Roman" w:eastAsia="Times New Roman" w:hAnsi="Times New Roman"/>
                <w:sz w:val="12"/>
                <w:szCs w:val="12"/>
                <w:color w:val="auto"/>
                <w:vertAlign w:val="superscript"/>
              </w:rPr>
              <w:t>(9)</w:t>
            </w:r>
          </w:p>
        </w:tc>
        <w:tc>
          <w:tcPr>
            <w:tcW w:w="112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11/29/2023</w:t>
            </w:r>
          </w:p>
        </w:tc>
        <w:tc>
          <w:tcPr>
            <w:tcW w:w="7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660" w:type="dxa"/>
            <w:vAlign w:val="bottom"/>
            <w:shd w:val="clear" w:color="auto" w:fill="CCECFF"/>
          </w:tcPr>
          <w:p>
            <w:pPr>
              <w:spacing w:after="0"/>
              <w:rPr>
                <w:sz w:val="10"/>
                <w:szCs w:val="10"/>
                <w:color w:val="auto"/>
              </w:rPr>
            </w:pP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12,419</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1,242</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1,107</w:t>
            </w:r>
          </w:p>
        </w:tc>
      </w:tr>
      <w:tr>
        <w:trPr>
          <w:trHeight w:val="120"/>
        </w:trPr>
        <w:tc>
          <w:tcPr>
            <w:tcW w:w="27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WCP Ivyrehab Coinvestment, LP </w:t>
            </w:r>
            <w:r>
              <w:rPr>
                <w:rFonts w:ascii="Times New Roman" w:cs="Times New Roman" w:eastAsia="Times New Roman" w:hAnsi="Times New Roman"/>
                <w:sz w:val="12"/>
                <w:szCs w:val="12"/>
                <w:color w:val="auto"/>
                <w:vertAlign w:val="superscript"/>
              </w:rPr>
              <w:t>(9)</w:t>
            </w:r>
          </w:p>
        </w:tc>
        <w:tc>
          <w:tcPr>
            <w:tcW w:w="112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06/27/2022</w:t>
            </w:r>
          </w:p>
        </w:tc>
        <w:tc>
          <w:tcPr>
            <w:tcW w:w="70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660" w:type="dxa"/>
            <w:vAlign w:val="bottom"/>
          </w:tcPr>
          <w:p>
            <w:pPr>
              <w:spacing w:after="0"/>
              <w:rPr>
                <w:sz w:val="10"/>
                <w:szCs w:val="10"/>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w:t>
            </w:r>
          </w:p>
        </w:tc>
        <w:tc>
          <w:tcPr>
            <w:tcW w:w="200" w:type="dxa"/>
            <w:vAlign w:val="bottom"/>
          </w:tcPr>
          <w:p>
            <w:pPr>
              <w:spacing w:after="0"/>
              <w:rPr>
                <w:sz w:val="10"/>
                <w:szCs w:val="1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268</w:t>
            </w:r>
          </w:p>
        </w:tc>
      </w:tr>
      <w:tr>
        <w:trPr>
          <w:trHeight w:val="120"/>
        </w:trPr>
        <w:tc>
          <w:tcPr>
            <w:tcW w:w="27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WCP Ivyrehab QP CF Feeder, LP </w:t>
            </w:r>
            <w:r>
              <w:rPr>
                <w:rFonts w:ascii="Times New Roman" w:cs="Times New Roman" w:eastAsia="Times New Roman" w:hAnsi="Times New Roman"/>
                <w:sz w:val="12"/>
                <w:szCs w:val="12"/>
                <w:color w:val="auto"/>
                <w:vertAlign w:val="superscript"/>
              </w:rPr>
              <w:t>(9)</w:t>
            </w:r>
          </w:p>
        </w:tc>
        <w:tc>
          <w:tcPr>
            <w:tcW w:w="112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06/27/2022</w:t>
            </w:r>
          </w:p>
        </w:tc>
        <w:tc>
          <w:tcPr>
            <w:tcW w:w="7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660" w:type="dxa"/>
            <w:vAlign w:val="bottom"/>
            <w:shd w:val="clear" w:color="auto" w:fill="CCECFF"/>
          </w:tcPr>
          <w:p>
            <w:pPr>
              <w:spacing w:after="0"/>
              <w:rPr>
                <w:sz w:val="10"/>
                <w:szCs w:val="10"/>
                <w:color w:val="auto"/>
              </w:rPr>
            </w:pP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3,754</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3,853</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4,839</w:t>
            </w:r>
          </w:p>
        </w:tc>
      </w:tr>
      <w:tr>
        <w:trPr>
          <w:trHeight w:val="120"/>
        </w:trPr>
        <w:tc>
          <w:tcPr>
            <w:tcW w:w="27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WCP Ivyrehab QP CF Feeder, LP - Unfunded </w:t>
            </w:r>
            <w:r>
              <w:rPr>
                <w:rFonts w:ascii="Times New Roman" w:cs="Times New Roman" w:eastAsia="Times New Roman" w:hAnsi="Times New Roman"/>
                <w:sz w:val="12"/>
                <w:szCs w:val="12"/>
                <w:color w:val="auto"/>
                <w:vertAlign w:val="superscript"/>
              </w:rPr>
              <w:t>(7), (9)</w:t>
            </w:r>
          </w:p>
        </w:tc>
        <w:tc>
          <w:tcPr>
            <w:tcW w:w="112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06/27/2022</w:t>
            </w:r>
          </w:p>
        </w:tc>
        <w:tc>
          <w:tcPr>
            <w:tcW w:w="70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660" w:type="dxa"/>
            <w:vAlign w:val="bottom"/>
          </w:tcPr>
          <w:p>
            <w:pPr>
              <w:spacing w:after="0"/>
              <w:rPr>
                <w:sz w:val="10"/>
                <w:szCs w:val="10"/>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246</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2740" w:type="dxa"/>
            <w:vAlign w:val="bottom"/>
            <w:shd w:val="clear" w:color="auto" w:fill="CCECFF"/>
          </w:tcPr>
          <w:p>
            <w:pPr>
              <w:spacing w:after="0"/>
              <w:rPr>
                <w:sz w:val="10"/>
                <w:szCs w:val="10"/>
                <w:color w:val="auto"/>
              </w:rPr>
            </w:pPr>
          </w:p>
        </w:tc>
        <w:tc>
          <w:tcPr>
            <w:tcW w:w="11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66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White Tiger Newco, LLC</w:t>
            </w:r>
          </w:p>
        </w:tc>
        <w:tc>
          <w:tcPr>
            <w:tcW w:w="1120" w:type="dxa"/>
            <w:vAlign w:val="bottom"/>
            <w:shd w:val="clear" w:color="auto" w:fill="CCECFF"/>
          </w:tcPr>
          <w:p>
            <w:pPr>
              <w:jc w:val="center"/>
              <w:ind w:left="232"/>
              <w:spacing w:after="0"/>
              <w:rPr>
                <w:sz w:val="20"/>
                <w:szCs w:val="20"/>
                <w:color w:val="auto"/>
              </w:rPr>
            </w:pPr>
            <w:r>
              <w:rPr>
                <w:rFonts w:ascii="Times New Roman" w:cs="Times New Roman" w:eastAsia="Times New Roman" w:hAnsi="Times New Roman"/>
                <w:sz w:val="10"/>
                <w:szCs w:val="10"/>
                <w:color w:val="auto"/>
                <w:w w:val="96"/>
              </w:rPr>
              <w:t>07/31/2025</w:t>
            </w:r>
          </w:p>
        </w:tc>
        <w:tc>
          <w:tcPr>
            <w:tcW w:w="700" w:type="dxa"/>
            <w:vAlign w:val="bottom"/>
            <w:shd w:val="clear" w:color="auto" w:fill="CCECFF"/>
          </w:tcPr>
          <w:p>
            <w:pPr>
              <w:spacing w:after="0"/>
              <w:rPr>
                <w:sz w:val="10"/>
                <w:szCs w:val="10"/>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660" w:type="dxa"/>
            <w:vAlign w:val="bottom"/>
            <w:shd w:val="clear" w:color="auto" w:fill="CCECFF"/>
          </w:tcPr>
          <w:p>
            <w:pPr>
              <w:spacing w:after="0"/>
              <w:rPr>
                <w:sz w:val="10"/>
                <w:szCs w:val="10"/>
                <w:color w:val="auto"/>
              </w:rPr>
            </w:pP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4,833</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368</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338</w:t>
            </w:r>
          </w:p>
        </w:tc>
      </w:tr>
      <w:tr>
        <w:trPr>
          <w:trHeight w:val="120"/>
        </w:trPr>
        <w:tc>
          <w:tcPr>
            <w:tcW w:w="27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Kentucky Racing Holdco, LLC (Warrants) </w:t>
            </w:r>
            <w:r>
              <w:rPr>
                <w:rFonts w:ascii="Times New Roman" w:cs="Times New Roman" w:eastAsia="Times New Roman" w:hAnsi="Times New Roman"/>
                <w:sz w:val="12"/>
                <w:szCs w:val="12"/>
                <w:color w:val="auto"/>
                <w:vertAlign w:val="superscript"/>
              </w:rPr>
              <w:t>(9)</w:t>
            </w:r>
          </w:p>
        </w:tc>
        <w:tc>
          <w:tcPr>
            <w:tcW w:w="1120" w:type="dxa"/>
            <w:vAlign w:val="bottom"/>
          </w:tcPr>
          <w:p>
            <w:pPr>
              <w:jc w:val="center"/>
              <w:ind w:left="232"/>
              <w:spacing w:after="0"/>
              <w:rPr>
                <w:sz w:val="20"/>
                <w:szCs w:val="20"/>
                <w:color w:val="auto"/>
              </w:rPr>
            </w:pPr>
            <w:r>
              <w:rPr>
                <w:rFonts w:ascii="Times New Roman" w:cs="Times New Roman" w:eastAsia="Times New Roman" w:hAnsi="Times New Roman"/>
                <w:sz w:val="10"/>
                <w:szCs w:val="10"/>
                <w:color w:val="auto"/>
                <w:w w:val="96"/>
              </w:rPr>
              <w:t>04/16/2019</w:t>
            </w:r>
          </w:p>
        </w:tc>
        <w:tc>
          <w:tcPr>
            <w:tcW w:w="70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660" w:type="dxa"/>
            <w:vAlign w:val="bottom"/>
          </w:tcPr>
          <w:p>
            <w:pPr>
              <w:spacing w:after="0"/>
              <w:rPr>
                <w:sz w:val="10"/>
                <w:szCs w:val="10"/>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161,252</w:t>
            </w:r>
          </w:p>
        </w:tc>
        <w:tc>
          <w:tcPr>
            <w:tcW w:w="24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1,848</w:t>
            </w:r>
          </w:p>
        </w:tc>
      </w:tr>
      <w:tr>
        <w:trPr>
          <w:trHeight w:val="120"/>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Common Equity/Partnership Interests/Warrants</w:t>
            </w:r>
          </w:p>
        </w:tc>
        <w:tc>
          <w:tcPr>
            <w:tcW w:w="11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80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120,117</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139,097</w:t>
            </w: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Acquisition</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Maturity</w:t>
            </w: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80" w:type="dxa"/>
            <w:vAlign w:val="bottom"/>
          </w:tcPr>
          <w:p>
            <w:pPr>
              <w:jc w:val="center"/>
              <w:ind w:right="5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20" w:type="dxa"/>
            <w:vAlign w:val="bottom"/>
          </w:tcPr>
          <w:p>
            <w:pPr>
              <w:spacing w:after="0"/>
              <w:rPr>
                <w:sz w:val="10"/>
                <w:szCs w:val="10"/>
                <w:color w:val="auto"/>
              </w:rPr>
            </w:pPr>
          </w:p>
        </w:tc>
        <w:tc>
          <w:tcPr>
            <w:tcW w:w="58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0"/>
                <w:szCs w:val="10"/>
                <w:color w:val="auto"/>
              </w:rPr>
            </w:pPr>
          </w:p>
        </w:tc>
        <w:tc>
          <w:tcPr>
            <w:tcW w:w="780" w:type="dxa"/>
            <w:vAlign w:val="bottom"/>
          </w:tcPr>
          <w:p>
            <w:pPr>
              <w:jc w:val="right"/>
              <w:ind w:right="152"/>
              <w:spacing w:after="0" w:line="122" w:lineRule="exact"/>
              <w:rPr>
                <w:sz w:val="20"/>
                <w:szCs w:val="20"/>
                <w:color w:val="auto"/>
              </w:rPr>
            </w:pPr>
            <w:r>
              <w:rPr>
                <w:rFonts w:ascii="Times New Roman" w:cs="Times New Roman" w:eastAsia="Times New Roman" w:hAnsi="Times New Roman"/>
                <w:sz w:val="10"/>
                <w:szCs w:val="10"/>
                <w:b w:val="1"/>
                <w:bCs w:val="1"/>
                <w:color w:val="auto"/>
                <w:w w:val="97"/>
              </w:rPr>
              <w:t xml:space="preserve">Fair Value </w:t>
            </w:r>
            <w:r>
              <w:rPr>
                <w:rFonts w:ascii="Times New Roman" w:cs="Times New Roman" w:eastAsia="Times New Roman" w:hAnsi="Times New Roman"/>
                <w:sz w:val="12"/>
                <w:szCs w:val="12"/>
                <w:b w:val="1"/>
                <w:bCs w:val="1"/>
                <w:color w:val="auto"/>
                <w:w w:val="97"/>
                <w:vertAlign w:val="superscript"/>
              </w:rPr>
              <w:t>(3)</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US Government Securities - 26.9% of Net Assets</w:t>
            </w:r>
          </w:p>
        </w:tc>
        <w:tc>
          <w:tcPr>
            <w:tcW w:w="7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7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U.S. Treasury Bill </w:t>
            </w:r>
            <w:r>
              <w:rPr>
                <w:rFonts w:ascii="Times New Roman" w:cs="Times New Roman" w:eastAsia="Times New Roman" w:hAnsi="Times New Roman"/>
                <w:sz w:val="12"/>
                <w:szCs w:val="12"/>
                <w:color w:val="auto"/>
                <w:vertAlign w:val="superscript"/>
              </w:rPr>
              <w:t>(5)</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10/02/2025</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Short-Term U.S. Government Securities</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3.98%</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125,000</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124,809</w:t>
            </w: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124,788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US Government Securities</w:t>
            </w:r>
          </w:p>
        </w:tc>
        <w:tc>
          <w:tcPr>
            <w:tcW w:w="7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7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124,809</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124,788</w:t>
            </w:r>
          </w:p>
        </w:tc>
        <w:tc>
          <w:tcPr>
            <w:tcW w:w="0" w:type="dxa"/>
            <w:vAlign w:val="bottom"/>
          </w:tcPr>
          <w:p>
            <w:pPr>
              <w:spacing w:after="0"/>
              <w:rPr>
                <w:sz w:val="1"/>
                <w:szCs w:val="1"/>
                <w:color w:val="auto"/>
              </w:rPr>
            </w:pPr>
          </w:p>
        </w:tc>
      </w:tr>
      <w:tr>
        <w:trPr>
          <w:trHeight w:val="192"/>
        </w:trPr>
        <w:tc>
          <w:tcPr>
            <w:tcW w:w="3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99"/>
              </w:rPr>
              <w:t>Total Investments in Non-Controlled, Non-Affiliated Portfolio Companies</w:t>
            </w: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853,416</w:t>
            </w:r>
          </w:p>
        </w:tc>
        <w:tc>
          <w:tcPr>
            <w:tcW w:w="18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857,415</w:t>
            </w:r>
          </w:p>
        </w:tc>
        <w:tc>
          <w:tcPr>
            <w:tcW w:w="0" w:type="dxa"/>
            <w:vAlign w:val="bottom"/>
          </w:tcPr>
          <w:p>
            <w:pPr>
              <w:spacing w:after="0"/>
              <w:rPr>
                <w:sz w:val="1"/>
                <w:szCs w:val="1"/>
                <w:color w:val="auto"/>
              </w:rPr>
            </w:pPr>
          </w:p>
        </w:tc>
      </w:tr>
      <w:tr>
        <w:trPr>
          <w:trHeight w:val="121"/>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Investments in Non-Controlled, Affiliated Portfolio Companies - 1.1% of Net</w:t>
            </w:r>
          </w:p>
        </w:tc>
        <w:tc>
          <w:tcPr>
            <w:tcW w:w="7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7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19" w:lineRule="exact"/>
              <w:rPr>
                <w:sz w:val="20"/>
                <w:szCs w:val="20"/>
                <w:color w:val="auto"/>
              </w:rPr>
            </w:pPr>
            <w:r>
              <w:rPr>
                <w:rFonts w:ascii="Times New Roman" w:cs="Times New Roman" w:eastAsia="Times New Roman" w:hAnsi="Times New Roman"/>
                <w:sz w:val="13"/>
                <w:szCs w:val="13"/>
                <w:color w:val="auto"/>
                <w:vertAlign w:val="subscript"/>
              </w:rPr>
              <w:t>Assets</w:t>
            </w:r>
            <w:r>
              <w:rPr>
                <w:rFonts w:ascii="Times New Roman" w:cs="Times New Roman" w:eastAsia="Times New Roman" w:hAnsi="Times New Roman"/>
                <w:sz w:val="5"/>
                <w:szCs w:val="5"/>
                <w:color w:val="auto"/>
              </w:rPr>
              <w:t xml:space="preserve"> (1), (2)</w:t>
            </w:r>
          </w:p>
        </w:tc>
        <w:tc>
          <w:tcPr>
            <w:tcW w:w="7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7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Preferred Equity/Partnership Interests - 1.1% of Net Assets </w:t>
            </w:r>
            <w:r>
              <w:rPr>
                <w:rFonts w:ascii="Times New Roman" w:cs="Times New Roman" w:eastAsia="Times New Roman" w:hAnsi="Times New Roman"/>
                <w:sz w:val="12"/>
                <w:szCs w:val="12"/>
                <w:b w:val="1"/>
                <w:bCs w:val="1"/>
                <w:color w:val="auto"/>
                <w:vertAlign w:val="superscript"/>
              </w:rPr>
              <w:t>(6)</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Cascade Environmental Holdings, LLC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02/19/2025</w:t>
            </w:r>
          </w:p>
        </w:tc>
        <w:tc>
          <w:tcPr>
            <w:tcW w:w="68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918</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918</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1,657</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Cascade Environmental Holdings, LLC - Series B</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02/19/2025</w:t>
            </w:r>
          </w:p>
        </w:tc>
        <w:tc>
          <w:tcPr>
            <w:tcW w:w="68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760" w:type="dxa"/>
            <w:vAlign w:val="bottom"/>
          </w:tcPr>
          <w:p>
            <w:pPr>
              <w:spacing w:after="0"/>
              <w:rPr>
                <w:sz w:val="10"/>
                <w:szCs w:val="10"/>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5,887,236</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32,791</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3,234</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Preferred Equity/Partnership Interests</w:t>
            </w:r>
          </w:p>
        </w:tc>
        <w:tc>
          <w:tcPr>
            <w:tcW w:w="7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7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33,709</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4,891</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Common Equity/Partnership Interests/Warrants - 0.0% of Net Assets </w:t>
            </w:r>
            <w:r>
              <w:rPr>
                <w:rFonts w:ascii="Times New Roman" w:cs="Times New Roman" w:eastAsia="Times New Roman" w:hAnsi="Times New Roman"/>
                <w:sz w:val="12"/>
                <w:szCs w:val="12"/>
                <w:b w:val="1"/>
                <w:bCs w:val="1"/>
                <w:color w:val="auto"/>
                <w:vertAlign w:val="superscript"/>
              </w:rPr>
              <w:t>(6)</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Cascade Environmental Holdings, LLC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02/19/2015</w:t>
            </w:r>
          </w:p>
        </w:tc>
        <w:tc>
          <w:tcPr>
            <w:tcW w:w="68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7,444,347</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2,852</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Common Equity/Partnership Interests/Warrants</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2,852</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Investments in Non-Controlled, Affiliated Portfolio Companies</w:t>
            </w:r>
          </w:p>
        </w:tc>
        <w:tc>
          <w:tcPr>
            <w:tcW w:w="7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7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36,561</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4,891</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Investments in Controlled, Affiliated Portfolio Companies - 91.6% </w:t>
            </w:r>
            <w:r>
              <w:rPr>
                <w:rFonts w:ascii="Times New Roman" w:cs="Times New Roman" w:eastAsia="Times New Roman" w:hAnsi="Times New Roman"/>
                <w:sz w:val="12"/>
                <w:szCs w:val="12"/>
                <w:color w:val="auto"/>
                <w:vertAlign w:val="superscript"/>
              </w:rPr>
              <w:t>(1), (2)</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First Lien Secured Debt - 14.0% of Net Assets</w:t>
            </w:r>
          </w:p>
        </w:tc>
        <w:tc>
          <w:tcPr>
            <w:tcW w:w="7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7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GBP</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AKW Holdings Limited </w:t>
            </w:r>
            <w:r>
              <w:rPr>
                <w:rFonts w:ascii="Times New Roman" w:cs="Times New Roman" w:eastAsia="Times New Roman" w:hAnsi="Times New Roman"/>
                <w:sz w:val="12"/>
                <w:szCs w:val="12"/>
                <w:color w:val="auto"/>
                <w:vertAlign w:val="superscript"/>
              </w:rPr>
              <w:t>(8), (11)</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03/07/2018</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03/15/2027</w:t>
            </w: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11.19%</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SOFR+700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40,000</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54,714</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53,850</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Pragmatic Institute, LLC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07/05/2022</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03/28/2030</w:t>
            </w: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7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9.50%</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SOFR+550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15,000</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15,000</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10,875</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69,714</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64,725</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Subordinated Debt - 35.2% of Net Assets</w:t>
            </w:r>
          </w:p>
        </w:tc>
        <w:tc>
          <w:tcPr>
            <w:tcW w:w="7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7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Flock Financial, LLC </w:t>
            </w:r>
            <w:r>
              <w:rPr>
                <w:rFonts w:ascii="Times New Roman" w:cs="Times New Roman" w:eastAsia="Times New Roman" w:hAnsi="Times New Roman"/>
                <w:sz w:val="12"/>
                <w:szCs w:val="12"/>
                <w:color w:val="auto"/>
                <w:vertAlign w:val="superscript"/>
              </w:rPr>
              <w:t>(11)</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04/19/2024</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10/19/2027</w:t>
            </w: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760" w:type="dxa"/>
            <w:vAlign w:val="bottom"/>
          </w:tcPr>
          <w:p>
            <w:pPr>
              <w:jc w:val="right"/>
              <w:ind w:right="32"/>
              <w:spacing w:after="0" w:line="168" w:lineRule="exact"/>
              <w:rPr>
                <w:sz w:val="20"/>
                <w:szCs w:val="20"/>
                <w:color w:val="auto"/>
              </w:rPr>
            </w:pPr>
            <w:r>
              <w:rPr>
                <w:rFonts w:ascii="Times New Roman" w:cs="Times New Roman" w:eastAsia="Times New Roman" w:hAnsi="Times New Roman"/>
                <w:sz w:val="10"/>
                <w:szCs w:val="10"/>
                <w:color w:val="auto"/>
              </w:rPr>
              <w:t>12.50</w:t>
            </w:r>
            <w:r>
              <w:rPr>
                <w:rFonts w:ascii="Times New Roman" w:cs="Times New Roman" w:eastAsia="Times New Roman" w:hAnsi="Times New Roman"/>
                <w:sz w:val="19"/>
                <w:szCs w:val="19"/>
                <w:color w:val="auto"/>
                <w:vertAlign w:val="superscript"/>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23,031</w:t>
            </w:r>
          </w:p>
        </w:tc>
        <w:tc>
          <w:tcPr>
            <w:tcW w:w="22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23,031</w:t>
            </w:r>
          </w:p>
        </w:tc>
        <w:tc>
          <w:tcPr>
            <w:tcW w:w="180" w:type="dxa"/>
            <w:vAlign w:val="bottom"/>
          </w:tcPr>
          <w:p>
            <w:pPr>
              <w:spacing w:after="0"/>
              <w:rPr>
                <w:sz w:val="14"/>
                <w:szCs w:val="14"/>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23,031</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PennantPark Senior Loan Fund, LLC </w:t>
            </w:r>
            <w:r>
              <w:rPr>
                <w:rFonts w:ascii="Times New Roman" w:cs="Times New Roman" w:eastAsia="Times New Roman" w:hAnsi="Times New Roman"/>
                <w:sz w:val="12"/>
                <w:szCs w:val="12"/>
                <w:color w:val="auto"/>
                <w:vertAlign w:val="superscript"/>
              </w:rPr>
              <w:t>(11)</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07/31/2020</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07/31/2027</w:t>
            </w: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12.29%</w:t>
            </w: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SOFR+800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140,287</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140,287</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140,287</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Subordinated Debt</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163,318</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163,318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Preferred Equity - 5.7% of Net Assets </w:t>
            </w:r>
            <w:r>
              <w:rPr>
                <w:rFonts w:ascii="Times New Roman" w:cs="Times New Roman" w:eastAsia="Times New Roman" w:hAnsi="Times New Roman"/>
                <w:sz w:val="12"/>
                <w:szCs w:val="12"/>
                <w:color w:val="auto"/>
                <w:vertAlign w:val="superscript"/>
              </w:rPr>
              <w:t>(6)</w:t>
            </w:r>
          </w:p>
        </w:tc>
        <w:tc>
          <w:tcPr>
            <w:tcW w:w="7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7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Flock Financial Class A </w:t>
            </w:r>
            <w:r>
              <w:rPr>
                <w:rFonts w:ascii="Times New Roman" w:cs="Times New Roman" w:eastAsia="Times New Roman" w:hAnsi="Times New Roman"/>
                <w:sz w:val="12"/>
                <w:szCs w:val="12"/>
                <w:color w:val="auto"/>
                <w:vertAlign w:val="superscript"/>
              </w:rPr>
              <w:t>(11)</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04/19/2024</w:t>
            </w:r>
          </w:p>
        </w:tc>
        <w:tc>
          <w:tcPr>
            <w:tcW w:w="68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760" w:type="dxa"/>
            <w:vAlign w:val="bottom"/>
          </w:tcPr>
          <w:p>
            <w:pPr>
              <w:spacing w:after="0"/>
              <w:rPr>
                <w:sz w:val="10"/>
                <w:szCs w:val="10"/>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2,047,727</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7,313</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17,868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Flock Financial Class B </w:t>
            </w:r>
            <w:r>
              <w:rPr>
                <w:rFonts w:ascii="Times New Roman" w:cs="Times New Roman" w:eastAsia="Times New Roman" w:hAnsi="Times New Roman"/>
                <w:sz w:val="12"/>
                <w:szCs w:val="12"/>
                <w:color w:val="auto"/>
                <w:vertAlign w:val="superscript"/>
              </w:rPr>
              <w:t>(9), (11)</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04/19/2024</w:t>
            </w:r>
          </w:p>
        </w:tc>
        <w:tc>
          <w:tcPr>
            <w:tcW w:w="68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5,409,091</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19,318</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8,415</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Preferred Equity</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26,631</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26,283</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Common Equity - 36.8% of Net Assets </w:t>
            </w:r>
            <w:r>
              <w:rPr>
                <w:rFonts w:ascii="Times New Roman" w:cs="Times New Roman" w:eastAsia="Times New Roman" w:hAnsi="Times New Roman"/>
                <w:sz w:val="12"/>
                <w:szCs w:val="12"/>
                <w:b w:val="1"/>
                <w:bCs w:val="1"/>
                <w:color w:val="auto"/>
                <w:vertAlign w:val="superscript"/>
              </w:rPr>
              <w:t>(6)</w:t>
            </w:r>
          </w:p>
        </w:tc>
        <w:tc>
          <w:tcPr>
            <w:tcW w:w="7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7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1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 xml:space="preserve">AKW Holdings Limited - Class A </w:t>
            </w:r>
            <w:r>
              <w:rPr>
                <w:rFonts w:ascii="Times New Roman" w:cs="Times New Roman" w:eastAsia="Times New Roman" w:hAnsi="Times New Roman"/>
                <w:sz w:val="12"/>
                <w:szCs w:val="12"/>
                <w:color w:val="auto"/>
                <w:vertAlign w:val="superscript"/>
              </w:rPr>
              <w:t>(8), (11)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03/07/2018</w:t>
            </w:r>
          </w:p>
        </w:tc>
        <w:tc>
          <w:tcPr>
            <w:tcW w:w="680" w:type="dxa"/>
            <w:vAlign w:val="bottom"/>
          </w:tcPr>
          <w:p>
            <w:pPr>
              <w:spacing w:after="0"/>
              <w:rPr>
                <w:sz w:val="10"/>
                <w:szCs w:val="10"/>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60" w:type="dxa"/>
            <w:vAlign w:val="bottom"/>
          </w:tcPr>
          <w:p>
            <w:pPr>
              <w:spacing w:after="0"/>
              <w:rPr>
                <w:sz w:val="10"/>
                <w:szCs w:val="10"/>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950</w:t>
            </w:r>
          </w:p>
        </w:tc>
        <w:tc>
          <w:tcPr>
            <w:tcW w:w="220" w:type="dxa"/>
            <w:vAlign w:val="bottom"/>
          </w:tcPr>
          <w:p>
            <w:pPr>
              <w:spacing w:after="0"/>
              <w:rPr>
                <w:sz w:val="10"/>
                <w:szCs w:val="10"/>
                <w:color w:val="auto"/>
              </w:rPr>
            </w:pPr>
          </w:p>
        </w:tc>
        <w:tc>
          <w:tcPr>
            <w:tcW w:w="5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132</w:t>
            </w:r>
          </w:p>
        </w:tc>
        <w:tc>
          <w:tcPr>
            <w:tcW w:w="180" w:type="dxa"/>
            <w:vAlign w:val="bottom"/>
          </w:tcPr>
          <w:p>
            <w:pPr>
              <w:spacing w:after="0"/>
              <w:rPr>
                <w:sz w:val="10"/>
                <w:szCs w:val="10"/>
                <w:color w:val="auto"/>
              </w:rPr>
            </w:pPr>
          </w:p>
        </w:tc>
        <w:tc>
          <w:tcPr>
            <w:tcW w:w="78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33,742</w:t>
            </w:r>
          </w:p>
        </w:tc>
        <w:tc>
          <w:tcPr>
            <w:tcW w:w="0" w:type="dxa"/>
            <w:vAlign w:val="bottom"/>
          </w:tcPr>
          <w:p>
            <w:pPr>
              <w:spacing w:after="0"/>
              <w:rPr>
                <w:sz w:val="1"/>
                <w:szCs w:val="1"/>
                <w:color w:val="auto"/>
              </w:rPr>
            </w:pPr>
          </w:p>
        </w:tc>
      </w:tr>
      <w:tr>
        <w:trPr>
          <w:trHeight w:val="80"/>
        </w:trPr>
        <w:tc>
          <w:tcPr>
            <w:tcW w:w="31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17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AKW Holdings Limited - Class B </w:t>
            </w:r>
            <w:r>
              <w:rPr>
                <w:rFonts w:ascii="Times New Roman" w:cs="Times New Roman" w:eastAsia="Times New Roman" w:hAnsi="Times New Roman"/>
                <w:sz w:val="12"/>
                <w:szCs w:val="12"/>
                <w:color w:val="auto"/>
                <w:vertAlign w:val="superscript"/>
              </w:rPr>
              <w:t>(8), (11)</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03/07/2018</w:t>
            </w:r>
          </w:p>
        </w:tc>
        <w:tc>
          <w:tcPr>
            <w:tcW w:w="68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483</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AKW Holdings Limited - Class C </w:t>
            </w:r>
            <w:r>
              <w:rPr>
                <w:rFonts w:ascii="Times New Roman" w:cs="Times New Roman" w:eastAsia="Times New Roman" w:hAnsi="Times New Roman"/>
                <w:sz w:val="12"/>
                <w:szCs w:val="12"/>
                <w:color w:val="auto"/>
                <w:vertAlign w:val="superscript"/>
              </w:rPr>
              <w:t>(8), (11)</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03/07/2018</w:t>
            </w:r>
          </w:p>
        </w:tc>
        <w:tc>
          <w:tcPr>
            <w:tcW w:w="68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60" w:type="dxa"/>
            <w:vAlign w:val="bottom"/>
          </w:tcPr>
          <w:p>
            <w:pPr>
              <w:spacing w:after="0"/>
              <w:rPr>
                <w:sz w:val="10"/>
                <w:szCs w:val="10"/>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146</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571</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JF Intermediate, LLC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08/31/2022</w:t>
            </w:r>
          </w:p>
        </w:tc>
        <w:tc>
          <w:tcPr>
            <w:tcW w:w="68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43,918</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4,488</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68,332</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PennantPark Senior Loan Fund, LLC </w:t>
            </w:r>
            <w:r>
              <w:rPr>
                <w:rFonts w:ascii="Times New Roman" w:cs="Times New Roman" w:eastAsia="Times New Roman" w:hAnsi="Times New Roman"/>
                <w:sz w:val="12"/>
                <w:szCs w:val="12"/>
                <w:color w:val="auto"/>
                <w:vertAlign w:val="superscript"/>
              </w:rPr>
              <w:t>(11)</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07/31/2020</w:t>
            </w:r>
          </w:p>
        </w:tc>
        <w:tc>
          <w:tcPr>
            <w:tcW w:w="68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760" w:type="dxa"/>
            <w:vAlign w:val="bottom"/>
          </w:tcPr>
          <w:p>
            <w:pPr>
              <w:spacing w:after="0"/>
              <w:rPr>
                <w:sz w:val="10"/>
                <w:szCs w:val="10"/>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82,176,579</w:t>
            </w: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82,358</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67,513</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Pragmatic Institute, LLC</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03/28/2025</w:t>
            </w:r>
          </w:p>
        </w:tc>
        <w:tc>
          <w:tcPr>
            <w:tcW w:w="68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480</w:t>
            </w: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Common Equity</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87,248</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170,641</w:t>
            </w:r>
          </w:p>
        </w:tc>
        <w:tc>
          <w:tcPr>
            <w:tcW w:w="0" w:type="dxa"/>
            <w:vAlign w:val="bottom"/>
          </w:tcPr>
          <w:p>
            <w:pPr>
              <w:spacing w:after="0"/>
              <w:rPr>
                <w:sz w:val="1"/>
                <w:szCs w:val="1"/>
                <w:color w:val="auto"/>
              </w:rPr>
            </w:pPr>
          </w:p>
        </w:tc>
      </w:tr>
      <w:tr>
        <w:trPr>
          <w:trHeight w:val="216"/>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Investments in Controlled, Affiliated Portfolio Companies</w:t>
            </w:r>
          </w:p>
        </w:tc>
        <w:tc>
          <w:tcPr>
            <w:tcW w:w="720" w:type="dxa"/>
            <w:vAlign w:val="bottom"/>
            <w:shd w:val="clear" w:color="auto" w:fill="CCECFF"/>
          </w:tcPr>
          <w:p>
            <w:pPr>
              <w:spacing w:after="0"/>
              <w:rPr>
                <w:sz w:val="18"/>
                <w:szCs w:val="18"/>
                <w:color w:val="auto"/>
              </w:rPr>
            </w:pPr>
          </w:p>
        </w:tc>
        <w:tc>
          <w:tcPr>
            <w:tcW w:w="680" w:type="dxa"/>
            <w:vAlign w:val="bottom"/>
            <w:shd w:val="clear" w:color="auto" w:fill="CCECFF"/>
          </w:tcPr>
          <w:p>
            <w:pPr>
              <w:spacing w:after="0"/>
              <w:rPr>
                <w:sz w:val="18"/>
                <w:szCs w:val="18"/>
                <w:color w:val="auto"/>
              </w:rPr>
            </w:pPr>
          </w:p>
        </w:tc>
        <w:tc>
          <w:tcPr>
            <w:tcW w:w="1780" w:type="dxa"/>
            <w:vAlign w:val="bottom"/>
            <w:shd w:val="clear" w:color="auto" w:fill="CCECFF"/>
          </w:tcPr>
          <w:p>
            <w:pPr>
              <w:spacing w:after="0"/>
              <w:rPr>
                <w:sz w:val="18"/>
                <w:szCs w:val="18"/>
                <w:color w:val="auto"/>
              </w:rPr>
            </w:pPr>
          </w:p>
        </w:tc>
        <w:tc>
          <w:tcPr>
            <w:tcW w:w="760" w:type="dxa"/>
            <w:vAlign w:val="bottom"/>
            <w:shd w:val="clear" w:color="auto" w:fill="CCECFF"/>
          </w:tcPr>
          <w:p>
            <w:pPr>
              <w:spacing w:after="0"/>
              <w:rPr>
                <w:sz w:val="18"/>
                <w:szCs w:val="18"/>
                <w:color w:val="auto"/>
              </w:rPr>
            </w:pPr>
          </w:p>
        </w:tc>
        <w:tc>
          <w:tcPr>
            <w:tcW w:w="88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346,911</w:t>
            </w:r>
          </w:p>
        </w:tc>
        <w:tc>
          <w:tcPr>
            <w:tcW w:w="180" w:type="dxa"/>
            <w:vAlign w:val="bottom"/>
            <w:shd w:val="clear" w:color="auto" w:fill="CCECFF"/>
          </w:tcPr>
          <w:p>
            <w:pPr>
              <w:spacing w:after="0"/>
              <w:rPr>
                <w:sz w:val="18"/>
                <w:szCs w:val="18"/>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424,967</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Total Investments - 277.5% of Net Assets </w:t>
            </w:r>
            <w:r>
              <w:rPr>
                <w:rFonts w:ascii="Times New Roman" w:cs="Times New Roman" w:eastAsia="Times New Roman" w:hAnsi="Times New Roman"/>
                <w:sz w:val="12"/>
                <w:szCs w:val="12"/>
                <w:b w:val="1"/>
                <w:bCs w:val="1"/>
                <w:color w:val="auto"/>
                <w:vertAlign w:val="superscript"/>
              </w:rPr>
              <w:t>(12), (14)</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1,236,888</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1,287,273</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Cash and Cash Equivalents - 11.2% of Net Assets</w:t>
            </w:r>
          </w:p>
        </w:tc>
        <w:tc>
          <w:tcPr>
            <w:tcW w:w="7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7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BlackRock Federal FD Institutional 81 (Money Market Fund)</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4.11%</w:t>
            </w: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30,711</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30,711</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Non-Money Market Cash</w:t>
            </w:r>
          </w:p>
        </w:tc>
        <w:tc>
          <w:tcPr>
            <w:tcW w:w="7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7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21,028</w:t>
            </w: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21,072</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51,739</w:t>
            </w:r>
          </w:p>
        </w:tc>
        <w:tc>
          <w:tcPr>
            <w:tcW w:w="180" w:type="dxa"/>
            <w:vAlign w:val="bottom"/>
          </w:tcPr>
          <w:p>
            <w:pPr>
              <w:spacing w:after="0"/>
              <w:rPr>
                <w:sz w:val="10"/>
                <w:szCs w:val="1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51,783</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 - 288.6%</w:t>
            </w:r>
          </w:p>
        </w:tc>
        <w:tc>
          <w:tcPr>
            <w:tcW w:w="7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7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1,288,627</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1,339,056</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(188.6)%</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(875,106)</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Net Assets - 100%</w:t>
            </w:r>
          </w:p>
        </w:tc>
        <w:tc>
          <w:tcPr>
            <w:tcW w:w="7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7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463,950</w:t>
            </w:r>
          </w:p>
        </w:tc>
        <w:tc>
          <w:tcPr>
            <w:tcW w:w="0" w:type="dxa"/>
            <w:vAlign w:val="bottom"/>
          </w:tcPr>
          <w:p>
            <w:pPr>
              <w:spacing w:after="0"/>
              <w:rPr>
                <w:sz w:val="1"/>
                <w:szCs w:val="1"/>
                <w:color w:val="auto"/>
              </w:rPr>
            </w:pPr>
          </w:p>
        </w:tc>
      </w:tr>
    </w:tbl>
    <w:p>
      <w:pPr>
        <w:spacing w:after="0" w:line="24" w:lineRule="exact"/>
        <w:rPr>
          <w:sz w:val="20"/>
          <w:szCs w:val="20"/>
          <w:color w:val="auto"/>
        </w:rPr>
      </w:pPr>
    </w:p>
    <w:p>
      <w:pPr>
        <w:jc w:val="both"/>
        <w:ind w:right="60"/>
        <w:spacing w:after="0" w:line="273" w:lineRule="auto"/>
        <w:rPr>
          <w:sz w:val="20"/>
          <w:szCs w:val="20"/>
          <w:color w:val="auto"/>
        </w:rPr>
      </w:pPr>
      <w:r>
        <w:rPr>
          <w:rFonts w:ascii="Times New Roman" w:cs="Times New Roman" w:eastAsia="Times New Roman" w:hAnsi="Times New Roman"/>
          <w:sz w:val="11"/>
          <w:szCs w:val="11"/>
          <w:color w:val="auto"/>
        </w:rPr>
        <w:t>(1)The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73" w:lineRule="auto"/>
        <w:rPr>
          <w:sz w:val="20"/>
          <w:szCs w:val="20"/>
          <w:color w:val="auto"/>
        </w:rPr>
      </w:pPr>
      <w:r>
        <w:rPr>
          <w:rFonts w:ascii="Times New Roman" w:cs="Times New Roman" w:eastAsia="Times New Roman" w:hAnsi="Times New Roman"/>
          <w:sz w:val="11"/>
          <w:szCs w:val="11"/>
          <w:color w:val="auto"/>
        </w:rPr>
        <w:t>(2)The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rPr>
          <w:sz w:val="20"/>
          <w:szCs w:val="20"/>
          <w:color w:val="auto"/>
        </w:rPr>
      </w:pPr>
      <w:r>
        <w:rPr>
          <w:rFonts w:ascii="Times New Roman" w:cs="Times New Roman" w:eastAsia="Times New Roman" w:hAnsi="Times New Roman"/>
          <w:sz w:val="11"/>
          <w:szCs w:val="11"/>
          <w:color w:val="auto"/>
        </w:rPr>
        <w:t>(3)Valued based on our accounting policy (See Note 2).</w:t>
      </w:r>
    </w:p>
    <w:p>
      <w:pPr>
        <w:spacing w:after="0" w:line="3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1"/>
          <w:szCs w:val="11"/>
          <w:color w:val="auto"/>
        </w:rPr>
        <w:t>(4)Represents floating rate instruments that accrue interest at a predetermined spread relative to an index, typically the applicable Secured Overnight Financing Rate, or “SOFR”, or Prime rate, or “P, or Sterling Overnight Index Average, or “SONIA.” The spread may change based on the type of rate used. The terms in the Schedule of Investments disclose the actual interest rate in effect as of the reporting period. SOFR loans are typically indexed to a 30-day, 90-day or 180-day 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PIK interest and other fee rates, if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(5)The security was valued by using the pricing service which utilize broker-supplied prices.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(6)Non-income producing securities.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(7)Represents the purchase of a security with delayed settlement or a revolving line of credit that is currently an unfunded investment. This security does not earn a basis point spread above an index while it is unfunded.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(8)Non-U.S. company or principal place of business located in The Isle of Man. Total cost, fair value, and percentage of Net Assets for the Isle of Man was $55.1 million, $88.6 million, and 19.1%.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(9)Investment is held through our Taxable Subsidiary (See Note 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(10)Non-accrual security</w:t>
      </w:r>
    </w:p>
    <w:p>
      <w:pPr>
        <w:spacing w:after="0" w:line="30"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1"/>
          <w:szCs w:val="11"/>
          <w:color w:val="auto"/>
        </w:rPr>
        <w:t>(11)The investment is treated as a non-qualifying asset under Section 55(a) of the 1940 Act. Under the 1940 Act, we may not acquire any non-qualifying asset unless, at the time the acquisition is made, qualifying assets represent at least 70% of our total assets. As of September 30, 2025, qualifying assets represent 74% of the Company’s total assets and non-qualifying assets represent 26% of the Company’s total assets.</w:t>
      </w:r>
    </w:p>
    <w:p>
      <w:pPr>
        <w:spacing w:after="0"/>
        <w:rPr>
          <w:sz w:val="20"/>
          <w:szCs w:val="20"/>
          <w:color w:val="auto"/>
        </w:rPr>
      </w:pPr>
      <w:r>
        <w:rPr>
          <w:rFonts w:ascii="Times New Roman" w:cs="Times New Roman" w:eastAsia="Times New Roman" w:hAnsi="Times New Roman"/>
          <w:sz w:val="11"/>
          <w:szCs w:val="11"/>
          <w:color w:val="auto"/>
        </w:rPr>
        <w:t>(12)All investments are in US Companies unless noted otherwise. Total cost, fair value, and percentage of Net Assets for the U.S. Companies were $1,181.8 million, $1,198.6 million, and 258.4%</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(13)Partial non-accrual PIK security.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(14)All of our investments are not registered under the 1933 Act and have restrictions on resale.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20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60" w:type="dxa"/>
            <w:vAlign w:val="bottom"/>
          </w:tcPr>
          <w:p>
            <w:pPr>
              <w:jc w:val="center"/>
              <w:ind w:right="212"/>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2500" w:type="dxa"/>
            <w:vAlign w:val="bottom"/>
          </w:tcPr>
          <w:p>
            <w:pPr>
              <w:ind w:left="1060"/>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20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00" w:type="dxa"/>
            <w:vAlign w:val="bottom"/>
          </w:tcPr>
          <w:p>
            <w:pPr>
              <w:spacing w:after="0"/>
              <w:rPr>
                <w:sz w:val="10"/>
                <w:szCs w:val="10"/>
                <w:color w:val="auto"/>
              </w:rPr>
            </w:pPr>
          </w:p>
        </w:tc>
        <w:tc>
          <w:tcPr>
            <w:tcW w:w="46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800" w:type="dxa"/>
            <w:vAlign w:val="bottom"/>
            <w:gridSpan w:val="2"/>
          </w:tcPr>
          <w:p>
            <w:pPr>
              <w:jc w:val="right"/>
              <w:ind w:right="7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140" w:type="dxa"/>
            <w:vAlign w:val="bottom"/>
            <w:shd w:val="clear" w:color="auto" w:fill="CCECFF"/>
          </w:tcPr>
          <w:p>
            <w:pPr>
              <w:spacing w:after="0" w:line="96" w:lineRule="exact"/>
              <w:rPr>
                <w:sz w:val="20"/>
                <w:szCs w:val="20"/>
                <w:color w:val="auto"/>
              </w:rPr>
            </w:pPr>
            <w:r>
              <w:rPr>
                <w:rFonts w:ascii="Times New Roman" w:cs="Times New Roman" w:eastAsia="Times New Roman" w:hAnsi="Times New Roman"/>
                <w:sz w:val="10"/>
                <w:szCs w:val="10"/>
                <w:color w:val="auto"/>
                <w:w w:val="99"/>
              </w:rPr>
              <w:t>Investments in Non-Controlled, Non-Affiliated Portfolio Companies - 184.3%</w:t>
            </w:r>
          </w:p>
        </w:tc>
        <w:tc>
          <w:tcPr>
            <w:tcW w:w="960" w:type="dxa"/>
            <w:vAlign w:val="bottom"/>
            <w:shd w:val="clear" w:color="auto" w:fill="CCECFF"/>
          </w:tcPr>
          <w:p>
            <w:pPr>
              <w:spacing w:after="0"/>
              <w:rPr>
                <w:sz w:val="8"/>
                <w:szCs w:val="8"/>
                <w:color w:val="auto"/>
              </w:rPr>
            </w:pPr>
          </w:p>
        </w:tc>
        <w:tc>
          <w:tcPr>
            <w:tcW w:w="2500" w:type="dxa"/>
            <w:vAlign w:val="bottom"/>
            <w:shd w:val="clear" w:color="auto" w:fill="CCECFF"/>
          </w:tcPr>
          <w:p>
            <w:pPr>
              <w:spacing w:after="0"/>
              <w:rPr>
                <w:sz w:val="8"/>
                <w:szCs w:val="8"/>
                <w:color w:val="auto"/>
              </w:rPr>
            </w:pPr>
          </w:p>
        </w:tc>
        <w:tc>
          <w:tcPr>
            <w:tcW w:w="78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460" w:type="dxa"/>
            <w:vAlign w:val="bottom"/>
            <w:shd w:val="clear" w:color="auto" w:fill="CCECFF"/>
          </w:tcPr>
          <w:p>
            <w:pPr>
              <w:spacing w:after="0"/>
              <w:rPr>
                <w:sz w:val="8"/>
                <w:szCs w:val="8"/>
                <w:color w:val="auto"/>
              </w:rPr>
            </w:pPr>
          </w:p>
        </w:tc>
        <w:tc>
          <w:tcPr>
            <w:tcW w:w="30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1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6"/>
                <w:szCs w:val="6"/>
                <w:color w:val="auto"/>
              </w:rPr>
              <w:t>(1), (2)</w:t>
            </w:r>
          </w:p>
        </w:tc>
        <w:tc>
          <w:tcPr>
            <w:tcW w:w="960" w:type="dxa"/>
            <w:vAlign w:val="bottom"/>
            <w:tcBorders>
              <w:bottom w:val="single" w:sz="8" w:color="CCECFF"/>
            </w:tcBorders>
            <w:shd w:val="clear" w:color="auto" w:fill="CCECFF"/>
          </w:tcPr>
          <w:p>
            <w:pPr>
              <w:spacing w:after="0"/>
              <w:rPr>
                <w:sz w:val="7"/>
                <w:szCs w:val="7"/>
                <w:color w:val="auto"/>
              </w:rPr>
            </w:pPr>
          </w:p>
        </w:tc>
        <w:tc>
          <w:tcPr>
            <w:tcW w:w="2500" w:type="dxa"/>
            <w:vAlign w:val="bottom"/>
            <w:tcBorders>
              <w:bottom w:val="single" w:sz="8" w:color="CCECFF"/>
            </w:tcBorders>
            <w:shd w:val="clear" w:color="auto" w:fill="CCECFF"/>
          </w:tcPr>
          <w:p>
            <w:pPr>
              <w:spacing w:after="0"/>
              <w:rPr>
                <w:sz w:val="7"/>
                <w:szCs w:val="7"/>
                <w:color w:val="auto"/>
              </w:rPr>
            </w:pPr>
          </w:p>
        </w:tc>
        <w:tc>
          <w:tcPr>
            <w:tcW w:w="780" w:type="dxa"/>
            <w:vAlign w:val="bottom"/>
            <w:tcBorders>
              <w:bottom w:val="single" w:sz="8" w:color="CCECFF"/>
            </w:tcBorders>
            <w:shd w:val="clear" w:color="auto" w:fill="CCECFF"/>
          </w:tcPr>
          <w:p>
            <w:pPr>
              <w:spacing w:after="0"/>
              <w:rPr>
                <w:sz w:val="7"/>
                <w:szCs w:val="7"/>
                <w:color w:val="auto"/>
              </w:rPr>
            </w:pPr>
          </w:p>
        </w:tc>
        <w:tc>
          <w:tcPr>
            <w:tcW w:w="200" w:type="dxa"/>
            <w:vAlign w:val="bottom"/>
            <w:tcBorders>
              <w:bottom w:val="single" w:sz="8" w:color="CCECFF"/>
            </w:tcBorders>
            <w:shd w:val="clear" w:color="auto" w:fill="CCECFF"/>
          </w:tcPr>
          <w:p>
            <w:pPr>
              <w:spacing w:after="0"/>
              <w:rPr>
                <w:sz w:val="7"/>
                <w:szCs w:val="7"/>
                <w:color w:val="auto"/>
              </w:rPr>
            </w:pPr>
          </w:p>
        </w:tc>
        <w:tc>
          <w:tcPr>
            <w:tcW w:w="800" w:type="dxa"/>
            <w:vAlign w:val="bottom"/>
            <w:tcBorders>
              <w:bottom w:val="single" w:sz="8" w:color="CCECFF"/>
            </w:tcBorders>
            <w:shd w:val="clear" w:color="auto" w:fill="CCECFF"/>
          </w:tcPr>
          <w:p>
            <w:pPr>
              <w:spacing w:after="0"/>
              <w:rPr>
                <w:sz w:val="7"/>
                <w:szCs w:val="7"/>
                <w:color w:val="auto"/>
              </w:rPr>
            </w:pPr>
          </w:p>
        </w:tc>
        <w:tc>
          <w:tcPr>
            <w:tcW w:w="700" w:type="dxa"/>
            <w:vAlign w:val="bottom"/>
            <w:tcBorders>
              <w:bottom w:val="single" w:sz="8" w:color="CCECFF"/>
            </w:tcBorders>
            <w:shd w:val="clear" w:color="auto" w:fill="CCECFF"/>
          </w:tcPr>
          <w:p>
            <w:pPr>
              <w:spacing w:after="0"/>
              <w:rPr>
                <w:sz w:val="7"/>
                <w:szCs w:val="7"/>
                <w:color w:val="auto"/>
              </w:rPr>
            </w:pPr>
          </w:p>
        </w:tc>
        <w:tc>
          <w:tcPr>
            <w:tcW w:w="200" w:type="dxa"/>
            <w:vAlign w:val="bottom"/>
            <w:tcBorders>
              <w:bottom w:val="single" w:sz="8" w:color="CCECFF"/>
            </w:tcBorders>
            <w:shd w:val="clear" w:color="auto" w:fill="CCECFF"/>
          </w:tcPr>
          <w:p>
            <w:pPr>
              <w:spacing w:after="0"/>
              <w:rPr>
                <w:sz w:val="7"/>
                <w:szCs w:val="7"/>
                <w:color w:val="auto"/>
              </w:rPr>
            </w:pPr>
          </w:p>
        </w:tc>
        <w:tc>
          <w:tcPr>
            <w:tcW w:w="460" w:type="dxa"/>
            <w:vAlign w:val="bottom"/>
            <w:tcBorders>
              <w:bottom w:val="single" w:sz="8" w:color="CCECFF"/>
            </w:tcBorders>
            <w:shd w:val="clear" w:color="auto" w:fill="CCECFF"/>
          </w:tcPr>
          <w:p>
            <w:pPr>
              <w:spacing w:after="0"/>
              <w:rPr>
                <w:sz w:val="7"/>
                <w:szCs w:val="7"/>
                <w:color w:val="auto"/>
              </w:rPr>
            </w:pPr>
          </w:p>
        </w:tc>
        <w:tc>
          <w:tcPr>
            <w:tcW w:w="300" w:type="dxa"/>
            <w:vAlign w:val="bottom"/>
            <w:tcBorders>
              <w:bottom w:val="single" w:sz="8" w:color="CCECFF"/>
            </w:tcBorders>
            <w:shd w:val="clear" w:color="auto" w:fill="CCECFF"/>
          </w:tcPr>
          <w:p>
            <w:pPr>
              <w:spacing w:after="0"/>
              <w:rPr>
                <w:sz w:val="7"/>
                <w:szCs w:val="7"/>
                <w:color w:val="auto"/>
              </w:rPr>
            </w:pPr>
          </w:p>
        </w:tc>
        <w:tc>
          <w:tcPr>
            <w:tcW w:w="500" w:type="dxa"/>
            <w:vAlign w:val="bottom"/>
            <w:tcBorders>
              <w:bottom w:val="single" w:sz="8" w:color="CCECFF"/>
            </w:tcBorders>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First Lien Secured Debt - 112.9% of Net Assets</w:t>
            </w:r>
          </w:p>
        </w:tc>
        <w:tc>
          <w:tcPr>
            <w:tcW w:w="9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A1 Garage Merger Sub, LLC</w:t>
            </w:r>
          </w:p>
        </w:tc>
        <w:tc>
          <w:tcPr>
            <w:tcW w:w="96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12/22/2028</w:t>
            </w: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80" w:type="dxa"/>
            <w:vAlign w:val="bottom"/>
            <w:shd w:val="clear" w:color="auto" w:fill="CCECFF"/>
          </w:tcPr>
          <w:p>
            <w:pPr>
              <w:jc w:val="center"/>
              <w:ind w:left="352"/>
              <w:spacing w:after="0"/>
              <w:rPr>
                <w:sz w:val="20"/>
                <w:szCs w:val="20"/>
                <w:color w:val="auto"/>
              </w:rPr>
            </w:pPr>
            <w:r>
              <w:rPr>
                <w:rFonts w:ascii="Times New Roman" w:cs="Times New Roman" w:eastAsia="Times New Roman" w:hAnsi="Times New Roman"/>
                <w:sz w:val="10"/>
                <w:szCs w:val="10"/>
                <w:color w:val="auto"/>
                <w:w w:val="97"/>
              </w:rPr>
              <w:t>10.95%</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SOFR+610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5,345</w:t>
            </w:r>
          </w:p>
        </w:tc>
        <w:tc>
          <w:tcPr>
            <w:tcW w:w="2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5,279</w:t>
            </w:r>
          </w:p>
        </w:tc>
        <w:tc>
          <w:tcPr>
            <w:tcW w:w="3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5,345</w:t>
            </w:r>
          </w:p>
        </w:tc>
        <w:tc>
          <w:tcPr>
            <w:tcW w:w="0" w:type="dxa"/>
            <w:vAlign w:val="bottom"/>
          </w:tcPr>
          <w:p>
            <w:pPr>
              <w:spacing w:after="0"/>
              <w:rPr>
                <w:sz w:val="1"/>
                <w:szCs w:val="1"/>
                <w:color w:val="auto"/>
              </w:rPr>
            </w:pPr>
          </w:p>
        </w:tc>
      </w:tr>
      <w:tr>
        <w:trPr>
          <w:trHeight w:val="120"/>
        </w:trPr>
        <w:tc>
          <w:tcPr>
            <w:tcW w:w="316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A1 Garage Merger Sub, LLC - Unfunded Term Loan </w:t>
            </w:r>
            <w:r>
              <w:rPr>
                <w:rFonts w:ascii="Times New Roman" w:cs="Times New Roman" w:eastAsia="Times New Roman" w:hAnsi="Times New Roman"/>
                <w:sz w:val="12"/>
                <w:szCs w:val="12"/>
                <w:color w:val="auto"/>
                <w:vertAlign w:val="superscript"/>
              </w:rPr>
              <w:t>(8)</w:t>
            </w:r>
          </w:p>
        </w:tc>
        <w:tc>
          <w:tcPr>
            <w:tcW w:w="96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12/21/2024</w:t>
            </w:r>
          </w:p>
        </w:tc>
        <w:tc>
          <w:tcPr>
            <w:tcW w:w="25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80" w:type="dxa"/>
            <w:vAlign w:val="bottom"/>
          </w:tcPr>
          <w:p>
            <w:pPr>
              <w:spacing w:after="0"/>
              <w:rPr>
                <w:sz w:val="10"/>
                <w:szCs w:val="1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1,534</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A1 Garage Merger Sub, LLC - Revolver </w:t>
            </w:r>
            <w:r>
              <w:rPr>
                <w:rFonts w:ascii="Times New Roman" w:cs="Times New Roman" w:eastAsia="Times New Roman" w:hAnsi="Times New Roman"/>
                <w:sz w:val="12"/>
                <w:szCs w:val="12"/>
                <w:color w:val="auto"/>
                <w:vertAlign w:val="superscript"/>
              </w:rPr>
              <w:t>(8)</w:t>
            </w:r>
          </w:p>
        </w:tc>
        <w:tc>
          <w:tcPr>
            <w:tcW w:w="96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12/22/2028</w:t>
            </w: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2,532</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ACP Avenu Buyer, LLC</w:t>
            </w:r>
          </w:p>
        </w:tc>
        <w:tc>
          <w:tcPr>
            <w:tcW w:w="96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10/02/2029</w:t>
            </w:r>
          </w:p>
        </w:tc>
        <w:tc>
          <w:tcPr>
            <w:tcW w:w="25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tcPr>
          <w:p>
            <w:pPr>
              <w:jc w:val="center"/>
              <w:ind w:left="352"/>
              <w:spacing w:after="0"/>
              <w:rPr>
                <w:sz w:val="20"/>
                <w:szCs w:val="20"/>
                <w:color w:val="auto"/>
              </w:rPr>
            </w:pPr>
            <w:r>
              <w:rPr>
                <w:rFonts w:ascii="Times New Roman" w:cs="Times New Roman" w:eastAsia="Times New Roman" w:hAnsi="Times New Roman"/>
                <w:sz w:val="10"/>
                <w:szCs w:val="10"/>
                <w:color w:val="auto"/>
                <w:w w:val="97"/>
              </w:rPr>
              <w:t>10.52%</w:t>
            </w:r>
          </w:p>
        </w:tc>
        <w:tc>
          <w:tcPr>
            <w:tcW w:w="20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SOFR+525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ACP Avenu Buyer, LLC - Unfunded Term Loan </w:t>
            </w:r>
            <w:r>
              <w:rPr>
                <w:rFonts w:ascii="Times New Roman" w:cs="Times New Roman" w:eastAsia="Times New Roman" w:hAnsi="Times New Roman"/>
                <w:sz w:val="12"/>
                <w:szCs w:val="12"/>
                <w:color w:val="auto"/>
                <w:vertAlign w:val="superscript"/>
              </w:rPr>
              <w:t>(8)</w:t>
            </w:r>
          </w:p>
        </w:tc>
        <w:tc>
          <w:tcPr>
            <w:tcW w:w="96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04/02/2025</w:t>
            </w: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1,799</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(34)</w:t>
            </w:r>
          </w:p>
        </w:tc>
        <w:tc>
          <w:tcPr>
            <w:tcW w:w="0" w:type="dxa"/>
            <w:vAlign w:val="bottom"/>
          </w:tcPr>
          <w:p>
            <w:pPr>
              <w:spacing w:after="0"/>
              <w:rPr>
                <w:sz w:val="1"/>
                <w:szCs w:val="1"/>
                <w:color w:val="auto"/>
              </w:rPr>
            </w:pPr>
          </w:p>
        </w:tc>
      </w:tr>
      <w:tr>
        <w:trPr>
          <w:trHeight w:val="120"/>
        </w:trPr>
        <w:tc>
          <w:tcPr>
            <w:tcW w:w="31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ACP Avenu Buyer, LLC - Funded Revolver</w:t>
            </w:r>
          </w:p>
        </w:tc>
        <w:tc>
          <w:tcPr>
            <w:tcW w:w="96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10/02/2029</w:t>
            </w:r>
          </w:p>
        </w:tc>
        <w:tc>
          <w:tcPr>
            <w:tcW w:w="25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tcPr>
          <w:p>
            <w:pPr>
              <w:jc w:val="center"/>
              <w:ind w:left="352"/>
              <w:spacing w:after="0"/>
              <w:rPr>
                <w:sz w:val="20"/>
                <w:szCs w:val="20"/>
                <w:color w:val="auto"/>
              </w:rPr>
            </w:pPr>
            <w:r>
              <w:rPr>
                <w:rFonts w:ascii="Times New Roman" w:cs="Times New Roman" w:eastAsia="Times New Roman" w:hAnsi="Times New Roman"/>
                <w:sz w:val="10"/>
                <w:szCs w:val="10"/>
                <w:color w:val="auto"/>
                <w:w w:val="97"/>
              </w:rPr>
              <w:t>10.45%</w:t>
            </w:r>
          </w:p>
        </w:tc>
        <w:tc>
          <w:tcPr>
            <w:tcW w:w="20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SOFR+525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271</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271</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262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ACP Avenu Buyer, LLC - Revolver </w:t>
            </w:r>
            <w:r>
              <w:rPr>
                <w:rFonts w:ascii="Times New Roman" w:cs="Times New Roman" w:eastAsia="Times New Roman" w:hAnsi="Times New Roman"/>
                <w:sz w:val="12"/>
                <w:szCs w:val="12"/>
                <w:color w:val="auto"/>
                <w:vertAlign w:val="superscript"/>
              </w:rPr>
              <w:t>(8)</w:t>
            </w:r>
          </w:p>
        </w:tc>
        <w:tc>
          <w:tcPr>
            <w:tcW w:w="96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10/02/2029</w:t>
            </w: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947</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(31)</w:t>
            </w:r>
          </w:p>
        </w:tc>
        <w:tc>
          <w:tcPr>
            <w:tcW w:w="0" w:type="dxa"/>
            <w:vAlign w:val="bottom"/>
          </w:tcPr>
          <w:p>
            <w:pPr>
              <w:spacing w:after="0"/>
              <w:rPr>
                <w:sz w:val="1"/>
                <w:szCs w:val="1"/>
                <w:color w:val="auto"/>
              </w:rPr>
            </w:pPr>
          </w:p>
        </w:tc>
      </w:tr>
      <w:tr>
        <w:trPr>
          <w:trHeight w:val="120"/>
        </w:trPr>
        <w:tc>
          <w:tcPr>
            <w:tcW w:w="316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ACP Falcon Buyer, Inc. - Revolver </w:t>
            </w:r>
            <w:r>
              <w:rPr>
                <w:rFonts w:ascii="Times New Roman" w:cs="Times New Roman" w:eastAsia="Times New Roman" w:hAnsi="Times New Roman"/>
                <w:sz w:val="12"/>
                <w:szCs w:val="12"/>
                <w:color w:val="auto"/>
                <w:vertAlign w:val="superscript"/>
              </w:rPr>
              <w:t>(8)</w:t>
            </w:r>
          </w:p>
        </w:tc>
        <w:tc>
          <w:tcPr>
            <w:tcW w:w="96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08/01/2029</w:t>
            </w:r>
          </w:p>
        </w:tc>
        <w:tc>
          <w:tcPr>
            <w:tcW w:w="25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tcPr>
          <w:p>
            <w:pPr>
              <w:spacing w:after="0"/>
              <w:rPr>
                <w:sz w:val="10"/>
                <w:szCs w:val="1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2,533</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Ad.net Acquisition, LLC - Funded Revolver</w:t>
            </w:r>
          </w:p>
        </w:tc>
        <w:tc>
          <w:tcPr>
            <w:tcW w:w="96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05/07/2026</w:t>
            </w: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80" w:type="dxa"/>
            <w:vAlign w:val="bottom"/>
            <w:shd w:val="clear" w:color="auto" w:fill="CCECFF"/>
          </w:tcPr>
          <w:p>
            <w:pPr>
              <w:jc w:val="center"/>
              <w:ind w:left="352"/>
              <w:spacing w:after="0"/>
              <w:rPr>
                <w:sz w:val="20"/>
                <w:szCs w:val="20"/>
                <w:color w:val="auto"/>
              </w:rPr>
            </w:pPr>
            <w:r>
              <w:rPr>
                <w:rFonts w:ascii="Times New Roman" w:cs="Times New Roman" w:eastAsia="Times New Roman" w:hAnsi="Times New Roman"/>
                <w:sz w:val="10"/>
                <w:szCs w:val="10"/>
                <w:color w:val="auto"/>
                <w:w w:val="97"/>
              </w:rPr>
              <w:t>10.93%</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SOFR+626</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178</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178</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178</w:t>
            </w:r>
          </w:p>
        </w:tc>
        <w:tc>
          <w:tcPr>
            <w:tcW w:w="0" w:type="dxa"/>
            <w:vAlign w:val="bottom"/>
          </w:tcPr>
          <w:p>
            <w:pPr>
              <w:spacing w:after="0"/>
              <w:rPr>
                <w:sz w:val="1"/>
                <w:szCs w:val="1"/>
                <w:color w:val="auto"/>
              </w:rPr>
            </w:pPr>
          </w:p>
        </w:tc>
      </w:tr>
      <w:tr>
        <w:trPr>
          <w:trHeight w:val="120"/>
        </w:trPr>
        <w:tc>
          <w:tcPr>
            <w:tcW w:w="316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Ad.net Acquisition, LLC - Revolver </w:t>
            </w:r>
            <w:r>
              <w:rPr>
                <w:rFonts w:ascii="Times New Roman" w:cs="Times New Roman" w:eastAsia="Times New Roman" w:hAnsi="Times New Roman"/>
                <w:sz w:val="12"/>
                <w:szCs w:val="12"/>
                <w:color w:val="auto"/>
                <w:vertAlign w:val="superscript"/>
              </w:rPr>
              <w:t>(8)</w:t>
            </w:r>
          </w:p>
        </w:tc>
        <w:tc>
          <w:tcPr>
            <w:tcW w:w="96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05/07/2026</w:t>
            </w:r>
          </w:p>
        </w:tc>
        <w:tc>
          <w:tcPr>
            <w:tcW w:w="25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80" w:type="dxa"/>
            <w:vAlign w:val="bottom"/>
          </w:tcPr>
          <w:p>
            <w:pPr>
              <w:spacing w:after="0"/>
              <w:rPr>
                <w:sz w:val="10"/>
                <w:szCs w:val="1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267</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Adweek Purchaser, LLC</w:t>
            </w:r>
          </w:p>
        </w:tc>
        <w:tc>
          <w:tcPr>
            <w:tcW w:w="96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05/30/2027</w:t>
            </w: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Printing and Publishing</w:t>
            </w:r>
          </w:p>
        </w:tc>
        <w:tc>
          <w:tcPr>
            <w:tcW w:w="780" w:type="dxa"/>
            <w:vAlign w:val="bottom"/>
            <w:shd w:val="clear" w:color="auto" w:fill="CCECFF"/>
          </w:tcPr>
          <w:p>
            <w:pPr>
              <w:jc w:val="center"/>
              <w:ind w:left="352"/>
              <w:spacing w:after="0"/>
              <w:rPr>
                <w:sz w:val="20"/>
                <w:szCs w:val="20"/>
                <w:color w:val="auto"/>
              </w:rPr>
            </w:pPr>
            <w:r>
              <w:rPr>
                <w:rFonts w:ascii="Times New Roman" w:cs="Times New Roman" w:eastAsia="Times New Roman" w:hAnsi="Times New Roman"/>
                <w:sz w:val="10"/>
                <w:szCs w:val="10"/>
                <w:color w:val="auto"/>
                <w:w w:val="97"/>
              </w:rPr>
              <w:t>11.60%</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SOFR+700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1,963</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2,000</w:t>
            </w:r>
          </w:p>
        </w:tc>
        <w:tc>
          <w:tcPr>
            <w:tcW w:w="0" w:type="dxa"/>
            <w:vAlign w:val="bottom"/>
          </w:tcPr>
          <w:p>
            <w:pPr>
              <w:spacing w:after="0"/>
              <w:rPr>
                <w:sz w:val="1"/>
                <w:szCs w:val="1"/>
                <w:color w:val="auto"/>
              </w:rPr>
            </w:pPr>
          </w:p>
        </w:tc>
      </w:tr>
      <w:tr>
        <w:trPr>
          <w:trHeight w:val="120"/>
        </w:trPr>
        <w:tc>
          <w:tcPr>
            <w:tcW w:w="316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Adweek Purchaser, LLC - Unfunded Term Loan </w:t>
            </w:r>
            <w:r>
              <w:rPr>
                <w:rFonts w:ascii="Times New Roman" w:cs="Times New Roman" w:eastAsia="Times New Roman" w:hAnsi="Times New Roman"/>
                <w:sz w:val="12"/>
                <w:szCs w:val="12"/>
                <w:color w:val="auto"/>
                <w:vertAlign w:val="superscript"/>
              </w:rPr>
              <w:t>(8)</w:t>
            </w:r>
          </w:p>
        </w:tc>
        <w:tc>
          <w:tcPr>
            <w:tcW w:w="96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11/30/2025</w:t>
            </w:r>
          </w:p>
        </w:tc>
        <w:tc>
          <w:tcPr>
            <w:tcW w:w="25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Printing and Publishing</w:t>
            </w:r>
          </w:p>
        </w:tc>
        <w:tc>
          <w:tcPr>
            <w:tcW w:w="780" w:type="dxa"/>
            <w:vAlign w:val="bottom"/>
          </w:tcPr>
          <w:p>
            <w:pPr>
              <w:spacing w:after="0"/>
              <w:rPr>
                <w:sz w:val="10"/>
                <w:szCs w:val="1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Aechelon Technology, Inc.</w:t>
            </w:r>
          </w:p>
        </w:tc>
        <w:tc>
          <w:tcPr>
            <w:tcW w:w="96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08/16/2029</w:t>
            </w: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80" w:type="dxa"/>
            <w:vAlign w:val="bottom"/>
            <w:shd w:val="clear" w:color="auto" w:fill="CCECFF"/>
          </w:tcPr>
          <w:p>
            <w:pPr>
              <w:jc w:val="center"/>
              <w:ind w:left="352"/>
              <w:spacing w:after="0"/>
              <w:rPr>
                <w:sz w:val="20"/>
                <w:szCs w:val="20"/>
                <w:color w:val="auto"/>
              </w:rPr>
            </w:pPr>
            <w:r>
              <w:rPr>
                <w:rFonts w:ascii="Times New Roman" w:cs="Times New Roman" w:eastAsia="Times New Roman" w:hAnsi="Times New Roman"/>
                <w:sz w:val="10"/>
                <w:szCs w:val="10"/>
                <w:color w:val="auto"/>
                <w:w w:val="97"/>
              </w:rPr>
              <w:t>12.60%</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SOFR+750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5,000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4,951</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4,900</w:t>
            </w:r>
          </w:p>
        </w:tc>
        <w:tc>
          <w:tcPr>
            <w:tcW w:w="0" w:type="dxa"/>
            <w:vAlign w:val="bottom"/>
          </w:tcPr>
          <w:p>
            <w:pPr>
              <w:spacing w:after="0"/>
              <w:rPr>
                <w:sz w:val="1"/>
                <w:szCs w:val="1"/>
                <w:color w:val="auto"/>
              </w:rPr>
            </w:pPr>
          </w:p>
        </w:tc>
      </w:tr>
      <w:tr>
        <w:trPr>
          <w:trHeight w:val="120"/>
        </w:trPr>
        <w:tc>
          <w:tcPr>
            <w:tcW w:w="316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Aechelon Technology, Inc. - Unfunded Revolver </w:t>
            </w:r>
            <w:r>
              <w:rPr>
                <w:rFonts w:ascii="Times New Roman" w:cs="Times New Roman" w:eastAsia="Times New Roman" w:hAnsi="Times New Roman"/>
                <w:sz w:val="12"/>
                <w:szCs w:val="12"/>
                <w:color w:val="auto"/>
                <w:vertAlign w:val="superscript"/>
              </w:rPr>
              <w:t>(8)</w:t>
            </w:r>
          </w:p>
        </w:tc>
        <w:tc>
          <w:tcPr>
            <w:tcW w:w="96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08/16/2029</w:t>
            </w:r>
          </w:p>
        </w:tc>
        <w:tc>
          <w:tcPr>
            <w:tcW w:w="25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80" w:type="dxa"/>
            <w:vAlign w:val="bottom"/>
          </w:tcPr>
          <w:p>
            <w:pPr>
              <w:spacing w:after="0"/>
              <w:rPr>
                <w:sz w:val="10"/>
                <w:szCs w:val="1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1,109</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Aeronix, Inc. - Revolver </w:t>
            </w:r>
            <w:r>
              <w:rPr>
                <w:rFonts w:ascii="Times New Roman" w:cs="Times New Roman" w:eastAsia="Times New Roman" w:hAnsi="Times New Roman"/>
                <w:sz w:val="12"/>
                <w:szCs w:val="12"/>
                <w:color w:val="auto"/>
                <w:vertAlign w:val="superscript"/>
              </w:rPr>
              <w:t>(8)</w:t>
            </w:r>
          </w:p>
        </w:tc>
        <w:tc>
          <w:tcPr>
            <w:tcW w:w="96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12/12/2028</w:t>
            </w: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2,489</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AFC Dell Holding Corp.</w:t>
            </w:r>
          </w:p>
        </w:tc>
        <w:tc>
          <w:tcPr>
            <w:tcW w:w="96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04/09/2027</w:t>
            </w:r>
          </w:p>
        </w:tc>
        <w:tc>
          <w:tcPr>
            <w:tcW w:w="25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780" w:type="dxa"/>
            <w:vAlign w:val="bottom"/>
          </w:tcPr>
          <w:p>
            <w:pPr>
              <w:jc w:val="center"/>
              <w:ind w:left="352"/>
              <w:spacing w:after="0"/>
              <w:rPr>
                <w:sz w:val="20"/>
                <w:szCs w:val="20"/>
                <w:color w:val="auto"/>
              </w:rPr>
            </w:pPr>
            <w:r>
              <w:rPr>
                <w:rFonts w:ascii="Times New Roman" w:cs="Times New Roman" w:eastAsia="Times New Roman" w:hAnsi="Times New Roman"/>
                <w:sz w:val="10"/>
                <w:szCs w:val="10"/>
                <w:color w:val="auto"/>
                <w:w w:val="97"/>
              </w:rPr>
              <w:t>10.48%</w:t>
            </w:r>
          </w:p>
        </w:tc>
        <w:tc>
          <w:tcPr>
            <w:tcW w:w="20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SOFR+550</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9,781</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9,762</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9,683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AFC Dell Holding Corp. - Unfunded Term Loan </w:t>
            </w:r>
            <w:r>
              <w:rPr>
                <w:rFonts w:ascii="Times New Roman" w:cs="Times New Roman" w:eastAsia="Times New Roman" w:hAnsi="Times New Roman"/>
                <w:sz w:val="12"/>
                <w:szCs w:val="12"/>
                <w:color w:val="auto"/>
                <w:vertAlign w:val="superscript"/>
              </w:rPr>
              <w:t>(8)</w:t>
            </w:r>
          </w:p>
        </w:tc>
        <w:tc>
          <w:tcPr>
            <w:tcW w:w="96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04/09/2027</w:t>
            </w: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4,428</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(44)</w:t>
            </w:r>
          </w:p>
        </w:tc>
        <w:tc>
          <w:tcPr>
            <w:tcW w:w="0" w:type="dxa"/>
            <w:vAlign w:val="bottom"/>
          </w:tcPr>
          <w:p>
            <w:pPr>
              <w:spacing w:after="0"/>
              <w:rPr>
                <w:sz w:val="1"/>
                <w:szCs w:val="1"/>
                <w:color w:val="auto"/>
              </w:rPr>
            </w:pPr>
          </w:p>
        </w:tc>
      </w:tr>
      <w:tr>
        <w:trPr>
          <w:trHeight w:val="120"/>
        </w:trPr>
        <w:tc>
          <w:tcPr>
            <w:tcW w:w="31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Atlas Purchaser, Inc. - Third Out</w:t>
            </w:r>
          </w:p>
        </w:tc>
        <w:tc>
          <w:tcPr>
            <w:tcW w:w="96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05/06/2028</w:t>
            </w:r>
          </w:p>
        </w:tc>
        <w:tc>
          <w:tcPr>
            <w:tcW w:w="25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780" w:type="dxa"/>
            <w:vAlign w:val="bottom"/>
          </w:tcPr>
          <w:p>
            <w:pPr>
              <w:jc w:val="center"/>
              <w:ind w:left="352"/>
              <w:spacing w:after="0"/>
              <w:rPr>
                <w:sz w:val="20"/>
                <w:szCs w:val="20"/>
                <w:color w:val="auto"/>
              </w:rPr>
            </w:pPr>
            <w:r>
              <w:rPr>
                <w:rFonts w:ascii="Times New Roman" w:cs="Times New Roman" w:eastAsia="Times New Roman" w:hAnsi="Times New Roman"/>
                <w:sz w:val="10"/>
                <w:szCs w:val="10"/>
                <w:color w:val="auto"/>
                <w:w w:val="97"/>
              </w:rPr>
              <w:t>11.97%</w:t>
            </w:r>
          </w:p>
        </w:tc>
        <w:tc>
          <w:tcPr>
            <w:tcW w:w="20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SOFR+700</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8,840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7,499</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6,144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Atlas Purchaser, Inc. - Fourth Out</w:t>
            </w:r>
          </w:p>
        </w:tc>
        <w:tc>
          <w:tcPr>
            <w:tcW w:w="96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05/06/2028</w:t>
            </w: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780" w:type="dxa"/>
            <w:vAlign w:val="bottom"/>
            <w:shd w:val="clear" w:color="auto" w:fill="CCECFF"/>
          </w:tcPr>
          <w:p>
            <w:pPr>
              <w:jc w:val="center"/>
              <w:ind w:left="352"/>
              <w:spacing w:after="0"/>
              <w:rPr>
                <w:sz w:val="20"/>
                <w:szCs w:val="20"/>
                <w:color w:val="auto"/>
              </w:rPr>
            </w:pPr>
            <w:r>
              <w:rPr>
                <w:rFonts w:ascii="Times New Roman" w:cs="Times New Roman" w:eastAsia="Times New Roman" w:hAnsi="Times New Roman"/>
                <w:sz w:val="10"/>
                <w:szCs w:val="10"/>
                <w:color w:val="auto"/>
                <w:w w:val="97"/>
              </w:rPr>
              <w:t>11.97%</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SOFR+700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4,760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674</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624</w:t>
            </w:r>
          </w:p>
        </w:tc>
        <w:tc>
          <w:tcPr>
            <w:tcW w:w="0" w:type="dxa"/>
            <w:vAlign w:val="bottom"/>
          </w:tcPr>
          <w:p>
            <w:pPr>
              <w:spacing w:after="0"/>
              <w:rPr>
                <w:sz w:val="1"/>
                <w:szCs w:val="1"/>
                <w:color w:val="auto"/>
              </w:rPr>
            </w:pPr>
          </w:p>
        </w:tc>
      </w:tr>
      <w:tr>
        <w:trPr>
          <w:trHeight w:val="120"/>
        </w:trPr>
        <w:tc>
          <w:tcPr>
            <w:tcW w:w="316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Anteriad, LLC (f/k/a MeritDirect, LLC) - Revolver </w:t>
            </w:r>
            <w:r>
              <w:rPr>
                <w:rFonts w:ascii="Times New Roman" w:cs="Times New Roman" w:eastAsia="Times New Roman" w:hAnsi="Times New Roman"/>
                <w:sz w:val="12"/>
                <w:szCs w:val="12"/>
                <w:color w:val="auto"/>
                <w:vertAlign w:val="superscript"/>
              </w:rPr>
              <w:t>(8)</w:t>
            </w:r>
          </w:p>
        </w:tc>
        <w:tc>
          <w:tcPr>
            <w:tcW w:w="96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06/30/2026</w:t>
            </w:r>
          </w:p>
        </w:tc>
        <w:tc>
          <w:tcPr>
            <w:tcW w:w="25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80" w:type="dxa"/>
            <w:vAlign w:val="bottom"/>
          </w:tcPr>
          <w:p>
            <w:pPr>
              <w:spacing w:after="0"/>
              <w:rPr>
                <w:sz w:val="10"/>
                <w:szCs w:val="1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1,612</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96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12/29/2026</w:t>
            </w: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780" w:type="dxa"/>
            <w:vAlign w:val="bottom"/>
            <w:shd w:val="clear" w:color="auto" w:fill="CCECFF"/>
          </w:tcPr>
          <w:p>
            <w:pPr>
              <w:jc w:val="center"/>
              <w:ind w:left="352"/>
              <w:spacing w:after="0"/>
              <w:rPr>
                <w:sz w:val="20"/>
                <w:szCs w:val="20"/>
                <w:color w:val="auto"/>
              </w:rPr>
            </w:pPr>
            <w:r>
              <w:rPr>
                <w:rFonts w:ascii="Times New Roman" w:cs="Times New Roman" w:eastAsia="Times New Roman" w:hAnsi="Times New Roman"/>
                <w:sz w:val="10"/>
                <w:szCs w:val="10"/>
                <w:color w:val="auto"/>
                <w:w w:val="97"/>
              </w:rPr>
              <w:t>10.50%</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SOFR+590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1,182</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1,174</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1,164</w:t>
            </w:r>
          </w:p>
        </w:tc>
        <w:tc>
          <w:tcPr>
            <w:tcW w:w="0" w:type="dxa"/>
            <w:vAlign w:val="bottom"/>
          </w:tcPr>
          <w:p>
            <w:pPr>
              <w:spacing w:after="0"/>
              <w:rPr>
                <w:sz w:val="1"/>
                <w:szCs w:val="1"/>
                <w:color w:val="auto"/>
              </w:rPr>
            </w:pPr>
          </w:p>
        </w:tc>
      </w:tr>
      <w:tr>
        <w:trPr>
          <w:trHeight w:val="120"/>
        </w:trPr>
        <w:tc>
          <w:tcPr>
            <w:tcW w:w="316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Applied Technical Services, LLC - Unfunded Term Loan </w:t>
            </w:r>
            <w:r>
              <w:rPr>
                <w:rFonts w:ascii="Times New Roman" w:cs="Times New Roman" w:eastAsia="Times New Roman" w:hAnsi="Times New Roman"/>
                <w:sz w:val="12"/>
                <w:szCs w:val="12"/>
                <w:color w:val="auto"/>
                <w:vertAlign w:val="superscript"/>
              </w:rPr>
              <w:t>(8)</w:t>
            </w:r>
          </w:p>
        </w:tc>
        <w:tc>
          <w:tcPr>
            <w:tcW w:w="96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07/17/2025</w:t>
            </w:r>
          </w:p>
        </w:tc>
        <w:tc>
          <w:tcPr>
            <w:tcW w:w="25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780" w:type="dxa"/>
            <w:vAlign w:val="bottom"/>
          </w:tcPr>
          <w:p>
            <w:pPr>
              <w:spacing w:after="0"/>
              <w:rPr>
                <w:sz w:val="10"/>
                <w:szCs w:val="1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2,637</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Applied Technical Services, LLC - Revolver</w:t>
            </w:r>
          </w:p>
        </w:tc>
        <w:tc>
          <w:tcPr>
            <w:tcW w:w="96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12/29/2026</w:t>
            </w: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780" w:type="dxa"/>
            <w:vAlign w:val="bottom"/>
            <w:shd w:val="clear" w:color="auto" w:fill="CCECFF"/>
          </w:tcPr>
          <w:p>
            <w:pPr>
              <w:jc w:val="center"/>
              <w:ind w:left="352"/>
              <w:spacing w:after="0"/>
              <w:rPr>
                <w:sz w:val="20"/>
                <w:szCs w:val="20"/>
                <w:color w:val="auto"/>
              </w:rPr>
            </w:pPr>
            <w:r>
              <w:rPr>
                <w:rFonts w:ascii="Times New Roman" w:cs="Times New Roman" w:eastAsia="Times New Roman" w:hAnsi="Times New Roman"/>
                <w:sz w:val="10"/>
                <w:szCs w:val="10"/>
                <w:color w:val="auto"/>
                <w:w w:val="97"/>
              </w:rPr>
              <w:t>13.25%</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SOFR+475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1,133</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1,133</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1,116</w:t>
            </w:r>
          </w:p>
        </w:tc>
        <w:tc>
          <w:tcPr>
            <w:tcW w:w="0" w:type="dxa"/>
            <w:vAlign w:val="bottom"/>
          </w:tcPr>
          <w:p>
            <w:pPr>
              <w:spacing w:after="0"/>
              <w:rPr>
                <w:sz w:val="1"/>
                <w:szCs w:val="1"/>
                <w:color w:val="auto"/>
              </w:rPr>
            </w:pPr>
          </w:p>
        </w:tc>
      </w:tr>
      <w:tr>
        <w:trPr>
          <w:trHeight w:val="120"/>
        </w:trPr>
        <w:tc>
          <w:tcPr>
            <w:tcW w:w="316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Applied Technical Services, LLC - Unfunded Revolver </w:t>
            </w:r>
            <w:r>
              <w:rPr>
                <w:rFonts w:ascii="Times New Roman" w:cs="Times New Roman" w:eastAsia="Times New Roman" w:hAnsi="Times New Roman"/>
                <w:sz w:val="12"/>
                <w:szCs w:val="12"/>
                <w:color w:val="auto"/>
                <w:vertAlign w:val="superscript"/>
              </w:rPr>
              <w:t>(8)</w:t>
            </w:r>
          </w:p>
        </w:tc>
        <w:tc>
          <w:tcPr>
            <w:tcW w:w="96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12/29/2026</w:t>
            </w:r>
          </w:p>
        </w:tc>
        <w:tc>
          <w:tcPr>
            <w:tcW w:w="25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780" w:type="dxa"/>
            <w:vAlign w:val="bottom"/>
          </w:tcPr>
          <w:p>
            <w:pPr>
              <w:spacing w:after="0"/>
              <w:rPr>
                <w:sz w:val="10"/>
                <w:szCs w:val="1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669</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Arcfield Acquisition Corp. - Revolver </w:t>
            </w:r>
            <w:r>
              <w:rPr>
                <w:rFonts w:ascii="Times New Roman" w:cs="Times New Roman" w:eastAsia="Times New Roman" w:hAnsi="Times New Roman"/>
                <w:sz w:val="12"/>
                <w:szCs w:val="12"/>
                <w:color w:val="auto"/>
                <w:vertAlign w:val="superscript"/>
              </w:rPr>
              <w:t>(8)</w:t>
            </w:r>
          </w:p>
        </w:tc>
        <w:tc>
          <w:tcPr>
            <w:tcW w:w="96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08/04/2028</w:t>
            </w: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3,521</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(18)</w:t>
            </w:r>
          </w:p>
        </w:tc>
        <w:tc>
          <w:tcPr>
            <w:tcW w:w="0" w:type="dxa"/>
            <w:vAlign w:val="bottom"/>
          </w:tcPr>
          <w:p>
            <w:pPr>
              <w:spacing w:after="0"/>
              <w:rPr>
                <w:sz w:val="1"/>
                <w:szCs w:val="1"/>
                <w:color w:val="auto"/>
              </w:rPr>
            </w:pPr>
          </w:p>
        </w:tc>
      </w:tr>
      <w:tr>
        <w:trPr>
          <w:trHeight w:val="120"/>
        </w:trPr>
        <w:tc>
          <w:tcPr>
            <w:tcW w:w="31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Archer Lewis, LLC</w:t>
            </w:r>
          </w:p>
        </w:tc>
        <w:tc>
          <w:tcPr>
            <w:tcW w:w="96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08/28/2029</w:t>
            </w:r>
          </w:p>
        </w:tc>
        <w:tc>
          <w:tcPr>
            <w:tcW w:w="25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80" w:type="dxa"/>
            <w:vAlign w:val="bottom"/>
          </w:tcPr>
          <w:p>
            <w:pPr>
              <w:jc w:val="center"/>
              <w:ind w:left="352"/>
              <w:spacing w:after="0"/>
              <w:rPr>
                <w:sz w:val="20"/>
                <w:szCs w:val="20"/>
                <w:color w:val="auto"/>
              </w:rPr>
            </w:pPr>
            <w:r>
              <w:rPr>
                <w:rFonts w:ascii="Times New Roman" w:cs="Times New Roman" w:eastAsia="Times New Roman" w:hAnsi="Times New Roman"/>
                <w:sz w:val="10"/>
                <w:szCs w:val="10"/>
                <w:color w:val="auto"/>
                <w:w w:val="97"/>
              </w:rPr>
              <w:t>10.83%</w:t>
            </w:r>
          </w:p>
        </w:tc>
        <w:tc>
          <w:tcPr>
            <w:tcW w:w="20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SOFR+575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8,700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8,614</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8,526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40" w:type="dxa"/>
            <w:vAlign w:val="bottom"/>
            <w:shd w:val="clear" w:color="auto" w:fill="CCECFF"/>
          </w:tcPr>
          <w:p>
            <w:pPr>
              <w:spacing w:after="0" w:line="132" w:lineRule="exact"/>
              <w:rPr>
                <w:sz w:val="20"/>
                <w:szCs w:val="20"/>
                <w:color w:val="auto"/>
              </w:rPr>
            </w:pPr>
            <w:r>
              <w:rPr>
                <w:rFonts w:ascii="Times New Roman" w:cs="Times New Roman" w:eastAsia="Times New Roman" w:hAnsi="Times New Roman"/>
                <w:sz w:val="10"/>
                <w:szCs w:val="10"/>
                <w:color w:val="auto"/>
              </w:rPr>
              <w:t xml:space="preserve">Archer Lewis, LLC - Unfunded Term Loan A </w:t>
            </w:r>
            <w:r>
              <w:rPr>
                <w:rFonts w:ascii="Times New Roman" w:cs="Times New Roman" w:eastAsia="Times New Roman" w:hAnsi="Times New Roman"/>
                <w:sz w:val="12"/>
                <w:szCs w:val="12"/>
                <w:color w:val="auto"/>
                <w:vertAlign w:val="superscript"/>
              </w:rPr>
              <w:t>(8)</w:t>
            </w:r>
          </w:p>
        </w:tc>
        <w:tc>
          <w:tcPr>
            <w:tcW w:w="96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08/28/2025</w:t>
            </w: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80" w:type="dxa"/>
            <w:vAlign w:val="bottom"/>
            <w:shd w:val="clear" w:color="auto" w:fill="CCECFF"/>
          </w:tcPr>
          <w:p>
            <w:pPr>
              <w:spacing w:after="0"/>
              <w:rPr>
                <w:sz w:val="11"/>
                <w:szCs w:val="11"/>
                <w:color w:val="auto"/>
              </w:rPr>
            </w:pPr>
          </w:p>
        </w:tc>
        <w:tc>
          <w:tcPr>
            <w:tcW w:w="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5,324</w:t>
            </w:r>
          </w:p>
        </w:tc>
        <w:tc>
          <w:tcPr>
            <w:tcW w:w="200" w:type="dxa"/>
            <w:vAlign w:val="bottom"/>
            <w:shd w:val="clear" w:color="auto" w:fill="CCECFF"/>
          </w:tcPr>
          <w:p>
            <w:pPr>
              <w:spacing w:after="0"/>
              <w:rPr>
                <w:sz w:val="11"/>
                <w:szCs w:val="11"/>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1"/>
                <w:szCs w:val="11"/>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(53)</w:t>
            </w:r>
          </w:p>
        </w:tc>
        <w:tc>
          <w:tcPr>
            <w:tcW w:w="0" w:type="dxa"/>
            <w:vAlign w:val="bottom"/>
          </w:tcPr>
          <w:p>
            <w:pPr>
              <w:spacing w:after="0"/>
              <w:rPr>
                <w:sz w:val="1"/>
                <w:szCs w:val="1"/>
                <w:color w:val="auto"/>
              </w:rPr>
            </w:pPr>
          </w:p>
        </w:tc>
      </w:tr>
      <w:tr>
        <w:trPr>
          <w:trHeight w:val="120"/>
        </w:trPr>
        <w:tc>
          <w:tcPr>
            <w:tcW w:w="316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Archer Lewis, LLC - Unfunded Term Loan B </w:t>
            </w:r>
            <w:r>
              <w:rPr>
                <w:rFonts w:ascii="Times New Roman" w:cs="Times New Roman" w:eastAsia="Times New Roman" w:hAnsi="Times New Roman"/>
                <w:sz w:val="12"/>
                <w:szCs w:val="12"/>
                <w:color w:val="auto"/>
                <w:vertAlign w:val="superscript"/>
              </w:rPr>
              <w:t>(8)</w:t>
            </w:r>
          </w:p>
        </w:tc>
        <w:tc>
          <w:tcPr>
            <w:tcW w:w="96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08/28/2026</w:t>
            </w:r>
          </w:p>
        </w:tc>
        <w:tc>
          <w:tcPr>
            <w:tcW w:w="25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80" w:type="dxa"/>
            <w:vAlign w:val="bottom"/>
          </w:tcPr>
          <w:p>
            <w:pPr>
              <w:spacing w:after="0"/>
              <w:rPr>
                <w:sz w:val="10"/>
                <w:szCs w:val="1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8,527</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Archer Lewis, LLC - Unfunded Revolver </w:t>
            </w:r>
            <w:r>
              <w:rPr>
                <w:rFonts w:ascii="Times New Roman" w:cs="Times New Roman" w:eastAsia="Times New Roman" w:hAnsi="Times New Roman"/>
                <w:sz w:val="12"/>
                <w:szCs w:val="12"/>
                <w:color w:val="auto"/>
                <w:vertAlign w:val="superscript"/>
              </w:rPr>
              <w:t>(8)</w:t>
            </w:r>
          </w:p>
        </w:tc>
        <w:tc>
          <w:tcPr>
            <w:tcW w:w="96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08/28/2029</w:t>
            </w: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1,304</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(26)</w:t>
            </w:r>
          </w:p>
        </w:tc>
        <w:tc>
          <w:tcPr>
            <w:tcW w:w="0" w:type="dxa"/>
            <w:vAlign w:val="bottom"/>
          </w:tcPr>
          <w:p>
            <w:pPr>
              <w:spacing w:after="0"/>
              <w:rPr>
                <w:sz w:val="1"/>
                <w:szCs w:val="1"/>
                <w:color w:val="auto"/>
              </w:rPr>
            </w:pPr>
          </w:p>
        </w:tc>
      </w:tr>
      <w:tr>
        <w:trPr>
          <w:trHeight w:val="120"/>
        </w:trPr>
        <w:tc>
          <w:tcPr>
            <w:tcW w:w="31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Argano, LLC.</w:t>
            </w:r>
          </w:p>
        </w:tc>
        <w:tc>
          <w:tcPr>
            <w:tcW w:w="96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09/13/2029</w:t>
            </w:r>
          </w:p>
        </w:tc>
        <w:tc>
          <w:tcPr>
            <w:tcW w:w="25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tcPr>
          <w:p>
            <w:pPr>
              <w:jc w:val="center"/>
              <w:ind w:left="352"/>
              <w:spacing w:after="0"/>
              <w:rPr>
                <w:sz w:val="20"/>
                <w:szCs w:val="20"/>
                <w:color w:val="auto"/>
              </w:rPr>
            </w:pPr>
            <w:r>
              <w:rPr>
                <w:rFonts w:ascii="Times New Roman" w:cs="Times New Roman" w:eastAsia="Times New Roman" w:hAnsi="Times New Roman"/>
                <w:sz w:val="10"/>
                <w:szCs w:val="10"/>
                <w:color w:val="auto"/>
                <w:w w:val="97"/>
              </w:rPr>
              <w:t>10.85%</w:t>
            </w:r>
          </w:p>
        </w:tc>
        <w:tc>
          <w:tcPr>
            <w:tcW w:w="20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SOFR+575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15,000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14,851</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14,850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Argano, LLC. - Unfunded Term Loan </w:t>
            </w:r>
            <w:r>
              <w:rPr>
                <w:rFonts w:ascii="Times New Roman" w:cs="Times New Roman" w:eastAsia="Times New Roman" w:hAnsi="Times New Roman"/>
                <w:sz w:val="12"/>
                <w:szCs w:val="12"/>
                <w:color w:val="auto"/>
                <w:vertAlign w:val="superscript"/>
              </w:rPr>
              <w:t>(8)</w:t>
            </w:r>
          </w:p>
        </w:tc>
        <w:tc>
          <w:tcPr>
            <w:tcW w:w="96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03/13/2025</w:t>
            </w: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4,981</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Argano, LLC. - Unfunded Revolver </w:t>
            </w:r>
            <w:r>
              <w:rPr>
                <w:rFonts w:ascii="Times New Roman" w:cs="Times New Roman" w:eastAsia="Times New Roman" w:hAnsi="Times New Roman"/>
                <w:sz w:val="12"/>
                <w:szCs w:val="12"/>
                <w:color w:val="auto"/>
                <w:vertAlign w:val="superscript"/>
              </w:rPr>
              <w:t>(8)</w:t>
            </w:r>
          </w:p>
        </w:tc>
        <w:tc>
          <w:tcPr>
            <w:tcW w:w="96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09/13/2029</w:t>
            </w:r>
          </w:p>
        </w:tc>
        <w:tc>
          <w:tcPr>
            <w:tcW w:w="25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tcPr>
          <w:p>
            <w:pPr>
              <w:spacing w:after="0"/>
              <w:rPr>
                <w:sz w:val="10"/>
                <w:szCs w:val="1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794</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Beacon Behavioral Support Service, LLC</w:t>
            </w:r>
          </w:p>
        </w:tc>
        <w:tc>
          <w:tcPr>
            <w:tcW w:w="96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06/21/2029</w:t>
            </w: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80" w:type="dxa"/>
            <w:vAlign w:val="bottom"/>
            <w:shd w:val="clear" w:color="auto" w:fill="CCECFF"/>
          </w:tcPr>
          <w:p>
            <w:pPr>
              <w:jc w:val="center"/>
              <w:ind w:left="352"/>
              <w:spacing w:after="0"/>
              <w:rPr>
                <w:sz w:val="20"/>
                <w:szCs w:val="20"/>
                <w:color w:val="auto"/>
              </w:rPr>
            </w:pPr>
            <w:r>
              <w:rPr>
                <w:rFonts w:ascii="Times New Roman" w:cs="Times New Roman" w:eastAsia="Times New Roman" w:hAnsi="Times New Roman"/>
                <w:sz w:val="10"/>
                <w:szCs w:val="10"/>
                <w:color w:val="auto"/>
              </w:rPr>
              <w:t>9.85%</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SOFR+525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2,396</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2,372</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2,360</w:t>
            </w:r>
          </w:p>
        </w:tc>
        <w:tc>
          <w:tcPr>
            <w:tcW w:w="0" w:type="dxa"/>
            <w:vAlign w:val="bottom"/>
          </w:tcPr>
          <w:p>
            <w:pPr>
              <w:spacing w:after="0"/>
              <w:rPr>
                <w:sz w:val="1"/>
                <w:szCs w:val="1"/>
                <w:color w:val="auto"/>
              </w:rPr>
            </w:pPr>
          </w:p>
        </w:tc>
      </w:tr>
      <w:tr>
        <w:trPr>
          <w:trHeight w:val="120"/>
        </w:trPr>
        <w:tc>
          <w:tcPr>
            <w:tcW w:w="316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Beacon Behavioral Support Service, LLC - Unfunded Term Loan </w:t>
            </w:r>
            <w:r>
              <w:rPr>
                <w:rFonts w:ascii="Times New Roman" w:cs="Times New Roman" w:eastAsia="Times New Roman" w:hAnsi="Times New Roman"/>
                <w:sz w:val="12"/>
                <w:szCs w:val="12"/>
                <w:color w:val="auto"/>
                <w:vertAlign w:val="superscript"/>
              </w:rPr>
              <w:t>(8)</w:t>
            </w:r>
          </w:p>
        </w:tc>
        <w:tc>
          <w:tcPr>
            <w:tcW w:w="96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12/21/2025</w:t>
            </w:r>
          </w:p>
        </w:tc>
        <w:tc>
          <w:tcPr>
            <w:tcW w:w="25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80" w:type="dxa"/>
            <w:vAlign w:val="bottom"/>
          </w:tcPr>
          <w:p>
            <w:pPr>
              <w:spacing w:after="0"/>
              <w:rPr>
                <w:sz w:val="10"/>
                <w:szCs w:val="1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3,747</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Beacon Behavioral Support Service, LLC - Revolver </w:t>
            </w:r>
            <w:r>
              <w:rPr>
                <w:rFonts w:ascii="Times New Roman" w:cs="Times New Roman" w:eastAsia="Times New Roman" w:hAnsi="Times New Roman"/>
                <w:sz w:val="12"/>
                <w:szCs w:val="12"/>
                <w:color w:val="auto"/>
                <w:vertAlign w:val="superscript"/>
              </w:rPr>
              <w:t>(8)</w:t>
            </w:r>
          </w:p>
        </w:tc>
        <w:tc>
          <w:tcPr>
            <w:tcW w:w="96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06/21/2029</w:t>
            </w: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1,206</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(18)</w:t>
            </w:r>
          </w:p>
        </w:tc>
        <w:tc>
          <w:tcPr>
            <w:tcW w:w="0" w:type="dxa"/>
            <w:vAlign w:val="bottom"/>
          </w:tcPr>
          <w:p>
            <w:pPr>
              <w:spacing w:after="0"/>
              <w:rPr>
                <w:sz w:val="1"/>
                <w:szCs w:val="1"/>
                <w:color w:val="auto"/>
              </w:rPr>
            </w:pPr>
          </w:p>
        </w:tc>
      </w:tr>
      <w:tr>
        <w:trPr>
          <w:trHeight w:val="120"/>
        </w:trPr>
        <w:tc>
          <w:tcPr>
            <w:tcW w:w="31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Berwick Industrial Park</w:t>
            </w:r>
          </w:p>
        </w:tc>
        <w:tc>
          <w:tcPr>
            <w:tcW w:w="96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05/02/2025</w:t>
            </w:r>
          </w:p>
        </w:tc>
        <w:tc>
          <w:tcPr>
            <w:tcW w:w="25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Buildings and Real Estate</w:t>
            </w:r>
          </w:p>
        </w:tc>
        <w:tc>
          <w:tcPr>
            <w:tcW w:w="780" w:type="dxa"/>
            <w:vAlign w:val="bottom"/>
          </w:tcPr>
          <w:p>
            <w:pPr>
              <w:jc w:val="center"/>
              <w:ind w:left="352"/>
              <w:spacing w:after="0"/>
              <w:rPr>
                <w:sz w:val="20"/>
                <w:szCs w:val="20"/>
                <w:color w:val="auto"/>
              </w:rPr>
            </w:pPr>
            <w:r>
              <w:rPr>
                <w:rFonts w:ascii="Times New Roman" w:cs="Times New Roman" w:eastAsia="Times New Roman" w:hAnsi="Times New Roman"/>
                <w:sz w:val="10"/>
                <w:szCs w:val="10"/>
                <w:color w:val="auto"/>
                <w:w w:val="97"/>
              </w:rPr>
              <w:t>13.00%</w:t>
            </w:r>
          </w:p>
        </w:tc>
        <w:tc>
          <w:tcPr>
            <w:tcW w:w="200" w:type="dxa"/>
            <w:vAlign w:val="bottom"/>
          </w:tcPr>
          <w:p>
            <w:pPr>
              <w:spacing w:after="0"/>
              <w:rPr>
                <w:sz w:val="10"/>
                <w:szCs w:val="1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4,000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4,042</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3,988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96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07/01/2029</w:t>
            </w: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80" w:type="dxa"/>
            <w:vAlign w:val="bottom"/>
            <w:shd w:val="clear" w:color="auto" w:fill="CCECFF"/>
          </w:tcPr>
          <w:p>
            <w:pPr>
              <w:jc w:val="center"/>
              <w:ind w:left="352"/>
              <w:spacing w:after="0"/>
              <w:rPr>
                <w:sz w:val="20"/>
                <w:szCs w:val="20"/>
                <w:color w:val="auto"/>
              </w:rPr>
            </w:pPr>
            <w:r>
              <w:rPr>
                <w:rFonts w:ascii="Times New Roman" w:cs="Times New Roman" w:eastAsia="Times New Roman" w:hAnsi="Times New Roman"/>
                <w:sz w:val="10"/>
                <w:szCs w:val="10"/>
                <w:color w:val="auto"/>
                <w:w w:val="97"/>
              </w:rPr>
              <w:t>10.35%</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SOFR+575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4,900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4,832</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4,753</w:t>
            </w:r>
          </w:p>
        </w:tc>
        <w:tc>
          <w:tcPr>
            <w:tcW w:w="0" w:type="dxa"/>
            <w:vAlign w:val="bottom"/>
          </w:tcPr>
          <w:p>
            <w:pPr>
              <w:spacing w:after="0"/>
              <w:rPr>
                <w:sz w:val="1"/>
                <w:szCs w:val="1"/>
                <w:color w:val="auto"/>
              </w:rPr>
            </w:pPr>
          </w:p>
        </w:tc>
      </w:tr>
      <w:tr>
        <w:trPr>
          <w:trHeight w:val="120"/>
        </w:trPr>
        <w:tc>
          <w:tcPr>
            <w:tcW w:w="316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Big Top Holdings, LLC - Unfunded Revolver </w:t>
            </w:r>
            <w:r>
              <w:rPr>
                <w:rFonts w:ascii="Times New Roman" w:cs="Times New Roman" w:eastAsia="Times New Roman" w:hAnsi="Times New Roman"/>
                <w:sz w:val="12"/>
                <w:szCs w:val="12"/>
                <w:color w:val="auto"/>
                <w:vertAlign w:val="superscript"/>
              </w:rPr>
              <w:t>(8)</w:t>
            </w:r>
          </w:p>
        </w:tc>
        <w:tc>
          <w:tcPr>
            <w:tcW w:w="96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02/07/2030</w:t>
            </w:r>
          </w:p>
        </w:tc>
        <w:tc>
          <w:tcPr>
            <w:tcW w:w="25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Manufacturing/Basic Industry</w:t>
            </w:r>
          </w:p>
        </w:tc>
        <w:tc>
          <w:tcPr>
            <w:tcW w:w="780" w:type="dxa"/>
            <w:vAlign w:val="bottom"/>
          </w:tcPr>
          <w:p>
            <w:pPr>
              <w:spacing w:after="0"/>
              <w:rPr>
                <w:sz w:val="10"/>
                <w:szCs w:val="1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1,155</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BioDerm, Inc. - Revolver</w:t>
            </w:r>
          </w:p>
        </w:tc>
        <w:tc>
          <w:tcPr>
            <w:tcW w:w="96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01/31/2028</w:t>
            </w: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80" w:type="dxa"/>
            <w:vAlign w:val="bottom"/>
            <w:shd w:val="clear" w:color="auto" w:fill="CCECFF"/>
          </w:tcPr>
          <w:p>
            <w:pPr>
              <w:jc w:val="center"/>
              <w:ind w:left="352"/>
              <w:spacing w:after="0"/>
              <w:rPr>
                <w:sz w:val="20"/>
                <w:szCs w:val="20"/>
                <w:color w:val="auto"/>
              </w:rPr>
            </w:pPr>
            <w:r>
              <w:rPr>
                <w:rFonts w:ascii="Times New Roman" w:cs="Times New Roman" w:eastAsia="Times New Roman" w:hAnsi="Times New Roman"/>
                <w:sz w:val="10"/>
                <w:szCs w:val="10"/>
                <w:color w:val="auto"/>
                <w:w w:val="97"/>
              </w:rPr>
              <w:t>11.84%</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SOFR+650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589</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589</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582</w:t>
            </w:r>
          </w:p>
        </w:tc>
        <w:tc>
          <w:tcPr>
            <w:tcW w:w="0" w:type="dxa"/>
            <w:vAlign w:val="bottom"/>
          </w:tcPr>
          <w:p>
            <w:pPr>
              <w:spacing w:after="0"/>
              <w:rPr>
                <w:sz w:val="1"/>
                <w:szCs w:val="1"/>
                <w:color w:val="auto"/>
              </w:rPr>
            </w:pPr>
          </w:p>
        </w:tc>
      </w:tr>
      <w:tr>
        <w:trPr>
          <w:trHeight w:val="120"/>
        </w:trPr>
        <w:tc>
          <w:tcPr>
            <w:tcW w:w="316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BioDerm, Inc. - Revolver </w:t>
            </w:r>
            <w:r>
              <w:rPr>
                <w:rFonts w:ascii="Times New Roman" w:cs="Times New Roman" w:eastAsia="Times New Roman" w:hAnsi="Times New Roman"/>
                <w:sz w:val="12"/>
                <w:szCs w:val="12"/>
                <w:color w:val="auto"/>
                <w:vertAlign w:val="superscript"/>
              </w:rPr>
              <w:t>(8)</w:t>
            </w:r>
          </w:p>
        </w:tc>
        <w:tc>
          <w:tcPr>
            <w:tcW w:w="96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01/31/2028</w:t>
            </w:r>
          </w:p>
        </w:tc>
        <w:tc>
          <w:tcPr>
            <w:tcW w:w="25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80" w:type="dxa"/>
            <w:vAlign w:val="bottom"/>
          </w:tcPr>
          <w:p>
            <w:pPr>
              <w:spacing w:after="0"/>
              <w:rPr>
                <w:sz w:val="10"/>
                <w:szCs w:val="1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482</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96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09/17/2026</w:t>
            </w: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780" w:type="dxa"/>
            <w:vAlign w:val="bottom"/>
            <w:shd w:val="clear" w:color="auto" w:fill="CCECFF"/>
          </w:tcPr>
          <w:p>
            <w:pPr>
              <w:jc w:val="center"/>
              <w:ind w:left="352"/>
              <w:spacing w:after="0"/>
              <w:rPr>
                <w:sz w:val="20"/>
                <w:szCs w:val="20"/>
                <w:color w:val="auto"/>
              </w:rPr>
            </w:pPr>
            <w:r>
              <w:rPr>
                <w:rFonts w:ascii="Times New Roman" w:cs="Times New Roman" w:eastAsia="Times New Roman" w:hAnsi="Times New Roman"/>
                <w:sz w:val="10"/>
                <w:szCs w:val="10"/>
                <w:color w:val="auto"/>
                <w:w w:val="97"/>
              </w:rPr>
              <w:t>11.00%</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SOFR+640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6,279</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6,239</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6,171</w:t>
            </w:r>
          </w:p>
        </w:tc>
        <w:tc>
          <w:tcPr>
            <w:tcW w:w="0" w:type="dxa"/>
            <w:vAlign w:val="bottom"/>
          </w:tcPr>
          <w:p>
            <w:pPr>
              <w:spacing w:after="0"/>
              <w:rPr>
                <w:sz w:val="1"/>
                <w:szCs w:val="1"/>
                <w:color w:val="auto"/>
              </w:rPr>
            </w:pPr>
          </w:p>
        </w:tc>
      </w:tr>
      <w:tr>
        <w:trPr>
          <w:trHeight w:val="120"/>
        </w:trPr>
        <w:tc>
          <w:tcPr>
            <w:tcW w:w="316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Blackhawk Industrial Distribution, Inc. - Unfunded Term Loan </w:t>
            </w:r>
            <w:r>
              <w:rPr>
                <w:rFonts w:ascii="Times New Roman" w:cs="Times New Roman" w:eastAsia="Times New Roman" w:hAnsi="Times New Roman"/>
                <w:sz w:val="12"/>
                <w:szCs w:val="12"/>
                <w:color w:val="auto"/>
                <w:vertAlign w:val="superscript"/>
              </w:rPr>
              <w:t>(8)</w:t>
            </w:r>
          </w:p>
        </w:tc>
        <w:tc>
          <w:tcPr>
            <w:tcW w:w="96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09/17/2026</w:t>
            </w:r>
          </w:p>
        </w:tc>
        <w:tc>
          <w:tcPr>
            <w:tcW w:w="25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780" w:type="dxa"/>
            <w:vAlign w:val="bottom"/>
          </w:tcPr>
          <w:p>
            <w:pPr>
              <w:spacing w:after="0"/>
              <w:rPr>
                <w:sz w:val="10"/>
                <w:szCs w:val="1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2,368</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Blackhawk Industrial Distribution, Inc. - Revolver</w:t>
            </w:r>
          </w:p>
        </w:tc>
        <w:tc>
          <w:tcPr>
            <w:tcW w:w="96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09/17/2026</w:t>
            </w: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780" w:type="dxa"/>
            <w:vAlign w:val="bottom"/>
            <w:shd w:val="clear" w:color="auto" w:fill="CCECFF"/>
          </w:tcPr>
          <w:p>
            <w:pPr>
              <w:jc w:val="center"/>
              <w:ind w:left="352"/>
              <w:spacing w:after="0"/>
              <w:rPr>
                <w:sz w:val="20"/>
                <w:szCs w:val="20"/>
                <w:color w:val="auto"/>
              </w:rPr>
            </w:pPr>
            <w:r>
              <w:rPr>
                <w:rFonts w:ascii="Times New Roman" w:cs="Times New Roman" w:eastAsia="Times New Roman" w:hAnsi="Times New Roman"/>
                <w:sz w:val="10"/>
                <w:szCs w:val="10"/>
                <w:color w:val="auto"/>
                <w:w w:val="97"/>
              </w:rPr>
              <w:t>11.04%</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SOFR+640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1,093</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1,093</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1,074</w:t>
            </w:r>
          </w:p>
        </w:tc>
        <w:tc>
          <w:tcPr>
            <w:tcW w:w="0" w:type="dxa"/>
            <w:vAlign w:val="bottom"/>
          </w:tcPr>
          <w:p>
            <w:pPr>
              <w:spacing w:after="0"/>
              <w:rPr>
                <w:sz w:val="1"/>
                <w:szCs w:val="1"/>
                <w:color w:val="auto"/>
              </w:rPr>
            </w:pPr>
          </w:p>
        </w:tc>
      </w:tr>
      <w:tr>
        <w:trPr>
          <w:trHeight w:val="120"/>
        </w:trPr>
        <w:tc>
          <w:tcPr>
            <w:tcW w:w="316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Blackhawk Industrial Distribution, Inc. - Unfunded Revolver </w:t>
            </w:r>
            <w:r>
              <w:rPr>
                <w:rFonts w:ascii="Times New Roman" w:cs="Times New Roman" w:eastAsia="Times New Roman" w:hAnsi="Times New Roman"/>
                <w:sz w:val="12"/>
                <w:szCs w:val="12"/>
                <w:color w:val="auto"/>
                <w:vertAlign w:val="superscript"/>
              </w:rPr>
              <w:t>(8)</w:t>
            </w:r>
          </w:p>
        </w:tc>
        <w:tc>
          <w:tcPr>
            <w:tcW w:w="96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09/17/2026</w:t>
            </w:r>
          </w:p>
        </w:tc>
        <w:tc>
          <w:tcPr>
            <w:tcW w:w="25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780" w:type="dxa"/>
            <w:vAlign w:val="bottom"/>
          </w:tcPr>
          <w:p>
            <w:pPr>
              <w:spacing w:after="0"/>
              <w:rPr>
                <w:sz w:val="10"/>
                <w:szCs w:val="1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3,764</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14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0"/>
                <w:szCs w:val="10"/>
                <w:color w:val="auto"/>
              </w:rPr>
              <w:t>BlueHalo Financing Holdings, LLC</w:t>
            </w:r>
          </w:p>
        </w:tc>
        <w:tc>
          <w:tcPr>
            <w:tcW w:w="960" w:type="dxa"/>
            <w:vAlign w:val="bottom"/>
            <w:vMerge w:val="restart"/>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10/31/2025</w:t>
            </w:r>
          </w:p>
        </w:tc>
        <w:tc>
          <w:tcPr>
            <w:tcW w:w="250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80" w:type="dxa"/>
            <w:vAlign w:val="bottom"/>
            <w:vMerge w:val="restart"/>
            <w:shd w:val="clear" w:color="auto" w:fill="CCECFF"/>
          </w:tcPr>
          <w:p>
            <w:pPr>
              <w:jc w:val="center"/>
              <w:ind w:left="352"/>
              <w:spacing w:after="0"/>
              <w:rPr>
                <w:sz w:val="20"/>
                <w:szCs w:val="20"/>
                <w:color w:val="auto"/>
              </w:rPr>
            </w:pPr>
            <w:r>
              <w:rPr>
                <w:rFonts w:ascii="Times New Roman" w:cs="Times New Roman" w:eastAsia="Times New Roman" w:hAnsi="Times New Roman"/>
                <w:sz w:val="10"/>
                <w:szCs w:val="10"/>
                <w:color w:val="auto"/>
                <w:w w:val="97"/>
              </w:rPr>
              <w:t>10.44%</w:t>
            </w:r>
          </w:p>
        </w:tc>
        <w:tc>
          <w:tcPr>
            <w:tcW w:w="200" w:type="dxa"/>
            <w:vAlign w:val="bottom"/>
            <w:shd w:val="clear" w:color="auto" w:fill="CCECFF"/>
          </w:tcPr>
          <w:p>
            <w:pPr>
              <w:spacing w:after="0"/>
              <w:rPr>
                <w:sz w:val="10"/>
                <w:szCs w:val="10"/>
                <w:color w:val="auto"/>
              </w:rPr>
            </w:pPr>
          </w:p>
        </w:tc>
        <w:tc>
          <w:tcPr>
            <w:tcW w:w="8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SOFR+600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w:t>
            </w:r>
          </w:p>
        </w:tc>
        <w:tc>
          <w:tcPr>
            <w:tcW w:w="200" w:type="dxa"/>
            <w:vAlign w:val="bottom"/>
            <w:shd w:val="clear" w:color="auto" w:fill="CCECFF"/>
          </w:tcPr>
          <w:p>
            <w:pPr>
              <w:spacing w:after="0"/>
              <w:rPr>
                <w:sz w:val="10"/>
                <w:szCs w:val="10"/>
                <w:color w:val="auto"/>
              </w:rPr>
            </w:pPr>
          </w:p>
        </w:tc>
        <w:tc>
          <w:tcPr>
            <w:tcW w:w="46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w:t>
            </w:r>
          </w:p>
        </w:tc>
        <w:tc>
          <w:tcPr>
            <w:tcW w:w="300" w:type="dxa"/>
            <w:vAlign w:val="bottom"/>
            <w:shd w:val="clear" w:color="auto" w:fill="CCECFF"/>
          </w:tcPr>
          <w:p>
            <w:pPr>
              <w:spacing w:after="0"/>
              <w:rPr>
                <w:sz w:val="10"/>
                <w:szCs w:val="10"/>
                <w:color w:val="auto"/>
              </w:rPr>
            </w:pPr>
          </w:p>
        </w:tc>
        <w:tc>
          <w:tcPr>
            <w:tcW w:w="500" w:type="dxa"/>
            <w:vAlign w:val="bottom"/>
            <w:vMerge w:val="restart"/>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140" w:type="dxa"/>
            <w:vAlign w:val="bottom"/>
            <w:vMerge w:val="continue"/>
            <w:shd w:val="clear" w:color="auto" w:fill="CCECFF"/>
          </w:tcPr>
          <w:p>
            <w:pPr>
              <w:spacing w:after="0"/>
              <w:rPr>
                <w:sz w:val="9"/>
                <w:szCs w:val="9"/>
                <w:color w:val="auto"/>
              </w:rPr>
            </w:pPr>
          </w:p>
        </w:tc>
        <w:tc>
          <w:tcPr>
            <w:tcW w:w="960" w:type="dxa"/>
            <w:vAlign w:val="bottom"/>
            <w:vMerge w:val="continue"/>
            <w:shd w:val="clear" w:color="auto" w:fill="CCECFF"/>
          </w:tcPr>
          <w:p>
            <w:pPr>
              <w:spacing w:after="0"/>
              <w:rPr>
                <w:sz w:val="9"/>
                <w:szCs w:val="9"/>
                <w:color w:val="auto"/>
              </w:rPr>
            </w:pPr>
          </w:p>
        </w:tc>
        <w:tc>
          <w:tcPr>
            <w:tcW w:w="2500" w:type="dxa"/>
            <w:vAlign w:val="bottom"/>
            <w:vMerge w:val="continue"/>
            <w:shd w:val="clear" w:color="auto" w:fill="CCECFF"/>
          </w:tcPr>
          <w:p>
            <w:pPr>
              <w:spacing w:after="0"/>
              <w:rPr>
                <w:sz w:val="9"/>
                <w:szCs w:val="9"/>
                <w:color w:val="auto"/>
              </w:rPr>
            </w:pPr>
          </w:p>
        </w:tc>
        <w:tc>
          <w:tcPr>
            <w:tcW w:w="780" w:type="dxa"/>
            <w:vAlign w:val="bottom"/>
            <w:vMerge w:val="continue"/>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800" w:type="dxa"/>
            <w:vAlign w:val="bottom"/>
            <w:vMerge w:val="continue"/>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460" w:type="dxa"/>
            <w:vAlign w:val="bottom"/>
            <w:vMerge w:val="continue"/>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500" w:type="dxa"/>
            <w:vAlign w:val="bottom"/>
            <w:vMerge w:val="continue"/>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1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Broder Bros., Co.</w:t>
            </w:r>
          </w:p>
        </w:tc>
        <w:tc>
          <w:tcPr>
            <w:tcW w:w="96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12/04/2025</w:t>
            </w:r>
          </w:p>
        </w:tc>
        <w:tc>
          <w:tcPr>
            <w:tcW w:w="25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780" w:type="dxa"/>
            <w:vAlign w:val="bottom"/>
          </w:tcPr>
          <w:p>
            <w:pPr>
              <w:jc w:val="center"/>
              <w:ind w:left="352"/>
              <w:spacing w:after="0"/>
              <w:rPr>
                <w:sz w:val="20"/>
                <w:szCs w:val="20"/>
                <w:color w:val="auto"/>
              </w:rPr>
            </w:pPr>
            <w:r>
              <w:rPr>
                <w:rFonts w:ascii="Times New Roman" w:cs="Times New Roman" w:eastAsia="Times New Roman" w:hAnsi="Times New Roman"/>
                <w:sz w:val="10"/>
                <w:szCs w:val="10"/>
                <w:color w:val="auto"/>
                <w:w w:val="97"/>
              </w:rPr>
              <w:t>10.97%</w:t>
            </w:r>
          </w:p>
        </w:tc>
        <w:tc>
          <w:tcPr>
            <w:tcW w:w="20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SOFR+611</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9,524</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9,524</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9,524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Carisk Buyer, Inc. - Unfunded Term Loan </w:t>
            </w:r>
            <w:r>
              <w:rPr>
                <w:rFonts w:ascii="Times New Roman" w:cs="Times New Roman" w:eastAsia="Times New Roman" w:hAnsi="Times New Roman"/>
                <w:sz w:val="12"/>
                <w:szCs w:val="12"/>
                <w:color w:val="auto"/>
                <w:vertAlign w:val="superscript"/>
              </w:rPr>
              <w:t>(8)</w:t>
            </w:r>
          </w:p>
        </w:tc>
        <w:tc>
          <w:tcPr>
            <w:tcW w:w="96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12/01/2029</w:t>
            </w: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4,813</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(24)</w:t>
            </w:r>
          </w:p>
        </w:tc>
        <w:tc>
          <w:tcPr>
            <w:tcW w:w="0" w:type="dxa"/>
            <w:vAlign w:val="bottom"/>
          </w:tcPr>
          <w:p>
            <w:pPr>
              <w:spacing w:after="0"/>
              <w:rPr>
                <w:sz w:val="1"/>
                <w:szCs w:val="1"/>
                <w:color w:val="auto"/>
              </w:rPr>
            </w:pPr>
          </w:p>
        </w:tc>
      </w:tr>
      <w:tr>
        <w:trPr>
          <w:trHeight w:val="120"/>
        </w:trPr>
        <w:tc>
          <w:tcPr>
            <w:tcW w:w="316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Carisk Buyer, Inc. - Revolver </w:t>
            </w:r>
            <w:r>
              <w:rPr>
                <w:rFonts w:ascii="Times New Roman" w:cs="Times New Roman" w:eastAsia="Times New Roman" w:hAnsi="Times New Roman"/>
                <w:sz w:val="12"/>
                <w:szCs w:val="12"/>
                <w:color w:val="auto"/>
                <w:vertAlign w:val="superscript"/>
              </w:rPr>
              <w:t>(8)</w:t>
            </w:r>
          </w:p>
        </w:tc>
        <w:tc>
          <w:tcPr>
            <w:tcW w:w="96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12/01/2029</w:t>
            </w:r>
          </w:p>
        </w:tc>
        <w:tc>
          <w:tcPr>
            <w:tcW w:w="25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80" w:type="dxa"/>
            <w:vAlign w:val="bottom"/>
          </w:tcPr>
          <w:p>
            <w:pPr>
              <w:spacing w:after="0"/>
              <w:rPr>
                <w:sz w:val="10"/>
                <w:szCs w:val="1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Carnegie Dartlet, LLC</w:t>
            </w:r>
          </w:p>
        </w:tc>
        <w:tc>
          <w:tcPr>
            <w:tcW w:w="96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02/07/2030</w:t>
            </w: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780" w:type="dxa"/>
            <w:vAlign w:val="bottom"/>
            <w:shd w:val="clear" w:color="auto" w:fill="CCECFF"/>
          </w:tcPr>
          <w:p>
            <w:pPr>
              <w:jc w:val="center"/>
              <w:ind w:left="352"/>
              <w:spacing w:after="0"/>
              <w:rPr>
                <w:sz w:val="20"/>
                <w:szCs w:val="20"/>
                <w:color w:val="auto"/>
              </w:rPr>
            </w:pPr>
            <w:r>
              <w:rPr>
                <w:rFonts w:ascii="Times New Roman" w:cs="Times New Roman" w:eastAsia="Times New Roman" w:hAnsi="Times New Roman"/>
                <w:sz w:val="10"/>
                <w:szCs w:val="10"/>
                <w:color w:val="auto"/>
                <w:w w:val="97"/>
              </w:rPr>
              <w:t>10.35%</w:t>
            </w:r>
          </w:p>
        </w:tc>
        <w:tc>
          <w:tcPr>
            <w:tcW w:w="20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SOFR+550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12,935</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12,745</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12,741</w:t>
            </w:r>
          </w:p>
        </w:tc>
        <w:tc>
          <w:tcPr>
            <w:tcW w:w="0" w:type="dxa"/>
            <w:vAlign w:val="bottom"/>
          </w:tcPr>
          <w:p>
            <w:pPr>
              <w:spacing w:after="0"/>
              <w:rPr>
                <w:sz w:val="1"/>
                <w:szCs w:val="1"/>
                <w:color w:val="auto"/>
              </w:rPr>
            </w:pPr>
          </w:p>
        </w:tc>
      </w:tr>
      <w:tr>
        <w:trPr>
          <w:trHeight w:val="120"/>
        </w:trPr>
        <w:tc>
          <w:tcPr>
            <w:tcW w:w="316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Carnegie Dartlet, LLC - Unfunded Term Loan </w:t>
            </w:r>
            <w:r>
              <w:rPr>
                <w:rFonts w:ascii="Times New Roman" w:cs="Times New Roman" w:eastAsia="Times New Roman" w:hAnsi="Times New Roman"/>
                <w:sz w:val="12"/>
                <w:szCs w:val="12"/>
                <w:color w:val="auto"/>
                <w:vertAlign w:val="superscript"/>
              </w:rPr>
              <w:t>(8)</w:t>
            </w:r>
          </w:p>
        </w:tc>
        <w:tc>
          <w:tcPr>
            <w:tcW w:w="960" w:type="dxa"/>
            <w:vAlign w:val="bottom"/>
          </w:tcPr>
          <w:p>
            <w:pPr>
              <w:jc w:val="center"/>
              <w:ind w:right="232"/>
              <w:spacing w:after="0"/>
              <w:rPr>
                <w:sz w:val="20"/>
                <w:szCs w:val="20"/>
                <w:color w:val="auto"/>
              </w:rPr>
            </w:pPr>
            <w:r>
              <w:rPr>
                <w:rFonts w:ascii="Times New Roman" w:cs="Times New Roman" w:eastAsia="Times New Roman" w:hAnsi="Times New Roman"/>
                <w:sz w:val="10"/>
                <w:szCs w:val="10"/>
                <w:color w:val="auto"/>
                <w:w w:val="96"/>
              </w:rPr>
              <w:t>02/07/2026</w:t>
            </w:r>
          </w:p>
        </w:tc>
        <w:tc>
          <w:tcPr>
            <w:tcW w:w="25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780" w:type="dxa"/>
            <w:vAlign w:val="bottom"/>
          </w:tcPr>
          <w:p>
            <w:pPr>
              <w:spacing w:after="0"/>
              <w:rPr>
                <w:sz w:val="10"/>
                <w:szCs w:val="1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10,017</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Carnegie Dartlet, LLC - Unfunded Revolver </w:t>
            </w:r>
            <w:r>
              <w:rPr>
                <w:rFonts w:ascii="Times New Roman" w:cs="Times New Roman" w:eastAsia="Times New Roman" w:hAnsi="Times New Roman"/>
                <w:sz w:val="12"/>
                <w:szCs w:val="12"/>
                <w:color w:val="auto"/>
                <w:vertAlign w:val="superscript"/>
              </w:rPr>
              <w:t>(8)</w:t>
            </w:r>
          </w:p>
        </w:tc>
        <w:tc>
          <w:tcPr>
            <w:tcW w:w="960" w:type="dxa"/>
            <w:vAlign w:val="bottom"/>
            <w:shd w:val="clear" w:color="auto" w:fill="CCECFF"/>
          </w:tcPr>
          <w:p>
            <w:pPr>
              <w:jc w:val="center"/>
              <w:ind w:right="232"/>
              <w:spacing w:after="0"/>
              <w:rPr>
                <w:sz w:val="20"/>
                <w:szCs w:val="20"/>
                <w:color w:val="auto"/>
              </w:rPr>
            </w:pPr>
            <w:r>
              <w:rPr>
                <w:rFonts w:ascii="Times New Roman" w:cs="Times New Roman" w:eastAsia="Times New Roman" w:hAnsi="Times New Roman"/>
                <w:sz w:val="10"/>
                <w:szCs w:val="10"/>
                <w:color w:val="auto"/>
                <w:w w:val="96"/>
              </w:rPr>
              <w:t>02/07/2030</w:t>
            </w: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3,339</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(50)</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2"/>
        </w:trPr>
        <w:tc>
          <w:tcPr>
            <w:tcW w:w="27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40" w:type="dxa"/>
            <w:vAlign w:val="bottom"/>
          </w:tcPr>
          <w:p>
            <w:pPr>
              <w:jc w:val="center"/>
              <w:ind w:left="172"/>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(4)</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80" w:type="dxa"/>
            <w:vAlign w:val="bottom"/>
            <w:gridSpan w:val="2"/>
          </w:tcPr>
          <w:p>
            <w:pPr>
              <w:jc w:val="right"/>
              <w:ind w:right="7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(3)</w:t>
            </w:r>
          </w:p>
        </w:tc>
      </w:tr>
      <w:tr>
        <w:trPr>
          <w:trHeight w:val="120"/>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Cartessa Aesthetics, LLC</w:t>
            </w:r>
          </w:p>
        </w:tc>
        <w:tc>
          <w:tcPr>
            <w:tcW w:w="10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06/14/2028</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56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0"/>
              </w:rPr>
              <w:t>10.35%</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3M SOFR+575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28,737</w:t>
            </w:r>
          </w:p>
        </w:tc>
        <w:tc>
          <w:tcPr>
            <w:tcW w:w="6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   28,334</w:t>
            </w:r>
          </w:p>
        </w:tc>
        <w:tc>
          <w:tcPr>
            <w:tcW w:w="3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28,736</w:t>
            </w:r>
          </w:p>
        </w:tc>
      </w:tr>
      <w:tr>
        <w:trPr>
          <w:trHeight w:val="12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Cartessa Aesthetics, LLC - Revolver</w:t>
            </w:r>
          </w:p>
        </w:tc>
        <w:tc>
          <w:tcPr>
            <w:tcW w:w="10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06/14/2028</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56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0"/>
              </w:rPr>
              <w:t>10.35%</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3M SOFR+575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1,265</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1,265</w:t>
            </w:r>
          </w:p>
        </w:tc>
        <w:tc>
          <w:tcPr>
            <w:tcW w:w="30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1,265</w:t>
            </w:r>
          </w:p>
        </w:tc>
      </w:tr>
      <w:tr>
        <w:trPr>
          <w:trHeight w:val="120"/>
        </w:trPr>
        <w:tc>
          <w:tcPr>
            <w:tcW w:w="27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Cartessa Aesthetics, LLC - Unfunded Revolver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06/14/2028</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2,297</w:t>
            </w:r>
          </w:p>
        </w:tc>
        <w:tc>
          <w:tcPr>
            <w:tcW w:w="6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CF512, Inc.</w:t>
            </w:r>
          </w:p>
        </w:tc>
        <w:tc>
          <w:tcPr>
            <w:tcW w:w="10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08/20/2026</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6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0"/>
              </w:rPr>
              <w:t>11.05%</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3M SOFR+619</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6,525</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6,475</w:t>
            </w:r>
          </w:p>
        </w:tc>
        <w:tc>
          <w:tcPr>
            <w:tcW w:w="30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6,427</w:t>
            </w:r>
          </w:p>
        </w:tc>
      </w:tr>
      <w:tr>
        <w:trPr>
          <w:trHeight w:val="120"/>
        </w:trPr>
        <w:tc>
          <w:tcPr>
            <w:tcW w:w="27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CF512, Inc. - Revolver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08/20/2026</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909</w:t>
            </w:r>
          </w:p>
        </w:tc>
        <w:tc>
          <w:tcPr>
            <w:tcW w:w="6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(14)</w:t>
            </w:r>
          </w:p>
        </w:tc>
      </w:tr>
      <w:tr>
        <w:trPr>
          <w:trHeight w:val="12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Compex Legal Services, Inc.</w:t>
            </w:r>
          </w:p>
        </w:tc>
        <w:tc>
          <w:tcPr>
            <w:tcW w:w="10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02/09/2026</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6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0"/>
              </w:rPr>
              <w:t>10.31%</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3M SOFR+555</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939</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933</w:t>
            </w:r>
          </w:p>
        </w:tc>
        <w:tc>
          <w:tcPr>
            <w:tcW w:w="30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939</w:t>
            </w:r>
          </w:p>
        </w:tc>
      </w:tr>
      <w:tr>
        <w:trPr>
          <w:trHeight w:val="120"/>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Compex Legal Services, Inc. - Revolver</w:t>
            </w:r>
          </w:p>
        </w:tc>
        <w:tc>
          <w:tcPr>
            <w:tcW w:w="10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02/07/2025</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6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0"/>
              </w:rPr>
              <w:t>10.80%</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3M SOFR+555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328</w:t>
            </w:r>
          </w:p>
        </w:tc>
        <w:tc>
          <w:tcPr>
            <w:tcW w:w="6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328</w:t>
            </w:r>
          </w:p>
        </w:tc>
        <w:tc>
          <w:tcPr>
            <w:tcW w:w="3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328</w:t>
            </w:r>
          </w:p>
        </w:tc>
      </w:tr>
      <w:tr>
        <w:trPr>
          <w:trHeight w:val="120"/>
        </w:trPr>
        <w:tc>
          <w:tcPr>
            <w:tcW w:w="27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Compex Legal Services, Inc. - Unfunded Revolver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02/07/2025</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6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328</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Confluent Health, LLC</w:t>
            </w:r>
          </w:p>
        </w:tc>
        <w:tc>
          <w:tcPr>
            <w:tcW w:w="10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11/30/2028</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56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0"/>
              </w:rPr>
              <w:t>12.35%</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3M SOFR+750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1,970</w:t>
            </w:r>
          </w:p>
        </w:tc>
        <w:tc>
          <w:tcPr>
            <w:tcW w:w="6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1,854</w:t>
            </w:r>
          </w:p>
        </w:tc>
        <w:tc>
          <w:tcPr>
            <w:tcW w:w="3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1,970</w:t>
            </w:r>
          </w:p>
        </w:tc>
      </w:tr>
      <w:tr>
        <w:trPr>
          <w:trHeight w:val="12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Connatix Buyer, Inc. - Funded Revolver</w:t>
            </w:r>
          </w:p>
        </w:tc>
        <w:tc>
          <w:tcPr>
            <w:tcW w:w="10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07/13/2027</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6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0"/>
              </w:rPr>
              <w:t>10.58%</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3M SOFR+576</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424</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424</w:t>
            </w:r>
          </w:p>
        </w:tc>
        <w:tc>
          <w:tcPr>
            <w:tcW w:w="30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424</w:t>
            </w:r>
          </w:p>
        </w:tc>
      </w:tr>
      <w:tr>
        <w:trPr>
          <w:trHeight w:val="120"/>
        </w:trPr>
        <w:tc>
          <w:tcPr>
            <w:tcW w:w="27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Connatix Buyer, Inc. - Revolver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07/13/2027</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1,451</w:t>
            </w:r>
          </w:p>
        </w:tc>
        <w:tc>
          <w:tcPr>
            <w:tcW w:w="6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Crane 1 Services, Inc.</w:t>
            </w:r>
          </w:p>
        </w:tc>
        <w:tc>
          <w:tcPr>
            <w:tcW w:w="10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08/16/2027</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56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2"/>
              </w:rPr>
              <w:t>9.40%</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3M SOFR+586</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1,777</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1,751</w:t>
            </w:r>
          </w:p>
        </w:tc>
        <w:tc>
          <w:tcPr>
            <w:tcW w:w="30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1,763</w:t>
            </w:r>
          </w:p>
        </w:tc>
      </w:tr>
      <w:tr>
        <w:trPr>
          <w:trHeight w:val="120"/>
        </w:trPr>
        <w:tc>
          <w:tcPr>
            <w:tcW w:w="27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Crane 1 Services, Inc. - Revolver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08/16/2027</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435</w:t>
            </w:r>
          </w:p>
        </w:tc>
        <w:tc>
          <w:tcPr>
            <w:tcW w:w="6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w:t>
            </w:r>
          </w:p>
        </w:tc>
      </w:tr>
      <w:tr>
        <w:trPr>
          <w:trHeight w:val="12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C5MI Acquisition, LLC</w:t>
            </w:r>
          </w:p>
        </w:tc>
        <w:tc>
          <w:tcPr>
            <w:tcW w:w="10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07/31/2030</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6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0"/>
              </w:rPr>
              <w:t>10.60%</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3M SOFR+600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15,000</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14,778</w:t>
            </w:r>
          </w:p>
        </w:tc>
        <w:tc>
          <w:tcPr>
            <w:tcW w:w="30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14,700</w:t>
            </w:r>
          </w:p>
        </w:tc>
      </w:tr>
      <w:tr>
        <w:trPr>
          <w:trHeight w:val="120"/>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C5MI Acquisition, LLC - Funded Revolver</w:t>
            </w:r>
          </w:p>
        </w:tc>
        <w:tc>
          <w:tcPr>
            <w:tcW w:w="10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07/31/2030</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6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0"/>
              </w:rPr>
              <w:t>10.60%</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3M SOFR+600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276</w:t>
            </w:r>
          </w:p>
        </w:tc>
        <w:tc>
          <w:tcPr>
            <w:tcW w:w="6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276</w:t>
            </w:r>
          </w:p>
        </w:tc>
        <w:tc>
          <w:tcPr>
            <w:tcW w:w="3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270</w:t>
            </w:r>
          </w:p>
        </w:tc>
      </w:tr>
      <w:tr>
        <w:trPr>
          <w:trHeight w:val="120"/>
        </w:trPr>
        <w:tc>
          <w:tcPr>
            <w:tcW w:w="27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C5MI Acquisition, LLC - Unfunded Revolver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07/31/2030</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6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3,858</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(77)</w:t>
            </w:r>
          </w:p>
        </w:tc>
      </w:tr>
      <w:tr>
        <w:trPr>
          <w:trHeight w:val="120"/>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Dr. Squatch, LLC</w:t>
            </w:r>
          </w:p>
        </w:tc>
        <w:tc>
          <w:tcPr>
            <w:tcW w:w="10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08/31/2027</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56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2"/>
              </w:rPr>
              <w:t>9.95%</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3M SOFR+535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8,116</w:t>
            </w:r>
          </w:p>
        </w:tc>
        <w:tc>
          <w:tcPr>
            <w:tcW w:w="6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8,058</w:t>
            </w:r>
          </w:p>
        </w:tc>
        <w:tc>
          <w:tcPr>
            <w:tcW w:w="3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8,116</w:t>
            </w:r>
          </w:p>
        </w:tc>
      </w:tr>
      <w:tr>
        <w:trPr>
          <w:trHeight w:val="120"/>
        </w:trPr>
        <w:tc>
          <w:tcPr>
            <w:tcW w:w="27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Dr. Squatch, LLC - Unfunded Revolver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08/31/2027</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6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2,326</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DRS Holdings III, Inc.</w:t>
            </w:r>
          </w:p>
        </w:tc>
        <w:tc>
          <w:tcPr>
            <w:tcW w:w="10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11/03/2025</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56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0"/>
              </w:rPr>
              <w:t>11.20%</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3M SOFR+635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6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w:t>
            </w:r>
          </w:p>
        </w:tc>
        <w:tc>
          <w:tcPr>
            <w:tcW w:w="3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w:t>
            </w:r>
          </w:p>
        </w:tc>
      </w:tr>
      <w:tr>
        <w:trPr>
          <w:trHeight w:val="120"/>
        </w:trPr>
        <w:tc>
          <w:tcPr>
            <w:tcW w:w="27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DRS Holdings III, Inc. - Revolver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11/03/2025</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56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1,783</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(14)</w:t>
            </w:r>
          </w:p>
        </w:tc>
      </w:tr>
      <w:tr>
        <w:trPr>
          <w:trHeight w:val="120"/>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Duggal Acquisition, LLC</w:t>
            </w:r>
          </w:p>
        </w:tc>
        <w:tc>
          <w:tcPr>
            <w:tcW w:w="10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09/30/2030</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Marketing Services</w:t>
            </w:r>
          </w:p>
        </w:tc>
        <w:tc>
          <w:tcPr>
            <w:tcW w:w="56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2"/>
              </w:rPr>
              <w:t>9.60%</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3M SOFR+500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7,000</w:t>
            </w:r>
          </w:p>
        </w:tc>
        <w:tc>
          <w:tcPr>
            <w:tcW w:w="6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6,930</w:t>
            </w:r>
          </w:p>
        </w:tc>
        <w:tc>
          <w:tcPr>
            <w:tcW w:w="3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6,930</w:t>
            </w:r>
          </w:p>
        </w:tc>
      </w:tr>
      <w:tr>
        <w:trPr>
          <w:trHeight w:val="120"/>
        </w:trPr>
        <w:tc>
          <w:tcPr>
            <w:tcW w:w="27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Duggal Acquisition, LLC - Unfunded Term Loan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09/30/2026</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Marketing Services</w:t>
            </w:r>
          </w:p>
        </w:tc>
        <w:tc>
          <w:tcPr>
            <w:tcW w:w="56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2,042</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7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Duggal Acquisition, LLC - Unfunded Revolver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09/30/2030</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Marketing Services</w:t>
            </w: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2,561</w:t>
            </w:r>
          </w:p>
        </w:tc>
        <w:tc>
          <w:tcPr>
            <w:tcW w:w="6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Dynata, LLC - Last-Out Term Loan</w:t>
            </w:r>
          </w:p>
        </w:tc>
        <w:tc>
          <w:tcPr>
            <w:tcW w:w="10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07/15/2028</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6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0"/>
              </w:rPr>
              <w:t>10.88%</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3M SOFR+576</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84</w:t>
            </w:r>
          </w:p>
        </w:tc>
        <w:tc>
          <w:tcPr>
            <w:tcW w:w="30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77</w:t>
            </w:r>
          </w:p>
        </w:tc>
      </w:tr>
      <w:tr>
        <w:trPr>
          <w:trHeight w:val="120"/>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EDS Buyer, LLC</w:t>
            </w:r>
          </w:p>
        </w:tc>
        <w:tc>
          <w:tcPr>
            <w:tcW w:w="10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12/22/2028</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6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0"/>
              </w:rPr>
              <w:t>10.35%</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3M SOFR+575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12,261</w:t>
            </w:r>
          </w:p>
        </w:tc>
        <w:tc>
          <w:tcPr>
            <w:tcW w:w="6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12,106</w:t>
            </w:r>
          </w:p>
        </w:tc>
        <w:tc>
          <w:tcPr>
            <w:tcW w:w="3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12,077</w:t>
            </w:r>
          </w:p>
        </w:tc>
      </w:tr>
      <w:tr>
        <w:trPr>
          <w:trHeight w:val="120"/>
        </w:trPr>
        <w:tc>
          <w:tcPr>
            <w:tcW w:w="27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EDS Buyer, LLC - Revolver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12/22/2028</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6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1,915</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(29)</w:t>
            </w:r>
          </w:p>
        </w:tc>
      </w:tr>
      <w:tr>
        <w:trPr>
          <w:trHeight w:val="120"/>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ENC Parent Corporation</w:t>
            </w:r>
          </w:p>
        </w:tc>
        <w:tc>
          <w:tcPr>
            <w:tcW w:w="10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08/20/2029</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6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2"/>
              </w:rPr>
              <w:t>9.12%</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3M SOFR+451</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3,391</w:t>
            </w:r>
          </w:p>
        </w:tc>
        <w:tc>
          <w:tcPr>
            <w:tcW w:w="6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2,995</w:t>
            </w:r>
          </w:p>
        </w:tc>
        <w:tc>
          <w:tcPr>
            <w:tcW w:w="3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2,865</w:t>
            </w:r>
          </w:p>
        </w:tc>
      </w:tr>
      <w:tr>
        <w:trPr>
          <w:trHeight w:val="12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ETE Intermediate II, LLC - Funded Revolver</w:t>
            </w:r>
          </w:p>
        </w:tc>
        <w:tc>
          <w:tcPr>
            <w:tcW w:w="10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05/25/2029</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56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0"/>
              </w:rPr>
              <w:t>11.10%</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3M SOFR+650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1,215</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1,215</w:t>
            </w:r>
          </w:p>
        </w:tc>
        <w:tc>
          <w:tcPr>
            <w:tcW w:w="30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1,215</w:t>
            </w:r>
          </w:p>
        </w:tc>
      </w:tr>
      <w:tr>
        <w:trPr>
          <w:trHeight w:val="120"/>
        </w:trPr>
        <w:tc>
          <w:tcPr>
            <w:tcW w:w="27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ETE Intermediate II, LLC - Revolver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05/25/2029</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1,215</w:t>
            </w:r>
          </w:p>
        </w:tc>
        <w:tc>
          <w:tcPr>
            <w:tcW w:w="6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7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Eval Home Health Solutions Intermediate, LLC - Revolver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05/10/2030</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56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822</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w:t>
            </w:r>
          </w:p>
        </w:tc>
      </w:tr>
      <w:tr>
        <w:trPr>
          <w:trHeight w:val="120"/>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Exigo Intermediate II, LLC</w:t>
            </w:r>
          </w:p>
        </w:tc>
        <w:tc>
          <w:tcPr>
            <w:tcW w:w="10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03/15/2027</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6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0"/>
              </w:rPr>
              <w:t>11.20%</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3M SOFR+635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24,128</w:t>
            </w:r>
          </w:p>
        </w:tc>
        <w:tc>
          <w:tcPr>
            <w:tcW w:w="6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23,911</w:t>
            </w:r>
          </w:p>
        </w:tc>
        <w:tc>
          <w:tcPr>
            <w:tcW w:w="3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24,007</w:t>
            </w:r>
          </w:p>
        </w:tc>
      </w:tr>
      <w:tr>
        <w:trPr>
          <w:trHeight w:val="120"/>
        </w:trPr>
        <w:tc>
          <w:tcPr>
            <w:tcW w:w="27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Exigo Intermediate II, LLC - Revolver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03/15/2027</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6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1,856</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w:t>
            </w:r>
          </w:p>
        </w:tc>
      </w:tr>
      <w:tr>
        <w:trPr>
          <w:trHeight w:val="120"/>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Five Star Buyer, Inc.</w:t>
            </w:r>
          </w:p>
        </w:tc>
        <w:tc>
          <w:tcPr>
            <w:tcW w:w="10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02/23/2028</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 Pictures, Entertainment</w:t>
            </w:r>
          </w:p>
        </w:tc>
        <w:tc>
          <w:tcPr>
            <w:tcW w:w="56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0"/>
              </w:rPr>
              <w:t>12.21%</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3M SOFR+715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w:t>
            </w:r>
          </w:p>
        </w:tc>
        <w:tc>
          <w:tcPr>
            <w:tcW w:w="6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196</w:t>
            </w:r>
          </w:p>
        </w:tc>
        <w:tc>
          <w:tcPr>
            <w:tcW w:w="3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196</w:t>
            </w:r>
          </w:p>
        </w:tc>
      </w:tr>
      <w:tr>
        <w:trPr>
          <w:trHeight w:val="120"/>
        </w:trPr>
        <w:tc>
          <w:tcPr>
            <w:tcW w:w="27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Five Star Buyer, Inc. - Revolver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02/23/2028</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 Pictures, Entertainment</w:t>
            </w:r>
          </w:p>
        </w:tc>
        <w:tc>
          <w:tcPr>
            <w:tcW w:w="56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741</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Gauge ETE Blocker, LLC - Promissory Note</w:t>
            </w:r>
          </w:p>
        </w:tc>
        <w:tc>
          <w:tcPr>
            <w:tcW w:w="10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05/19/2029</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56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0"/>
              </w:rPr>
              <w:t>12.56%</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6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215</w:t>
            </w:r>
          </w:p>
        </w:tc>
        <w:tc>
          <w:tcPr>
            <w:tcW w:w="3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215</w:t>
            </w:r>
          </w:p>
        </w:tc>
      </w:tr>
      <w:tr>
        <w:trPr>
          <w:trHeight w:val="121"/>
        </w:trPr>
        <w:tc>
          <w:tcPr>
            <w:tcW w:w="2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Home and Office Furnishings, Housewares and Durable Consumer</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GGG MIDCO, LLC</w:t>
            </w:r>
          </w:p>
        </w:tc>
        <w:tc>
          <w:tcPr>
            <w:tcW w:w="10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09/27/2030</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Products</w:t>
            </w:r>
          </w:p>
        </w:tc>
        <w:tc>
          <w:tcPr>
            <w:tcW w:w="56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2"/>
              </w:rPr>
              <w:t>9.64%</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3M SOFR+500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8,525</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8,440</w:t>
            </w:r>
          </w:p>
        </w:tc>
        <w:tc>
          <w:tcPr>
            <w:tcW w:w="30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8,440</w:t>
            </w:r>
          </w:p>
        </w:tc>
      </w:tr>
      <w:tr>
        <w:trPr>
          <w:trHeight w:val="121"/>
        </w:trPr>
        <w:tc>
          <w:tcPr>
            <w:tcW w:w="278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Home and Office Furnishings, Housewares and Durable Consumer</w:t>
            </w: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27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GGG MIDCO, LLC - Unfunded Term Loan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03/27/2026</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1"/>
              </w:rPr>
              <w:t>Products</w:t>
            </w: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13,728</w:t>
            </w:r>
          </w:p>
        </w:tc>
        <w:tc>
          <w:tcPr>
            <w:tcW w:w="6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Home and Office Furnishings, Housewares and Durable Consumer</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7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GGG MIDCO, LLC - Unfunded Revolver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09/27/2030</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Products</w:t>
            </w:r>
          </w:p>
        </w:tc>
        <w:tc>
          <w:tcPr>
            <w:tcW w:w="56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581</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Graffiti Buyer, Inc.</w:t>
            </w:r>
          </w:p>
        </w:tc>
        <w:tc>
          <w:tcPr>
            <w:tcW w:w="10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08/10/2027</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56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0"/>
              </w:rPr>
              <w:t>10.20%</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3M SOFR+560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1,132</w:t>
            </w:r>
          </w:p>
        </w:tc>
        <w:tc>
          <w:tcPr>
            <w:tcW w:w="6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1,123</w:t>
            </w:r>
          </w:p>
        </w:tc>
        <w:tc>
          <w:tcPr>
            <w:tcW w:w="3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1,121</w:t>
            </w:r>
          </w:p>
        </w:tc>
      </w:tr>
      <w:tr>
        <w:trPr>
          <w:trHeight w:val="120"/>
        </w:trPr>
        <w:tc>
          <w:tcPr>
            <w:tcW w:w="27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Graffiti Buyer, Inc. - Unfunded Term Loan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08/10/2027</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56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831</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w:t>
            </w:r>
          </w:p>
        </w:tc>
      </w:tr>
      <w:tr>
        <w:trPr>
          <w:trHeight w:val="120"/>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Graffiti Buyer, Inc. - Funded Revolver</w:t>
            </w:r>
          </w:p>
        </w:tc>
        <w:tc>
          <w:tcPr>
            <w:tcW w:w="10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08/10/2027</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56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0"/>
              </w:rPr>
              <w:t>10.62%</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3M SOFR+560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384</w:t>
            </w:r>
          </w:p>
        </w:tc>
        <w:tc>
          <w:tcPr>
            <w:tcW w:w="6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384</w:t>
            </w:r>
          </w:p>
        </w:tc>
        <w:tc>
          <w:tcPr>
            <w:tcW w:w="3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380</w:t>
            </w:r>
          </w:p>
        </w:tc>
      </w:tr>
      <w:tr>
        <w:trPr>
          <w:trHeight w:val="120"/>
        </w:trPr>
        <w:tc>
          <w:tcPr>
            <w:tcW w:w="27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Graffiti Buyer, Inc. - Revolver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08/10/2027</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56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385</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w:t>
            </w:r>
          </w:p>
        </w:tc>
      </w:tr>
      <w:tr>
        <w:trPr>
          <w:trHeight w:val="120"/>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Halo Buyer, Inc.</w:t>
            </w:r>
          </w:p>
        </w:tc>
        <w:tc>
          <w:tcPr>
            <w:tcW w:w="10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06/30/2025</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56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2"/>
              </w:rPr>
              <w:t>9.45%</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3M SOFR+460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4,712</w:t>
            </w:r>
          </w:p>
        </w:tc>
        <w:tc>
          <w:tcPr>
            <w:tcW w:w="6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4,382</w:t>
            </w:r>
          </w:p>
        </w:tc>
        <w:tc>
          <w:tcPr>
            <w:tcW w:w="3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4,285</w:t>
            </w:r>
          </w:p>
        </w:tc>
      </w:tr>
      <w:tr>
        <w:trPr>
          <w:trHeight w:val="12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10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12/31/2026</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56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0"/>
              </w:rPr>
              <w:t>10.45%</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1M SOFR+560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680</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680</w:t>
            </w:r>
          </w:p>
        </w:tc>
        <w:tc>
          <w:tcPr>
            <w:tcW w:w="30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666</w:t>
            </w:r>
          </w:p>
        </w:tc>
      </w:tr>
      <w:tr>
        <w:trPr>
          <w:trHeight w:val="120"/>
        </w:trPr>
        <w:tc>
          <w:tcPr>
            <w:tcW w:w="27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Hancock Roofing and Construction L.L.C. - Revolver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12/31/2026</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w:t>
            </w:r>
          </w:p>
        </w:tc>
        <w:tc>
          <w:tcPr>
            <w:tcW w:w="6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w:t>
            </w:r>
          </w:p>
        </w:tc>
      </w:tr>
      <w:tr>
        <w:trPr>
          <w:trHeight w:val="12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Harris &amp; Co. LLC</w:t>
            </w:r>
          </w:p>
        </w:tc>
        <w:tc>
          <w:tcPr>
            <w:tcW w:w="10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08/09/2030</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56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2"/>
              </w:rPr>
              <w:t>9.85%</w:t>
            </w: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3M SOFR+500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5,593</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5,545</w:t>
            </w:r>
          </w:p>
        </w:tc>
        <w:tc>
          <w:tcPr>
            <w:tcW w:w="30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5,495</w:t>
            </w:r>
          </w:p>
        </w:tc>
      </w:tr>
      <w:tr>
        <w:trPr>
          <w:trHeight w:val="120"/>
        </w:trPr>
        <w:tc>
          <w:tcPr>
            <w:tcW w:w="27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Harris &amp; Co. LLC - Unfunded Term Loan A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02/09/2025</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13,051</w:t>
            </w:r>
          </w:p>
        </w:tc>
        <w:tc>
          <w:tcPr>
            <w:tcW w:w="6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(114)</w:t>
            </w:r>
          </w:p>
        </w:tc>
      </w:tr>
      <w:tr>
        <w:trPr>
          <w:trHeight w:val="120"/>
        </w:trPr>
        <w:tc>
          <w:tcPr>
            <w:tcW w:w="27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Harris &amp; Co. LLC - Unfunded Term Loan B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02/09/2026</w:t>
            </w:r>
          </w:p>
        </w:tc>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56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16,654</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(146)</w:t>
            </w:r>
          </w:p>
        </w:tc>
      </w:tr>
      <w:tr>
        <w:trPr>
          <w:trHeight w:val="120"/>
        </w:trPr>
        <w:tc>
          <w:tcPr>
            <w:tcW w:w="27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Harris &amp; Co. LLC - Unfunded Revolver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08/09/2030</w:t>
            </w:r>
          </w:p>
        </w:tc>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2,451</w:t>
            </w:r>
          </w:p>
        </w:tc>
        <w:tc>
          <w:tcPr>
            <w:tcW w:w="6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(43)</w:t>
            </w: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920" w:type="dxa"/>
            <w:vAlign w:val="bottom"/>
          </w:tcPr>
          <w:p>
            <w:pPr>
              <w:jc w:val="center"/>
              <w:ind w:left="9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68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26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20" w:type="dxa"/>
            <w:vAlign w:val="bottom"/>
          </w:tcPr>
          <w:p>
            <w:pPr>
              <w:jc w:val="center"/>
              <w:ind w:left="11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2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800" w:type="dxa"/>
            <w:vAlign w:val="bottom"/>
          </w:tcPr>
          <w:p>
            <w:pPr>
              <w:jc w:val="right"/>
              <w:ind w:right="9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(3)</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Hills Distribution, Inc. - Unfunded Term Loan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11/07/2025</w:t>
            </w:r>
          </w:p>
        </w:tc>
        <w:tc>
          <w:tcPr>
            <w:tcW w:w="2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9,144</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HV Watterson Holdings, LLC</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12/17/2026</w:t>
            </w:r>
          </w:p>
        </w:tc>
        <w:tc>
          <w:tcPr>
            <w:tcW w:w="2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11.73%</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1M SOFR+640</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279</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278</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256</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92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(PIK 4.00%)</w:t>
            </w: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HV Watterson Holdings, LLC - Revolver</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12/17/2026</w:t>
            </w:r>
          </w:p>
        </w:tc>
        <w:tc>
          <w:tcPr>
            <w:tcW w:w="2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11.73%</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1M SOFR+640</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1,213</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1,213</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1,112</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2640" w:type="dxa"/>
            <w:vAlign w:val="bottom"/>
            <w:shd w:val="clear" w:color="auto" w:fill="CCECFF"/>
          </w:tcPr>
          <w:p>
            <w:pPr>
              <w:spacing w:after="0"/>
              <w:rPr>
                <w:sz w:val="10"/>
                <w:szCs w:val="10"/>
                <w:color w:val="auto"/>
              </w:rPr>
            </w:pPr>
          </w:p>
        </w:tc>
        <w:tc>
          <w:tcPr>
            <w:tcW w:w="92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(PIK 4.00%)</w:t>
            </w:r>
          </w:p>
        </w:tc>
        <w:tc>
          <w:tcPr>
            <w:tcW w:w="8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HV Watterson Holdings, LLC - Unfunded Revolver </w:t>
            </w:r>
            <w:r>
              <w:rPr>
                <w:rFonts w:ascii="Times New Roman" w:cs="Times New Roman" w:eastAsia="Times New Roman" w:hAnsi="Times New Roman"/>
                <w:sz w:val="12"/>
                <w:szCs w:val="12"/>
                <w:color w:val="auto"/>
                <w:vertAlign w:val="superscript"/>
              </w:rPr>
              <w:t>(8)</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12/17/2026</w:t>
            </w:r>
          </w:p>
        </w:tc>
        <w:tc>
          <w:tcPr>
            <w:tcW w:w="2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37</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HW Holdco, LLC</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05/10/2026</w:t>
            </w:r>
          </w:p>
        </w:tc>
        <w:tc>
          <w:tcPr>
            <w:tcW w:w="2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2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11.20%</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3M SOFR+590</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11,124</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11,112</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11,124</w:t>
            </w:r>
          </w:p>
        </w:tc>
        <w:tc>
          <w:tcPr>
            <w:tcW w:w="0" w:type="dxa"/>
            <w:vAlign w:val="bottom"/>
          </w:tcPr>
          <w:p>
            <w:pPr>
              <w:spacing w:after="0"/>
              <w:rPr>
                <w:sz w:val="1"/>
                <w:szCs w:val="1"/>
                <w:color w:val="auto"/>
              </w:rPr>
            </w:pP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HW Holdco, LLC - Revolver </w:t>
            </w:r>
            <w:r>
              <w:rPr>
                <w:rFonts w:ascii="Times New Roman" w:cs="Times New Roman" w:eastAsia="Times New Roman" w:hAnsi="Times New Roman"/>
                <w:sz w:val="12"/>
                <w:szCs w:val="12"/>
                <w:color w:val="auto"/>
                <w:vertAlign w:val="superscript"/>
              </w:rPr>
              <w:t>(8)</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05/10/2026</w:t>
            </w:r>
          </w:p>
        </w:tc>
        <w:tc>
          <w:tcPr>
            <w:tcW w:w="26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20" w:type="dxa"/>
            <w:vAlign w:val="bottom"/>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3,387</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IG Investment Holdings LLC</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09/22/2028</w:t>
            </w:r>
          </w:p>
        </w:tc>
        <w:tc>
          <w:tcPr>
            <w:tcW w:w="2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11.25%</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3M SOFR+610</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105</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104</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104</w:t>
            </w:r>
          </w:p>
        </w:tc>
        <w:tc>
          <w:tcPr>
            <w:tcW w:w="0" w:type="dxa"/>
            <w:vAlign w:val="bottom"/>
          </w:tcPr>
          <w:p>
            <w:pPr>
              <w:spacing w:after="0"/>
              <w:rPr>
                <w:sz w:val="1"/>
                <w:szCs w:val="1"/>
                <w:color w:val="auto"/>
              </w:rPr>
            </w:pP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IG Investments Holdings, LLC - Revolver </w:t>
            </w:r>
            <w:r>
              <w:rPr>
                <w:rFonts w:ascii="Times New Roman" w:cs="Times New Roman" w:eastAsia="Times New Roman" w:hAnsi="Times New Roman"/>
                <w:sz w:val="12"/>
                <w:szCs w:val="12"/>
                <w:color w:val="auto"/>
                <w:vertAlign w:val="superscript"/>
              </w:rPr>
              <w:t>(8)</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09/22/2027</w:t>
            </w:r>
          </w:p>
        </w:tc>
        <w:tc>
          <w:tcPr>
            <w:tcW w:w="2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722</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Imagine Acquisitionco, LLC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11/15/2027</w:t>
            </w:r>
          </w:p>
        </w:tc>
        <w:tc>
          <w:tcPr>
            <w:tcW w:w="2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1,685</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(8)</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12/28/2028</w:t>
            </w:r>
          </w:p>
        </w:tc>
        <w:tc>
          <w:tcPr>
            <w:tcW w:w="2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2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11.39%</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3M SOFR+685</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2,458</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2,429</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2,458</w:t>
            </w:r>
          </w:p>
        </w:tc>
        <w:tc>
          <w:tcPr>
            <w:tcW w:w="0" w:type="dxa"/>
            <w:vAlign w:val="bottom"/>
          </w:tcPr>
          <w:p>
            <w:pPr>
              <w:spacing w:after="0"/>
              <w:rPr>
                <w:sz w:val="1"/>
                <w:szCs w:val="1"/>
                <w:color w:val="auto"/>
              </w:rPr>
            </w:pPr>
          </w:p>
        </w:tc>
      </w:tr>
      <w:tr>
        <w:trPr>
          <w:trHeight w:val="121"/>
        </w:trPr>
        <w:tc>
          <w:tcPr>
            <w:tcW w:w="302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26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CAD</w:t>
            </w:r>
          </w:p>
        </w:tc>
        <w:tc>
          <w:tcPr>
            <w:tcW w:w="6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Infinity Home Services Holdco, Inc. (CAD)</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12/28/2028</w:t>
            </w:r>
          </w:p>
        </w:tc>
        <w:tc>
          <w:tcPr>
            <w:tcW w:w="2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2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10.35%</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3M SOFR+600</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2,562</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1,846</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1,897</w:t>
            </w:r>
          </w:p>
        </w:tc>
        <w:tc>
          <w:tcPr>
            <w:tcW w:w="0" w:type="dxa"/>
            <w:vAlign w:val="bottom"/>
          </w:tcPr>
          <w:p>
            <w:pPr>
              <w:spacing w:after="0"/>
              <w:rPr>
                <w:sz w:val="1"/>
                <w:szCs w:val="1"/>
                <w:color w:val="auto"/>
              </w:rPr>
            </w:pPr>
          </w:p>
        </w:tc>
      </w:tr>
      <w:tr>
        <w:trPr>
          <w:trHeight w:val="96"/>
        </w:trPr>
        <w:tc>
          <w:tcPr>
            <w:tcW w:w="3020" w:type="dxa"/>
            <w:vAlign w:val="bottom"/>
          </w:tcPr>
          <w:p>
            <w:pPr>
              <w:spacing w:after="0" w:line="96" w:lineRule="exact"/>
              <w:rPr>
                <w:sz w:val="20"/>
                <w:szCs w:val="20"/>
                <w:color w:val="auto"/>
              </w:rPr>
            </w:pPr>
            <w:r>
              <w:rPr>
                <w:rFonts w:ascii="Times New Roman" w:cs="Times New Roman" w:eastAsia="Times New Roman" w:hAnsi="Times New Roman"/>
                <w:sz w:val="10"/>
                <w:szCs w:val="10"/>
                <w:color w:val="auto"/>
                <w:w w:val="97"/>
              </w:rPr>
              <w:t>Infinity Home Services Holdco, Inc. - 1st Amendment Unfunded Term Loan</w:t>
            </w:r>
          </w:p>
        </w:tc>
        <w:tc>
          <w:tcPr>
            <w:tcW w:w="102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color w:val="auto"/>
                <w:w w:val="96"/>
              </w:rPr>
              <w:t>11/17/2025</w:t>
            </w:r>
          </w:p>
        </w:tc>
        <w:tc>
          <w:tcPr>
            <w:tcW w:w="2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20" w:type="dxa"/>
            <w:vAlign w:val="bottom"/>
            <w:vMerge w:val="restart"/>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6,573</w:t>
            </w:r>
          </w:p>
        </w:tc>
        <w:tc>
          <w:tcPr>
            <w:tcW w:w="62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82</w:t>
            </w:r>
          </w:p>
        </w:tc>
        <w:tc>
          <w:tcPr>
            <w:tcW w:w="0" w:type="dxa"/>
            <w:vAlign w:val="bottom"/>
          </w:tcPr>
          <w:p>
            <w:pPr>
              <w:spacing w:after="0"/>
              <w:rPr>
                <w:sz w:val="1"/>
                <w:szCs w:val="1"/>
                <w:color w:val="auto"/>
              </w:rPr>
            </w:pPr>
          </w:p>
        </w:tc>
      </w:tr>
      <w:tr>
        <w:trPr>
          <w:trHeight w:val="77"/>
        </w:trPr>
        <w:tc>
          <w:tcPr>
            <w:tcW w:w="3020" w:type="dxa"/>
            <w:vAlign w:val="bottom"/>
          </w:tcPr>
          <w:p>
            <w:pPr>
              <w:spacing w:after="0"/>
              <w:rPr>
                <w:sz w:val="20"/>
                <w:szCs w:val="20"/>
                <w:color w:val="auto"/>
              </w:rPr>
            </w:pPr>
            <w:r>
              <w:rPr>
                <w:rFonts w:ascii="Times New Roman" w:cs="Times New Roman" w:eastAsia="Times New Roman" w:hAnsi="Times New Roman"/>
                <w:sz w:val="6"/>
                <w:szCs w:val="6"/>
                <w:color w:val="auto"/>
              </w:rPr>
              <w:t>(8)</w:t>
            </w:r>
          </w:p>
        </w:tc>
        <w:tc>
          <w:tcPr>
            <w:tcW w:w="1020" w:type="dxa"/>
            <w:vAlign w:val="bottom"/>
            <w:vMerge w:val="continue"/>
          </w:tcPr>
          <w:p>
            <w:pPr>
              <w:spacing w:after="0"/>
              <w:rPr>
                <w:sz w:val="6"/>
                <w:szCs w:val="6"/>
                <w:color w:val="auto"/>
              </w:rPr>
            </w:pPr>
          </w:p>
        </w:tc>
        <w:tc>
          <w:tcPr>
            <w:tcW w:w="26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30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264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Infinity Home Services Holdco, Inc. - Funded Revolver</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12/28/2028</w:t>
            </w:r>
          </w:p>
        </w:tc>
        <w:tc>
          <w:tcPr>
            <w:tcW w:w="2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2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13.75%</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3M SOFR+575</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194</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194</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194</w:t>
            </w:r>
          </w:p>
        </w:tc>
        <w:tc>
          <w:tcPr>
            <w:tcW w:w="0" w:type="dxa"/>
            <w:vAlign w:val="bottom"/>
          </w:tcPr>
          <w:p>
            <w:pPr>
              <w:spacing w:after="0"/>
              <w:rPr>
                <w:sz w:val="1"/>
                <w:szCs w:val="1"/>
                <w:color w:val="auto"/>
              </w:rPr>
            </w:pP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Infinity Home Services Holdco, Inc. - Revolver </w:t>
            </w:r>
            <w:r>
              <w:rPr>
                <w:rFonts w:ascii="Times New Roman" w:cs="Times New Roman" w:eastAsia="Times New Roman" w:hAnsi="Times New Roman"/>
                <w:sz w:val="12"/>
                <w:szCs w:val="12"/>
                <w:color w:val="auto"/>
                <w:vertAlign w:val="superscript"/>
              </w:rPr>
              <w:t>(8)</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12/28/2028</w:t>
            </w:r>
          </w:p>
        </w:tc>
        <w:tc>
          <w:tcPr>
            <w:tcW w:w="2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20" w:type="dxa"/>
            <w:vAlign w:val="bottom"/>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1,098</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Infolinks Media Buyco, LLC</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11/01/2026</w:t>
            </w:r>
          </w:p>
        </w:tc>
        <w:tc>
          <w:tcPr>
            <w:tcW w:w="2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2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10.10%</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3M SOFR+550</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1,281</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1,270</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1,272</w:t>
            </w:r>
          </w:p>
        </w:tc>
        <w:tc>
          <w:tcPr>
            <w:tcW w:w="0" w:type="dxa"/>
            <w:vAlign w:val="bottom"/>
          </w:tcPr>
          <w:p>
            <w:pPr>
              <w:spacing w:after="0"/>
              <w:rPr>
                <w:sz w:val="1"/>
                <w:szCs w:val="1"/>
                <w:color w:val="auto"/>
              </w:rPr>
            </w:pP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Inventus Power, Inc. - Revolver </w:t>
            </w:r>
            <w:r>
              <w:rPr>
                <w:rFonts w:ascii="Times New Roman" w:cs="Times New Roman" w:eastAsia="Times New Roman" w:hAnsi="Times New Roman"/>
                <w:sz w:val="12"/>
                <w:szCs w:val="12"/>
                <w:color w:val="auto"/>
                <w:vertAlign w:val="superscript"/>
              </w:rPr>
              <w:t>(8)</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06/30/2025</w:t>
            </w:r>
          </w:p>
        </w:tc>
        <w:tc>
          <w:tcPr>
            <w:tcW w:w="2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20" w:type="dxa"/>
            <w:vAlign w:val="bottom"/>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1,729</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(26)</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ITI Holdings, Inc.</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03/03/2028</w:t>
            </w:r>
          </w:p>
        </w:tc>
        <w:tc>
          <w:tcPr>
            <w:tcW w:w="2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10.58%</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3M SOFR+565</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8,748</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8,647</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8,748</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ITI Holdings, Inc. - Revolver</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03/03/2028</w:t>
            </w:r>
          </w:p>
        </w:tc>
        <w:tc>
          <w:tcPr>
            <w:tcW w:w="2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12.50%</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3M SOFR+450</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1,121</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1,121</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1,121</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ITI Holdings, Inc. - Unfunded Revolver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03/03/2028</w:t>
            </w:r>
          </w:p>
        </w:tc>
        <w:tc>
          <w:tcPr>
            <w:tcW w:w="2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370</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Kinetic Purchaser, LLC</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11/10/2027</w:t>
            </w:r>
          </w:p>
        </w:tc>
        <w:tc>
          <w:tcPr>
            <w:tcW w:w="2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10.75%</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3M SOFR+615</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3,099</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3,023</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3,099</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Kinetic Purchaser, LLC - Revolver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11/10/2026</w:t>
            </w:r>
          </w:p>
        </w:tc>
        <w:tc>
          <w:tcPr>
            <w:tcW w:w="2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4,854</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Lash OpCo, LLC</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02/18/2027</w:t>
            </w:r>
          </w:p>
        </w:tc>
        <w:tc>
          <w:tcPr>
            <w:tcW w:w="2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12.94%</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1M SOFR+785</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2,902</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2,871</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2,873</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92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(PIK 5.10%)</w:t>
            </w: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Lash OpCo, LLC - Revolver</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08/16/2026</w:t>
            </w:r>
          </w:p>
        </w:tc>
        <w:tc>
          <w:tcPr>
            <w:tcW w:w="2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13.18%</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1M SOFR+785</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2,685</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2,685</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2,658</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2640" w:type="dxa"/>
            <w:vAlign w:val="bottom"/>
            <w:shd w:val="clear" w:color="auto" w:fill="CCECFF"/>
          </w:tcPr>
          <w:p>
            <w:pPr>
              <w:spacing w:after="0"/>
              <w:rPr>
                <w:sz w:val="10"/>
                <w:szCs w:val="10"/>
                <w:color w:val="auto"/>
              </w:rPr>
            </w:pPr>
          </w:p>
        </w:tc>
        <w:tc>
          <w:tcPr>
            <w:tcW w:w="92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(PIK 5.10%)</w:t>
            </w:r>
          </w:p>
        </w:tc>
        <w:tc>
          <w:tcPr>
            <w:tcW w:w="8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Lash OpCo, LLC - Unfunded Revolver </w:t>
            </w:r>
            <w:r>
              <w:rPr>
                <w:rFonts w:ascii="Times New Roman" w:cs="Times New Roman" w:eastAsia="Times New Roman" w:hAnsi="Times New Roman"/>
                <w:sz w:val="12"/>
                <w:szCs w:val="12"/>
                <w:color w:val="auto"/>
                <w:vertAlign w:val="superscript"/>
              </w:rPr>
              <w:t>(8)</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08/16/2026</w:t>
            </w:r>
          </w:p>
        </w:tc>
        <w:tc>
          <w:tcPr>
            <w:tcW w:w="2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317</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LAV Gear Holdings, Inc.</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10/31/2025</w:t>
            </w:r>
          </w:p>
        </w:tc>
        <w:tc>
          <w:tcPr>
            <w:tcW w:w="2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 Entertainment</w:t>
            </w:r>
          </w:p>
        </w:tc>
        <w:tc>
          <w:tcPr>
            <w:tcW w:w="92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11.50%</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1M SOFR+643</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2,032</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2,032</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1,996</w:t>
            </w:r>
          </w:p>
        </w:tc>
        <w:tc>
          <w:tcPr>
            <w:tcW w:w="0" w:type="dxa"/>
            <w:vAlign w:val="bottom"/>
          </w:tcPr>
          <w:p>
            <w:pPr>
              <w:spacing w:after="0"/>
              <w:rPr>
                <w:sz w:val="1"/>
                <w:szCs w:val="1"/>
                <w:color w:val="auto"/>
              </w:rPr>
            </w:pPr>
          </w:p>
        </w:tc>
      </w:tr>
      <w:tr>
        <w:trPr>
          <w:trHeight w:val="121"/>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Ledge Lounger, Inc.</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11/09/2026</w:t>
            </w:r>
          </w:p>
        </w:tc>
        <w:tc>
          <w:tcPr>
            <w:tcW w:w="2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12.24%</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3M SOFR+765</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8,999</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8,911</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8,549</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92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(PIK 1.00%)</w:t>
            </w: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Ledge Lounger, Inc. - Revolver</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11/09/2026</w:t>
            </w:r>
          </w:p>
        </w:tc>
        <w:tc>
          <w:tcPr>
            <w:tcW w:w="2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12.25%</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3M SOFR+765</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644</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644</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612</w:t>
            </w:r>
          </w:p>
        </w:tc>
        <w:tc>
          <w:tcPr>
            <w:tcW w:w="0" w:type="dxa"/>
            <w:vAlign w:val="bottom"/>
          </w:tcPr>
          <w:p>
            <w:pPr>
              <w:spacing w:after="0"/>
              <w:rPr>
                <w:sz w:val="1"/>
                <w:szCs w:val="1"/>
                <w:color w:val="auto"/>
              </w:rPr>
            </w:pP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Ledge Lounger, Inc. - Unfunded Revolver </w:t>
            </w:r>
            <w:r>
              <w:rPr>
                <w:rFonts w:ascii="Times New Roman" w:cs="Times New Roman" w:eastAsia="Times New Roman" w:hAnsi="Times New Roman"/>
                <w:sz w:val="12"/>
                <w:szCs w:val="12"/>
                <w:color w:val="auto"/>
                <w:vertAlign w:val="superscript"/>
              </w:rPr>
              <w:t>(8)</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11/09/2026</w:t>
            </w:r>
          </w:p>
        </w:tc>
        <w:tc>
          <w:tcPr>
            <w:tcW w:w="2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966</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(48)</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Lightspeed Buyer Inc. - Revolver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02/03/2026</w:t>
            </w:r>
          </w:p>
        </w:tc>
        <w:tc>
          <w:tcPr>
            <w:tcW w:w="2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1,166</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LJ Avalon Holdings, LLC</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01/31/2030</w:t>
            </w:r>
          </w:p>
        </w:tc>
        <w:tc>
          <w:tcPr>
            <w:tcW w:w="2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2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10.10%</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1M SOFR+525</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1,459</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1,438</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1,459</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LJ Avalon Holdings, LLC - Unfunded Term Loan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10/01/2024</w:t>
            </w:r>
          </w:p>
        </w:tc>
        <w:tc>
          <w:tcPr>
            <w:tcW w:w="2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2,419</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w:t>
            </w:r>
          </w:p>
        </w:tc>
        <w:tc>
          <w:tcPr>
            <w:tcW w:w="0" w:type="dxa"/>
            <w:vAlign w:val="bottom"/>
          </w:tcPr>
          <w:p>
            <w:pPr>
              <w:spacing w:after="0"/>
              <w:rPr>
                <w:sz w:val="1"/>
                <w:szCs w:val="1"/>
                <w:color w:val="auto"/>
              </w:rPr>
            </w:pP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LJ Avalon Holdings, LLC - Revolver </w:t>
            </w:r>
            <w:r>
              <w:rPr>
                <w:rFonts w:ascii="Times New Roman" w:cs="Times New Roman" w:eastAsia="Times New Roman" w:hAnsi="Times New Roman"/>
                <w:sz w:val="12"/>
                <w:szCs w:val="12"/>
                <w:color w:val="auto"/>
                <w:vertAlign w:val="superscript"/>
              </w:rPr>
              <w:t>(8)</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01/31/2030</w:t>
            </w:r>
          </w:p>
        </w:tc>
        <w:tc>
          <w:tcPr>
            <w:tcW w:w="2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20" w:type="dxa"/>
            <w:vAlign w:val="bottom"/>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587</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05/31/2028</w:t>
            </w:r>
          </w:p>
        </w:tc>
        <w:tc>
          <w:tcPr>
            <w:tcW w:w="2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11.10%</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3M SOFR+650</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9,784</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9,633</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9,637</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Loving Tan Intermediate II, Inc. - Revolver</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05/31/2028</w:t>
            </w:r>
          </w:p>
        </w:tc>
        <w:tc>
          <w:tcPr>
            <w:tcW w:w="2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11.60%</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3M SOFR+700</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332</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332</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327</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Loving Tan Intermediate II, Inc. - Unfunded Revolver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05/31/2028</w:t>
            </w:r>
          </w:p>
        </w:tc>
        <w:tc>
          <w:tcPr>
            <w:tcW w:w="2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664</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0" w:type="dxa"/>
            <w:vAlign w:val="bottom"/>
          </w:tcPr>
          <w:p>
            <w:pPr>
              <w:spacing w:after="0"/>
              <w:rPr>
                <w:sz w:val="1"/>
                <w:szCs w:val="1"/>
                <w:color w:val="auto"/>
              </w:rPr>
            </w:pP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Loving Tan Intermediate II, Inc. - Unfunded Term Loan </w:t>
            </w:r>
            <w:r>
              <w:rPr>
                <w:rFonts w:ascii="Times New Roman" w:cs="Times New Roman" w:eastAsia="Times New Roman" w:hAnsi="Times New Roman"/>
                <w:sz w:val="12"/>
                <w:szCs w:val="12"/>
                <w:color w:val="auto"/>
                <w:vertAlign w:val="superscript"/>
              </w:rPr>
              <w:t>(8)</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07/12/2025</w:t>
            </w:r>
          </w:p>
        </w:tc>
        <w:tc>
          <w:tcPr>
            <w:tcW w:w="2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4,376</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(22)</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MBS Holdings, Inc. - Funded Revolver</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04/16/2027</w:t>
            </w:r>
          </w:p>
        </w:tc>
        <w:tc>
          <w:tcPr>
            <w:tcW w:w="2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2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10.95%</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3M SOFR+585</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83</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83</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83</w:t>
            </w:r>
          </w:p>
        </w:tc>
        <w:tc>
          <w:tcPr>
            <w:tcW w:w="0" w:type="dxa"/>
            <w:vAlign w:val="bottom"/>
          </w:tcPr>
          <w:p>
            <w:pPr>
              <w:spacing w:after="0"/>
              <w:rPr>
                <w:sz w:val="1"/>
                <w:szCs w:val="1"/>
                <w:color w:val="auto"/>
              </w:rPr>
            </w:pP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MBS Holdings, Inc. - Revolver </w:t>
            </w:r>
            <w:r>
              <w:rPr>
                <w:rFonts w:ascii="Times New Roman" w:cs="Times New Roman" w:eastAsia="Times New Roman" w:hAnsi="Times New Roman"/>
                <w:sz w:val="12"/>
                <w:szCs w:val="12"/>
                <w:color w:val="auto"/>
                <w:vertAlign w:val="superscript"/>
              </w:rPr>
              <w:t>(8)</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04/16/2027</w:t>
            </w:r>
          </w:p>
        </w:tc>
        <w:tc>
          <w:tcPr>
            <w:tcW w:w="2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20" w:type="dxa"/>
            <w:vAlign w:val="bottom"/>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611</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MDI Buyer, Inc.</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07/25/2028</w:t>
            </w:r>
          </w:p>
        </w:tc>
        <w:tc>
          <w:tcPr>
            <w:tcW w:w="2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2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10.71%</w:t>
            </w:r>
          </w:p>
        </w:tc>
        <w:tc>
          <w:tcPr>
            <w:tcW w:w="86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3M SOFR+575</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19,931</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19,679</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19,736</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MDI Buyer, Inc. - Revolver</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07/25/2028</w:t>
            </w:r>
          </w:p>
        </w:tc>
        <w:tc>
          <w:tcPr>
            <w:tcW w:w="2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2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11.19%</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3M SOFR+575</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1,529</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1,529</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1,514</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MDI Buyer, Inc. - Unfunded Revolver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07/25/2028</w:t>
            </w:r>
          </w:p>
        </w:tc>
        <w:tc>
          <w:tcPr>
            <w:tcW w:w="2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698</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Meadowlark Acquirer, LLC</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12/10/2027</w:t>
            </w:r>
          </w:p>
        </w:tc>
        <w:tc>
          <w:tcPr>
            <w:tcW w:w="2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10.50%</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3M SOFR+590</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1,923</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1,908</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1,874</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Meadowlark Acquirer, LLC- Unfunded Revolver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12/10/2027</w:t>
            </w:r>
          </w:p>
        </w:tc>
        <w:tc>
          <w:tcPr>
            <w:tcW w:w="2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1,685</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(42)</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180" w:type="dxa"/>
            <w:vAlign w:val="bottom"/>
          </w:tcPr>
          <w:p>
            <w:pPr>
              <w:jc w:val="center"/>
              <w:ind w:right="152"/>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100" w:type="dxa"/>
            <w:vAlign w:val="bottom"/>
          </w:tcPr>
          <w:p>
            <w:pPr>
              <w:jc w:val="center"/>
              <w:ind w:left="29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00" w:type="dxa"/>
            <w:vAlign w:val="bottom"/>
          </w:tcPr>
          <w:p>
            <w:pPr>
              <w:spacing w:after="0"/>
              <w:rPr>
                <w:sz w:val="10"/>
                <w:szCs w:val="10"/>
                <w:color w:val="auto"/>
              </w:rPr>
            </w:pPr>
          </w:p>
        </w:tc>
        <w:tc>
          <w:tcPr>
            <w:tcW w:w="46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800" w:type="dxa"/>
            <w:vAlign w:val="bottom"/>
            <w:gridSpan w:val="2"/>
          </w:tcPr>
          <w:p>
            <w:pPr>
              <w:jc w:val="right"/>
              <w:ind w:right="7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(3)</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Medina Health, LLC</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10/20/2028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7"/>
              </w:rPr>
              <w:t>10.85%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SOFR+625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4,887</w:t>
            </w:r>
          </w:p>
        </w:tc>
        <w:tc>
          <w:tcPr>
            <w:tcW w:w="2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4,813</w:t>
            </w:r>
          </w:p>
        </w:tc>
        <w:tc>
          <w:tcPr>
            <w:tcW w:w="3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4,887</w:t>
            </w:r>
          </w:p>
        </w:tc>
        <w:tc>
          <w:tcPr>
            <w:tcW w:w="0" w:type="dxa"/>
            <w:vAlign w:val="bottom"/>
          </w:tcPr>
          <w:p>
            <w:pPr>
              <w:spacing w:after="0"/>
              <w:rPr>
                <w:sz w:val="1"/>
                <w:szCs w:val="1"/>
                <w:color w:val="auto"/>
              </w:rPr>
            </w:pP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Medina Health, LLC - Revolver </w:t>
            </w:r>
            <w:r>
              <w:rPr>
                <w:rFonts w:ascii="Times New Roman" w:cs="Times New Roman" w:eastAsia="Times New Roman" w:hAnsi="Times New Roman"/>
                <w:sz w:val="12"/>
                <w:szCs w:val="12"/>
                <w:color w:val="auto"/>
                <w:vertAlign w:val="superscript"/>
              </w:rPr>
              <w:t>(8)</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10/20/2028</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0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2,774</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Megawatt Acquisitionco, Inc. - Funded Revolver</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03/01/2030</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7"/>
              </w:rPr>
              <w:t>10.11%</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SOFR+525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204</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204</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193</w:t>
            </w:r>
          </w:p>
        </w:tc>
        <w:tc>
          <w:tcPr>
            <w:tcW w:w="0" w:type="dxa"/>
            <w:vAlign w:val="bottom"/>
          </w:tcPr>
          <w:p>
            <w:pPr>
              <w:spacing w:after="0"/>
              <w:rPr>
                <w:sz w:val="1"/>
                <w:szCs w:val="1"/>
                <w:color w:val="auto"/>
              </w:rPr>
            </w:pP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Megawatt Acquisitionco, Inc. - Unfunded Revolver </w:t>
            </w:r>
            <w:r>
              <w:rPr>
                <w:rFonts w:ascii="Times New Roman" w:cs="Times New Roman" w:eastAsia="Times New Roman" w:hAnsi="Times New Roman"/>
                <w:sz w:val="12"/>
                <w:szCs w:val="12"/>
                <w:color w:val="auto"/>
                <w:vertAlign w:val="superscript"/>
              </w:rPr>
              <w:t>(8)</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03/01/2030</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10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1,653</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(93)</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Mineola 212, LLC</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06/24/2025</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Buildings and Real Estate</w:t>
            </w: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7"/>
              </w:rPr>
              <w:t>13.00%</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3,500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3,489</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3,479</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MOREGroup Holdings, Inc.</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01/16/2030</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10.35%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SOFR+575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7,450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7,348</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7,338</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MOREGroup Holdings, Inc. - Unfunded Term Loan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01/16/2026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6,124</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(31)</w:t>
            </w:r>
          </w:p>
        </w:tc>
        <w:tc>
          <w:tcPr>
            <w:tcW w:w="0" w:type="dxa"/>
            <w:vAlign w:val="bottom"/>
          </w:tcPr>
          <w:p>
            <w:pPr>
              <w:spacing w:after="0"/>
              <w:rPr>
                <w:sz w:val="1"/>
                <w:szCs w:val="1"/>
                <w:color w:val="auto"/>
              </w:rPr>
            </w:pP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MOREGroup Holdings, Inc. - Unfunded Revolver </w:t>
            </w:r>
            <w:r>
              <w:rPr>
                <w:rFonts w:ascii="Times New Roman" w:cs="Times New Roman" w:eastAsia="Times New Roman" w:hAnsi="Times New Roman"/>
                <w:sz w:val="12"/>
                <w:szCs w:val="12"/>
                <w:color w:val="auto"/>
                <w:vertAlign w:val="superscript"/>
              </w:rPr>
              <w:t>(8)</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01/16/2030</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0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3,675</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(55)</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09/28/2027</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rPr>
              <w:t>9.77%</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SOFR+515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2,792</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2,792</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2,792</w:t>
            </w:r>
          </w:p>
        </w:tc>
        <w:tc>
          <w:tcPr>
            <w:tcW w:w="0" w:type="dxa"/>
            <w:vAlign w:val="bottom"/>
          </w:tcPr>
          <w:p>
            <w:pPr>
              <w:spacing w:after="0"/>
              <w:rPr>
                <w:sz w:val="1"/>
                <w:szCs w:val="1"/>
                <w:color w:val="auto"/>
              </w:rPr>
            </w:pP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 Unfunded Term Loan B </w:t>
            </w:r>
            <w:r>
              <w:rPr>
                <w:rFonts w:ascii="Times New Roman" w:cs="Times New Roman" w:eastAsia="Times New Roman" w:hAnsi="Times New Roman"/>
                <w:sz w:val="12"/>
                <w:szCs w:val="12"/>
                <w:color w:val="auto"/>
                <w:vertAlign w:val="superscript"/>
              </w:rPr>
              <w:t>(8)</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12/16/2024</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10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966</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6"/>
        </w:trPr>
        <w:tc>
          <w:tcPr>
            <w:tcW w:w="3020" w:type="dxa"/>
            <w:vAlign w:val="bottom"/>
            <w:shd w:val="clear" w:color="auto" w:fill="CCECFF"/>
          </w:tcPr>
          <w:p>
            <w:pPr>
              <w:spacing w:after="0" w:line="96" w:lineRule="exact"/>
              <w:rPr>
                <w:sz w:val="20"/>
                <w:szCs w:val="20"/>
                <w:color w:val="auto"/>
              </w:rPr>
            </w:pPr>
            <w:r>
              <w:rPr>
                <w:rFonts w:ascii="Times New Roman" w:cs="Times New Roman" w:eastAsia="Times New Roman" w:hAnsi="Times New Roman"/>
                <w:sz w:val="10"/>
                <w:szCs w:val="10"/>
                <w:color w:val="auto"/>
                <w:w w:val="97"/>
              </w:rPr>
              <w:t>Municipal Emergency Services, Inc. - Unfunded Term Loan 3rd Amendment</w:t>
            </w:r>
          </w:p>
        </w:tc>
        <w:tc>
          <w:tcPr>
            <w:tcW w:w="1180" w:type="dxa"/>
            <w:vAlign w:val="bottom"/>
            <w:vMerge w:val="restart"/>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09/28/2027</w:t>
            </w:r>
          </w:p>
        </w:tc>
        <w:tc>
          <w:tcPr>
            <w:tcW w:w="230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100" w:type="dxa"/>
            <w:vAlign w:val="bottom"/>
            <w:vMerge w:val="restart"/>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vMerge w:val="restart"/>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500</w:t>
            </w:r>
          </w:p>
        </w:tc>
        <w:tc>
          <w:tcPr>
            <w:tcW w:w="200" w:type="dxa"/>
            <w:vAlign w:val="bottom"/>
            <w:shd w:val="clear" w:color="auto" w:fill="CCECFF"/>
          </w:tcPr>
          <w:p>
            <w:pPr>
              <w:spacing w:after="0"/>
              <w:rPr>
                <w:sz w:val="8"/>
                <w:szCs w:val="8"/>
                <w:color w:val="auto"/>
              </w:rPr>
            </w:pPr>
          </w:p>
        </w:tc>
        <w:tc>
          <w:tcPr>
            <w:tcW w:w="46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8"/>
                <w:szCs w:val="8"/>
                <w:color w:val="auto"/>
              </w:rPr>
            </w:pPr>
          </w:p>
        </w:tc>
        <w:tc>
          <w:tcPr>
            <w:tcW w:w="500" w:type="dxa"/>
            <w:vAlign w:val="bottom"/>
            <w:vMerge w:val="restart"/>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88"/>
        </w:trPr>
        <w:tc>
          <w:tcPr>
            <w:tcW w:w="30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6"/>
                <w:szCs w:val="6"/>
                <w:color w:val="auto"/>
              </w:rPr>
              <w:t>(8)</w:t>
            </w:r>
          </w:p>
        </w:tc>
        <w:tc>
          <w:tcPr>
            <w:tcW w:w="1180" w:type="dxa"/>
            <w:vAlign w:val="bottom"/>
            <w:tcBorders>
              <w:bottom w:val="single" w:sz="8" w:color="CCECFF"/>
            </w:tcBorders>
            <w:vMerge w:val="continue"/>
            <w:shd w:val="clear" w:color="auto" w:fill="CCECFF"/>
          </w:tcPr>
          <w:p>
            <w:pPr>
              <w:spacing w:after="0"/>
              <w:rPr>
                <w:sz w:val="7"/>
                <w:szCs w:val="7"/>
                <w:color w:val="auto"/>
              </w:rPr>
            </w:pPr>
          </w:p>
        </w:tc>
        <w:tc>
          <w:tcPr>
            <w:tcW w:w="2300" w:type="dxa"/>
            <w:vAlign w:val="bottom"/>
            <w:tcBorders>
              <w:bottom w:val="single" w:sz="8" w:color="CCECFF"/>
            </w:tcBorders>
            <w:vMerge w:val="continue"/>
            <w:shd w:val="clear" w:color="auto" w:fill="CCECFF"/>
          </w:tcPr>
          <w:p>
            <w:pPr>
              <w:spacing w:after="0"/>
              <w:rPr>
                <w:sz w:val="7"/>
                <w:szCs w:val="7"/>
                <w:color w:val="auto"/>
              </w:rPr>
            </w:pPr>
          </w:p>
        </w:tc>
        <w:tc>
          <w:tcPr>
            <w:tcW w:w="1100" w:type="dxa"/>
            <w:vAlign w:val="bottom"/>
            <w:tcBorders>
              <w:bottom w:val="single" w:sz="8" w:color="CCECFF"/>
            </w:tcBorders>
            <w:vMerge w:val="continue"/>
            <w:shd w:val="clear" w:color="auto" w:fill="CCECFF"/>
          </w:tcPr>
          <w:p>
            <w:pPr>
              <w:spacing w:after="0"/>
              <w:rPr>
                <w:sz w:val="7"/>
                <w:szCs w:val="7"/>
                <w:color w:val="auto"/>
              </w:rPr>
            </w:pPr>
          </w:p>
        </w:tc>
        <w:tc>
          <w:tcPr>
            <w:tcW w:w="800" w:type="dxa"/>
            <w:vAlign w:val="bottom"/>
            <w:tcBorders>
              <w:bottom w:val="single" w:sz="8" w:color="CCECFF"/>
            </w:tcBorders>
            <w:vMerge w:val="continue"/>
            <w:shd w:val="clear" w:color="auto" w:fill="CCECFF"/>
          </w:tcPr>
          <w:p>
            <w:pPr>
              <w:spacing w:after="0"/>
              <w:rPr>
                <w:sz w:val="7"/>
                <w:szCs w:val="7"/>
                <w:color w:val="auto"/>
              </w:rPr>
            </w:pPr>
          </w:p>
        </w:tc>
        <w:tc>
          <w:tcPr>
            <w:tcW w:w="700" w:type="dxa"/>
            <w:vAlign w:val="bottom"/>
            <w:tcBorders>
              <w:bottom w:val="single" w:sz="8" w:color="CCECFF"/>
            </w:tcBorders>
            <w:vMerge w:val="continue"/>
            <w:shd w:val="clear" w:color="auto" w:fill="CCECFF"/>
          </w:tcPr>
          <w:p>
            <w:pPr>
              <w:spacing w:after="0"/>
              <w:rPr>
                <w:sz w:val="7"/>
                <w:szCs w:val="7"/>
                <w:color w:val="auto"/>
              </w:rPr>
            </w:pPr>
          </w:p>
        </w:tc>
        <w:tc>
          <w:tcPr>
            <w:tcW w:w="200" w:type="dxa"/>
            <w:vAlign w:val="bottom"/>
            <w:tcBorders>
              <w:bottom w:val="single" w:sz="8" w:color="CCECFF"/>
            </w:tcBorders>
            <w:shd w:val="clear" w:color="auto" w:fill="CCECFF"/>
          </w:tcPr>
          <w:p>
            <w:pPr>
              <w:spacing w:after="0"/>
              <w:rPr>
                <w:sz w:val="7"/>
                <w:szCs w:val="7"/>
                <w:color w:val="auto"/>
              </w:rPr>
            </w:pPr>
          </w:p>
        </w:tc>
        <w:tc>
          <w:tcPr>
            <w:tcW w:w="460" w:type="dxa"/>
            <w:vAlign w:val="bottom"/>
            <w:tcBorders>
              <w:bottom w:val="single" w:sz="8" w:color="CCECFF"/>
            </w:tcBorders>
            <w:vMerge w:val="continue"/>
            <w:shd w:val="clear" w:color="auto" w:fill="CCECFF"/>
          </w:tcPr>
          <w:p>
            <w:pPr>
              <w:spacing w:after="0"/>
              <w:rPr>
                <w:sz w:val="7"/>
                <w:szCs w:val="7"/>
                <w:color w:val="auto"/>
              </w:rPr>
            </w:pPr>
          </w:p>
        </w:tc>
        <w:tc>
          <w:tcPr>
            <w:tcW w:w="300" w:type="dxa"/>
            <w:vAlign w:val="bottom"/>
            <w:tcBorders>
              <w:bottom w:val="single" w:sz="8" w:color="CCECFF"/>
            </w:tcBorders>
            <w:shd w:val="clear" w:color="auto" w:fill="CCECFF"/>
          </w:tcPr>
          <w:p>
            <w:pPr>
              <w:spacing w:after="0"/>
              <w:rPr>
                <w:sz w:val="7"/>
                <w:szCs w:val="7"/>
                <w:color w:val="auto"/>
              </w:rPr>
            </w:pPr>
          </w:p>
        </w:tc>
        <w:tc>
          <w:tcPr>
            <w:tcW w:w="500" w:type="dxa"/>
            <w:vAlign w:val="bottom"/>
            <w:tcBorders>
              <w:bottom w:val="single" w:sz="8" w:color="CCECFF"/>
            </w:tcBorders>
            <w:vMerge w:val="continue"/>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 Revolver </w:t>
            </w:r>
            <w:r>
              <w:rPr>
                <w:rFonts w:ascii="Times New Roman" w:cs="Times New Roman" w:eastAsia="Times New Roman" w:hAnsi="Times New Roman"/>
                <w:sz w:val="12"/>
                <w:szCs w:val="12"/>
                <w:color w:val="auto"/>
                <w:vertAlign w:val="superscript"/>
              </w:rPr>
              <w:t>(8)</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09/28/2027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10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1,880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NBH Group LLC - Revolver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08/19/2026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1,163</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(35)</w:t>
            </w:r>
          </w:p>
        </w:tc>
        <w:tc>
          <w:tcPr>
            <w:tcW w:w="0" w:type="dxa"/>
            <w:vAlign w:val="bottom"/>
          </w:tcPr>
          <w:p>
            <w:pPr>
              <w:spacing w:after="0"/>
              <w:rPr>
                <w:sz w:val="1"/>
                <w:szCs w:val="1"/>
                <w:color w:val="auto"/>
              </w:rPr>
            </w:pPr>
          </w:p>
        </w:tc>
      </w:tr>
      <w:tr>
        <w:trPr>
          <w:trHeight w:val="124"/>
        </w:trPr>
        <w:tc>
          <w:tcPr>
            <w:tcW w:w="302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NFS - CFP Holdings LLC</w:t>
            </w:r>
          </w:p>
        </w:tc>
        <w:tc>
          <w:tcPr>
            <w:tcW w:w="1180" w:type="dxa"/>
            <w:vAlign w:val="bottom"/>
            <w:vMerge w:val="restart"/>
          </w:tcPr>
          <w:p>
            <w:pPr>
              <w:jc w:val="center"/>
              <w:ind w:right="172"/>
              <w:spacing w:after="0"/>
              <w:rPr>
                <w:sz w:val="20"/>
                <w:szCs w:val="20"/>
                <w:color w:val="auto"/>
              </w:rPr>
            </w:pPr>
            <w:r>
              <w:rPr>
                <w:rFonts w:ascii="Times New Roman" w:cs="Times New Roman" w:eastAsia="Times New Roman" w:hAnsi="Times New Roman"/>
                <w:sz w:val="10"/>
                <w:szCs w:val="10"/>
                <w:color w:val="auto"/>
                <w:w w:val="96"/>
              </w:rPr>
              <w:t>09/13/2030</w:t>
            </w:r>
          </w:p>
        </w:tc>
        <w:tc>
          <w:tcPr>
            <w:tcW w:w="23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00" w:type="dxa"/>
            <w:vAlign w:val="bottom"/>
            <w:vMerge w:val="restart"/>
          </w:tcPr>
          <w:p>
            <w:pPr>
              <w:jc w:val="center"/>
              <w:ind w:left="272"/>
              <w:spacing w:after="0"/>
              <w:rPr>
                <w:sz w:val="20"/>
                <w:szCs w:val="20"/>
                <w:color w:val="auto"/>
              </w:rPr>
            </w:pPr>
            <w:r>
              <w:rPr>
                <w:rFonts w:ascii="Times New Roman" w:cs="Times New Roman" w:eastAsia="Times New Roman" w:hAnsi="Times New Roman"/>
                <w:sz w:val="10"/>
                <w:szCs w:val="10"/>
                <w:color w:val="auto"/>
              </w:rPr>
              <w:t>9.56%</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SOFR+475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18,000</w:t>
            </w:r>
          </w:p>
        </w:tc>
        <w:tc>
          <w:tcPr>
            <w:tcW w:w="200" w:type="dxa"/>
            <w:vAlign w:val="bottom"/>
          </w:tcPr>
          <w:p>
            <w:pPr>
              <w:spacing w:after="0"/>
              <w:rPr>
                <w:sz w:val="10"/>
                <w:szCs w:val="10"/>
                <w:color w:val="auto"/>
              </w:rPr>
            </w:pPr>
          </w:p>
        </w:tc>
        <w:tc>
          <w:tcPr>
            <w:tcW w:w="4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17,866</w:t>
            </w:r>
          </w:p>
        </w:tc>
        <w:tc>
          <w:tcPr>
            <w:tcW w:w="300" w:type="dxa"/>
            <w:vAlign w:val="bottom"/>
          </w:tcPr>
          <w:p>
            <w:pPr>
              <w:spacing w:after="0"/>
              <w:rPr>
                <w:sz w:val="10"/>
                <w:szCs w:val="10"/>
                <w:color w:val="auto"/>
              </w:rPr>
            </w:pPr>
          </w:p>
        </w:tc>
        <w:tc>
          <w:tcPr>
            <w:tcW w:w="5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17,865</w:t>
            </w:r>
          </w:p>
        </w:tc>
        <w:tc>
          <w:tcPr>
            <w:tcW w:w="0" w:type="dxa"/>
            <w:vAlign w:val="bottom"/>
          </w:tcPr>
          <w:p>
            <w:pPr>
              <w:spacing w:after="0"/>
              <w:rPr>
                <w:sz w:val="1"/>
                <w:szCs w:val="1"/>
                <w:color w:val="auto"/>
              </w:rPr>
            </w:pPr>
          </w:p>
        </w:tc>
      </w:tr>
      <w:tr>
        <w:trPr>
          <w:trHeight w:val="92"/>
        </w:trPr>
        <w:tc>
          <w:tcPr>
            <w:tcW w:w="302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230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NFS - CFP Holdings LLC - Unfunded Term Loan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09/13/2026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6,630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NFS - CFP Holdings LLC - Unfunded Revolver </w:t>
            </w:r>
            <w:r>
              <w:rPr>
                <w:rFonts w:ascii="Times New Roman" w:cs="Times New Roman" w:eastAsia="Times New Roman" w:hAnsi="Times New Roman"/>
                <w:sz w:val="12"/>
                <w:szCs w:val="12"/>
                <w:color w:val="auto"/>
                <w:vertAlign w:val="superscript"/>
              </w:rPr>
              <w:t>(8)</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09/13/2030</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0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2,486</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NORA Acquisition, LLC</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08/31/2029</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7"/>
              </w:rPr>
              <w:t>10.95%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SOFR+635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5,445</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5,348</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5,445</w:t>
            </w:r>
          </w:p>
        </w:tc>
        <w:tc>
          <w:tcPr>
            <w:tcW w:w="0" w:type="dxa"/>
            <w:vAlign w:val="bottom"/>
          </w:tcPr>
          <w:p>
            <w:pPr>
              <w:spacing w:after="0"/>
              <w:rPr>
                <w:sz w:val="1"/>
                <w:szCs w:val="1"/>
                <w:color w:val="auto"/>
              </w:rPr>
            </w:pP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NORA Acquisition, LLC - Revolver </w:t>
            </w:r>
            <w:r>
              <w:rPr>
                <w:rFonts w:ascii="Times New Roman" w:cs="Times New Roman" w:eastAsia="Times New Roman" w:hAnsi="Times New Roman"/>
                <w:sz w:val="12"/>
                <w:szCs w:val="12"/>
                <w:color w:val="auto"/>
                <w:vertAlign w:val="superscript"/>
              </w:rPr>
              <w:t>(8)</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08/31/2029</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0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2,707</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NP Riverhead Industrial, LLC</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05/24/2025</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Buildings and Real Estate</w:t>
            </w: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7"/>
              </w:rPr>
              <w:t>14.50%</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5,000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4,984</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4,975</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Omnia Exterior Solutions, LLC</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12/29/2029</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10.10%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SOFR+550</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4,888</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4,840</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4,814</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Omnia Exterior Solutions, LLC - Unfunded Term Loan 1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12/30/2024</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3,499</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(22)</w:t>
            </w:r>
          </w:p>
        </w:tc>
        <w:tc>
          <w:tcPr>
            <w:tcW w:w="0" w:type="dxa"/>
            <w:vAlign w:val="bottom"/>
          </w:tcPr>
          <w:p>
            <w:pPr>
              <w:spacing w:after="0"/>
              <w:rPr>
                <w:sz w:val="1"/>
                <w:szCs w:val="1"/>
                <w:color w:val="auto"/>
              </w:rPr>
            </w:pP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Omnia Exterior Solutions, LLC - Unfunded Term Loan 2 </w:t>
            </w:r>
            <w:r>
              <w:rPr>
                <w:rFonts w:ascii="Times New Roman" w:cs="Times New Roman" w:eastAsia="Times New Roman" w:hAnsi="Times New Roman"/>
                <w:sz w:val="12"/>
                <w:szCs w:val="12"/>
                <w:color w:val="auto"/>
                <w:vertAlign w:val="superscript"/>
              </w:rPr>
              <w:t>(8)</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09/30/2026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110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5,598</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(35)</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Omnia Exterior Solutions, LLC - Revolver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12/29/2029</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2,100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(31)</w:t>
            </w:r>
          </w:p>
        </w:tc>
        <w:tc>
          <w:tcPr>
            <w:tcW w:w="0" w:type="dxa"/>
            <w:vAlign w:val="bottom"/>
          </w:tcPr>
          <w:p>
            <w:pPr>
              <w:spacing w:after="0"/>
              <w:rPr>
                <w:sz w:val="1"/>
                <w:szCs w:val="1"/>
                <w:color w:val="auto"/>
              </w:rPr>
            </w:pPr>
          </w:p>
        </w:tc>
      </w:tr>
      <w:tr>
        <w:trPr>
          <w:trHeight w:val="121"/>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ORL Acquisition, Inc.</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09/03/2027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14.00%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SOFR+940</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4,245</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4,198</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3,608</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(PIK 7.50%)</w:t>
            </w: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ORL Acquisition, Inc. - Revolver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09/03/2027</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(22)</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OSP Embedded Purchaser, LLC</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12/15/2029</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10.70%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SOFR+610</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6,451</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6,345</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6,264</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OSP Embedded Purchaser, LLC - Revolver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12/15/2029</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1,477</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(43)</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Ox Two, LLC</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05/18/2026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11.12%</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SOFR+651</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8,460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8,403</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8,460</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Ox Two, LLC - Revolver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05/18/2026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2,419</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Pacific Purchaser, LLC - Unfunded Term Loan </w:t>
            </w:r>
            <w:r>
              <w:rPr>
                <w:rFonts w:ascii="Times New Roman" w:cs="Times New Roman" w:eastAsia="Times New Roman" w:hAnsi="Times New Roman"/>
                <w:sz w:val="12"/>
                <w:szCs w:val="12"/>
                <w:color w:val="auto"/>
                <w:vertAlign w:val="superscript"/>
              </w:rPr>
              <w:t>(8)</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09/30/2028</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0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2,747</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Pacific Purchaser, LLC - Revolver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09/30/2028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1,373</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PAR Excellence Holdings, Inc.</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09/03/2030</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rPr>
              <w:t>9.77%</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SOFR+475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10,000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9,901</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9,900</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PAR Excellence Holdings, Inc. - Unfunded Revolver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09/03/2030</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2,681</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PCS MIDCO INC</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03/01/2030</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10.81%</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1M SOFR+575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467</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462</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467</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PCS MIDCO INC - Unfunded Term Loan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03/01/2026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3,955</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40</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PCS MIDCO INC - Funded Revolver</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03/01/2030</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10.81%</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1M SOFR+575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308</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308</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308</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PCS MIDCO INC - Unfunded Revolver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03/01/2030</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1,454</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PlayPower, Inc.</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08/28/2030</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Manufacturing/Basic Industry</w:t>
            </w: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rPr>
              <w:t>9.85%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SOFR+525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12,000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11,912</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11,820</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PlayPower, Inc. - Unfunded Revolver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08/28/2030</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Manufacturing/Basic Industry</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2,570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(39)</w:t>
            </w:r>
          </w:p>
        </w:tc>
        <w:tc>
          <w:tcPr>
            <w:tcW w:w="0" w:type="dxa"/>
            <w:vAlign w:val="bottom"/>
          </w:tcPr>
          <w:p>
            <w:pPr>
              <w:spacing w:after="0"/>
              <w:rPr>
                <w:sz w:val="1"/>
                <w:szCs w:val="1"/>
                <w:color w:val="auto"/>
              </w:rPr>
            </w:pP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PL Acquisitionco, LLC - Revolver </w:t>
            </w:r>
            <w:r>
              <w:rPr>
                <w:rFonts w:ascii="Times New Roman" w:cs="Times New Roman" w:eastAsia="Times New Roman" w:hAnsi="Times New Roman"/>
                <w:sz w:val="12"/>
                <w:szCs w:val="12"/>
                <w:color w:val="auto"/>
                <w:vertAlign w:val="superscript"/>
              </w:rPr>
              <w:t>(8)</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11/09/2027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110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3,236</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(647)</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Pragmatic Institute, LLC </w:t>
            </w:r>
            <w:r>
              <w:rPr>
                <w:rFonts w:ascii="Times New Roman" w:cs="Times New Roman" w:eastAsia="Times New Roman" w:hAnsi="Times New Roman"/>
                <w:sz w:val="12"/>
                <w:szCs w:val="12"/>
                <w:color w:val="auto"/>
                <w:vertAlign w:val="superscript"/>
              </w:rPr>
              <w:t>(7)</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07/06/2028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7"/>
              </w:rPr>
              <w:t>12.09%</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SOFR+750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37,241</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36,054</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22,810</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rPr>
                <w:sz w:val="10"/>
                <w:szCs w:val="10"/>
                <w:color w:val="auto"/>
              </w:rPr>
            </w:pPr>
          </w:p>
        </w:tc>
        <w:tc>
          <w:tcPr>
            <w:tcW w:w="1180" w:type="dxa"/>
            <w:vAlign w:val="bottom"/>
            <w:shd w:val="clear" w:color="auto" w:fill="CCECFF"/>
          </w:tcPr>
          <w:p>
            <w:pPr>
              <w:spacing w:after="0"/>
              <w:rPr>
                <w:sz w:val="10"/>
                <w:szCs w:val="10"/>
                <w:color w:val="auto"/>
              </w:rPr>
            </w:pPr>
          </w:p>
        </w:tc>
        <w:tc>
          <w:tcPr>
            <w:tcW w:w="2300" w:type="dxa"/>
            <w:vAlign w:val="bottom"/>
            <w:shd w:val="clear" w:color="auto" w:fill="CCECFF"/>
          </w:tcPr>
          <w:p>
            <w:pPr>
              <w:spacing w:after="0"/>
              <w:rPr>
                <w:sz w:val="10"/>
                <w:szCs w:val="10"/>
                <w:color w:val="auto"/>
              </w:rPr>
            </w:pP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6"/>
              </w:rPr>
              <w:t>(PIK 12.09%)</w:t>
            </w:r>
          </w:p>
        </w:tc>
        <w:tc>
          <w:tcPr>
            <w:tcW w:w="8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20" w:type="dxa"/>
            <w:vAlign w:val="bottom"/>
          </w:tcPr>
          <w:p>
            <w:pPr>
              <w:spacing w:after="0" w:line="121" w:lineRule="exact"/>
              <w:rPr>
                <w:sz w:val="20"/>
                <w:szCs w:val="20"/>
                <w:color w:val="auto"/>
              </w:rPr>
            </w:pPr>
            <w:r>
              <w:rPr>
                <w:rFonts w:ascii="Times New Roman" w:cs="Times New Roman" w:eastAsia="Times New Roman" w:hAnsi="Times New Roman"/>
                <w:sz w:val="10"/>
                <w:szCs w:val="10"/>
                <w:color w:val="auto"/>
              </w:rPr>
              <w:t xml:space="preserve">Pragmatic Institute, LLC - Revolver </w:t>
            </w:r>
            <w:r>
              <w:rPr>
                <w:rFonts w:ascii="Times New Roman" w:cs="Times New Roman" w:eastAsia="Times New Roman" w:hAnsi="Times New Roman"/>
                <w:sz w:val="12"/>
                <w:szCs w:val="12"/>
                <w:color w:val="auto"/>
                <w:vertAlign w:val="superscript"/>
              </w:rPr>
              <w:t>(7)</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07/06/2028</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12.09%</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SOFR+750</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5,154</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5,041</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3,157</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6"/>
              </w:rPr>
              <w:t>(PIK 12.09%)</w:t>
            </w: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Quantic Electronics, LLC</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11/19/2026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7"/>
              </w:rPr>
              <w:t>10.95%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SOFR+635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1,468</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1,461</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1,461</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Quantic Electronics, LLC - Funded Revolver</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08/17/2026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10.95%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SOFR+635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264</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264</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263</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Quantic Electronics, LLC - Unfunded Revolver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08/17/2026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264</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Radius Aerospace, Inc. - Revolver</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03/31/2025</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11.10%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SOFR+615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817</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817</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800</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Radius Aerospace, Inc. - Unfunded Revolver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03/31/2025</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1,411</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(28)</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Rancho Health MSO, Inc.</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12/18/2025</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7"/>
              </w:rPr>
              <w:t>10.90%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SOFR+560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360</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360</w:t>
            </w:r>
          </w:p>
        </w:tc>
        <w:tc>
          <w:tcPr>
            <w:tcW w:w="0" w:type="dxa"/>
            <w:vAlign w:val="bottom"/>
          </w:tcPr>
          <w:p>
            <w:pPr>
              <w:spacing w:after="0"/>
              <w:rPr>
                <w:sz w:val="1"/>
                <w:szCs w:val="1"/>
                <w:color w:val="auto"/>
              </w:rPr>
            </w:pP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 Unfunded Term Loan </w:t>
            </w:r>
            <w:r>
              <w:rPr>
                <w:rFonts w:ascii="Times New Roman" w:cs="Times New Roman" w:eastAsia="Times New Roman" w:hAnsi="Times New Roman"/>
                <w:sz w:val="12"/>
                <w:szCs w:val="12"/>
                <w:color w:val="auto"/>
                <w:vertAlign w:val="superscript"/>
              </w:rPr>
              <w:t>(8)</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12/18/2025</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0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 Unfunded Term Loan 2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06/30/2025</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w:t>
            </w:r>
          </w:p>
        </w:tc>
        <w:tc>
          <w:tcPr>
            <w:tcW w:w="0" w:type="dxa"/>
            <w:vAlign w:val="bottom"/>
          </w:tcPr>
          <w:p>
            <w:pPr>
              <w:spacing w:after="0"/>
              <w:rPr>
                <w:sz w:val="1"/>
                <w:szCs w:val="1"/>
                <w:color w:val="auto"/>
              </w:rPr>
            </w:pPr>
          </w:p>
        </w:tc>
      </w:tr>
      <w:tr>
        <w:trPr>
          <w:trHeight w:val="12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Rancho Health MSO, Inc. - Revolver</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12/18/2025</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10.93%</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SOFR+560</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210</w:t>
            </w:r>
          </w:p>
        </w:tc>
        <w:tc>
          <w:tcPr>
            <w:tcW w:w="0" w:type="dxa"/>
            <w:vAlign w:val="bottom"/>
          </w:tcPr>
          <w:p>
            <w:pPr>
              <w:spacing w:after="0"/>
              <w:rPr>
                <w:sz w:val="1"/>
                <w:szCs w:val="1"/>
                <w:color w:val="auto"/>
              </w:rPr>
            </w:pP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 Unfunded Revolver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12/18/2025</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315</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80" w:type="dxa"/>
            <w:vAlign w:val="bottom"/>
          </w:tcPr>
          <w:p>
            <w:pPr>
              <w:jc w:val="center"/>
              <w:ind w:left="25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40" w:type="dxa"/>
            <w:vAlign w:val="bottom"/>
          </w:tcPr>
          <w:p>
            <w:pPr>
              <w:jc w:val="center"/>
              <w:ind w:right="292"/>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080" w:type="dxa"/>
            <w:vAlign w:val="bottom"/>
          </w:tcPr>
          <w:p>
            <w:pPr>
              <w:jc w:val="center"/>
              <w:ind w:left="27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00" w:type="dxa"/>
            <w:vAlign w:val="bottom"/>
          </w:tcPr>
          <w:p>
            <w:pPr>
              <w:spacing w:after="0"/>
              <w:rPr>
                <w:sz w:val="10"/>
                <w:szCs w:val="10"/>
                <w:color w:val="auto"/>
              </w:rPr>
            </w:pPr>
          </w:p>
        </w:tc>
        <w:tc>
          <w:tcPr>
            <w:tcW w:w="46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800" w:type="dxa"/>
            <w:vAlign w:val="bottom"/>
            <w:gridSpan w:val="2"/>
          </w:tcPr>
          <w:p>
            <w:pPr>
              <w:jc w:val="right"/>
              <w:ind w:right="7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(3)</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Reception Purchaser, LLC</w:t>
            </w:r>
          </w:p>
        </w:tc>
        <w:tc>
          <w:tcPr>
            <w:tcW w:w="1040" w:type="dxa"/>
            <w:vAlign w:val="bottom"/>
            <w:shd w:val="clear" w:color="auto" w:fill="CCECFF"/>
          </w:tcPr>
          <w:p>
            <w:pPr>
              <w:jc w:val="center"/>
              <w:ind w:right="312"/>
              <w:spacing w:after="0"/>
              <w:rPr>
                <w:sz w:val="20"/>
                <w:szCs w:val="20"/>
                <w:color w:val="auto"/>
              </w:rPr>
            </w:pPr>
            <w:r>
              <w:rPr>
                <w:rFonts w:ascii="Times New Roman" w:cs="Times New Roman" w:eastAsia="Times New Roman" w:hAnsi="Times New Roman"/>
                <w:sz w:val="10"/>
                <w:szCs w:val="10"/>
                <w:color w:val="auto"/>
                <w:w w:val="96"/>
              </w:rPr>
              <w:t>02/28/2028</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108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7"/>
              </w:rPr>
              <w:t>10.75%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SOFR+615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10,763</w:t>
            </w:r>
          </w:p>
        </w:tc>
        <w:tc>
          <w:tcPr>
            <w:tcW w:w="2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9,638</w:t>
            </w:r>
          </w:p>
        </w:tc>
        <w:tc>
          <w:tcPr>
            <w:tcW w:w="3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8,072</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Recteq, LLC - Revolver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right="312"/>
              <w:spacing w:after="0"/>
              <w:rPr>
                <w:sz w:val="20"/>
                <w:szCs w:val="20"/>
                <w:color w:val="auto"/>
              </w:rPr>
            </w:pPr>
            <w:r>
              <w:rPr>
                <w:rFonts w:ascii="Times New Roman" w:cs="Times New Roman" w:eastAsia="Times New Roman" w:hAnsi="Times New Roman"/>
                <w:sz w:val="10"/>
                <w:szCs w:val="10"/>
                <w:color w:val="auto"/>
                <w:w w:val="96"/>
              </w:rPr>
              <w:t>01/29/2026</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80" w:type="dxa"/>
            <w:vAlign w:val="bottom"/>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1,127</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Riverpoint Medical, LLC - Revolver</w:t>
            </w:r>
          </w:p>
        </w:tc>
        <w:tc>
          <w:tcPr>
            <w:tcW w:w="1040" w:type="dxa"/>
            <w:vAlign w:val="bottom"/>
            <w:shd w:val="clear" w:color="auto" w:fill="CCECFF"/>
          </w:tcPr>
          <w:p>
            <w:pPr>
              <w:jc w:val="center"/>
              <w:ind w:right="312"/>
              <w:spacing w:after="0"/>
              <w:rPr>
                <w:sz w:val="20"/>
                <w:szCs w:val="20"/>
                <w:color w:val="auto"/>
              </w:rPr>
            </w:pPr>
            <w:r>
              <w:rPr>
                <w:rFonts w:ascii="Times New Roman" w:cs="Times New Roman" w:eastAsia="Times New Roman" w:hAnsi="Times New Roman"/>
                <w:sz w:val="10"/>
                <w:szCs w:val="10"/>
                <w:color w:val="auto"/>
                <w:w w:val="96"/>
              </w:rPr>
              <w:t>06/20/2025</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8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7"/>
              </w:rPr>
              <w:t>10.10%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SOFR+535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53</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Riverpoint Medical, LLC - Unfunded Revolver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right="312"/>
              <w:spacing w:after="0"/>
              <w:rPr>
                <w:sz w:val="20"/>
                <w:szCs w:val="20"/>
                <w:color w:val="auto"/>
              </w:rPr>
            </w:pPr>
            <w:r>
              <w:rPr>
                <w:rFonts w:ascii="Times New Roman" w:cs="Times New Roman" w:eastAsia="Times New Roman" w:hAnsi="Times New Roman"/>
                <w:sz w:val="10"/>
                <w:szCs w:val="10"/>
                <w:color w:val="auto"/>
                <w:w w:val="96"/>
              </w:rPr>
              <w:t>06/20/2025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80" w:type="dxa"/>
            <w:vAlign w:val="bottom"/>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RRA Corporate, LLC</w:t>
            </w:r>
          </w:p>
        </w:tc>
        <w:tc>
          <w:tcPr>
            <w:tcW w:w="1040" w:type="dxa"/>
            <w:vAlign w:val="bottom"/>
            <w:shd w:val="clear" w:color="auto" w:fill="CCECFF"/>
          </w:tcPr>
          <w:p>
            <w:pPr>
              <w:jc w:val="center"/>
              <w:ind w:right="312"/>
              <w:spacing w:after="0"/>
              <w:rPr>
                <w:sz w:val="20"/>
                <w:szCs w:val="20"/>
                <w:color w:val="auto"/>
              </w:rPr>
            </w:pPr>
            <w:r>
              <w:rPr>
                <w:rFonts w:ascii="Times New Roman" w:cs="Times New Roman" w:eastAsia="Times New Roman" w:hAnsi="Times New Roman"/>
                <w:sz w:val="10"/>
                <w:szCs w:val="10"/>
                <w:color w:val="auto"/>
                <w:w w:val="96"/>
              </w:rPr>
              <w:t>08/15/2029</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rPr>
              <w:t>9.60%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SOFR+500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4,000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3,960</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3,960</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RRA Corporate, LLC - Unfunded Term Loan 1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right="312"/>
              <w:spacing w:after="0"/>
              <w:rPr>
                <w:sz w:val="20"/>
                <w:szCs w:val="20"/>
                <w:color w:val="auto"/>
              </w:rPr>
            </w:pPr>
            <w:r>
              <w:rPr>
                <w:rFonts w:ascii="Times New Roman" w:cs="Times New Roman" w:eastAsia="Times New Roman" w:hAnsi="Times New Roman"/>
                <w:sz w:val="10"/>
                <w:szCs w:val="10"/>
                <w:color w:val="auto"/>
                <w:w w:val="96"/>
              </w:rPr>
              <w:t>02/15/2025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5,394</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RRA Corporate, LLC - Unfunded Term Loan 2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right="312"/>
              <w:spacing w:after="0"/>
              <w:rPr>
                <w:sz w:val="20"/>
                <w:szCs w:val="20"/>
                <w:color w:val="auto"/>
              </w:rPr>
            </w:pPr>
            <w:r>
              <w:rPr>
                <w:rFonts w:ascii="Times New Roman" w:cs="Times New Roman" w:eastAsia="Times New Roman" w:hAnsi="Times New Roman"/>
                <w:sz w:val="10"/>
                <w:szCs w:val="10"/>
                <w:color w:val="auto"/>
                <w:w w:val="96"/>
              </w:rPr>
              <w:t>08/15/2026</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10,181</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RRA Corporate, LLC - Funded Revolver</w:t>
            </w:r>
          </w:p>
        </w:tc>
        <w:tc>
          <w:tcPr>
            <w:tcW w:w="1040" w:type="dxa"/>
            <w:vAlign w:val="bottom"/>
          </w:tcPr>
          <w:p>
            <w:pPr>
              <w:jc w:val="center"/>
              <w:ind w:right="312"/>
              <w:spacing w:after="0"/>
              <w:rPr>
                <w:sz w:val="20"/>
                <w:szCs w:val="20"/>
                <w:color w:val="auto"/>
              </w:rPr>
            </w:pPr>
            <w:r>
              <w:rPr>
                <w:rFonts w:ascii="Times New Roman" w:cs="Times New Roman" w:eastAsia="Times New Roman" w:hAnsi="Times New Roman"/>
                <w:sz w:val="10"/>
                <w:szCs w:val="10"/>
                <w:color w:val="auto"/>
                <w:w w:val="96"/>
              </w:rPr>
              <w:t>08/15/2029</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rPr>
              <w:t>9.60%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SOFR+500</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661</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661</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655</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RRA Corporate, LLC - Unfunded Revolver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right="312"/>
              <w:spacing w:after="0"/>
              <w:rPr>
                <w:sz w:val="20"/>
                <w:szCs w:val="20"/>
                <w:color w:val="auto"/>
              </w:rPr>
            </w:pPr>
            <w:r>
              <w:rPr>
                <w:rFonts w:ascii="Times New Roman" w:cs="Times New Roman" w:eastAsia="Times New Roman" w:hAnsi="Times New Roman"/>
                <w:sz w:val="10"/>
                <w:szCs w:val="10"/>
                <w:color w:val="auto"/>
                <w:w w:val="96"/>
              </w:rPr>
              <w:t>08/15/2029</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2,487</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(25)</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1040" w:type="dxa"/>
            <w:vAlign w:val="bottom"/>
          </w:tcPr>
          <w:p>
            <w:pPr>
              <w:jc w:val="center"/>
              <w:ind w:right="312"/>
              <w:spacing w:after="0"/>
              <w:rPr>
                <w:sz w:val="20"/>
                <w:szCs w:val="20"/>
                <w:color w:val="auto"/>
              </w:rPr>
            </w:pPr>
            <w:r>
              <w:rPr>
                <w:rFonts w:ascii="Times New Roman" w:cs="Times New Roman" w:eastAsia="Times New Roman" w:hAnsi="Times New Roman"/>
                <w:sz w:val="10"/>
                <w:szCs w:val="10"/>
                <w:color w:val="auto"/>
                <w:w w:val="96"/>
              </w:rPr>
              <w:t>05/03/2029</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8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10.35%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SOFR+575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9,975</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9,827</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9,776</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RTIC Subsidiary Holdings, LLC - Unfunded Revolver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right="312"/>
              <w:spacing w:after="0"/>
              <w:rPr>
                <w:sz w:val="20"/>
                <w:szCs w:val="20"/>
                <w:color w:val="auto"/>
              </w:rPr>
            </w:pPr>
            <w:r>
              <w:rPr>
                <w:rFonts w:ascii="Times New Roman" w:cs="Times New Roman" w:eastAsia="Times New Roman" w:hAnsi="Times New Roman"/>
                <w:sz w:val="10"/>
                <w:szCs w:val="10"/>
                <w:color w:val="auto"/>
                <w:w w:val="96"/>
              </w:rPr>
              <w:t>05/03/2029</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8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5,422</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(108)</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Rural Sourcing Holdings, Inc.</w:t>
            </w:r>
          </w:p>
        </w:tc>
        <w:tc>
          <w:tcPr>
            <w:tcW w:w="1040" w:type="dxa"/>
            <w:vAlign w:val="bottom"/>
          </w:tcPr>
          <w:p>
            <w:pPr>
              <w:jc w:val="center"/>
              <w:ind w:right="312"/>
              <w:spacing w:after="0"/>
              <w:rPr>
                <w:sz w:val="20"/>
                <w:szCs w:val="20"/>
                <w:color w:val="auto"/>
              </w:rPr>
            </w:pPr>
            <w:r>
              <w:rPr>
                <w:rFonts w:ascii="Times New Roman" w:cs="Times New Roman" w:eastAsia="Times New Roman" w:hAnsi="Times New Roman"/>
                <w:sz w:val="10"/>
                <w:szCs w:val="10"/>
                <w:color w:val="auto"/>
                <w:w w:val="96"/>
              </w:rPr>
              <w:t>06/15/2029</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10.35%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SOFR+575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1,124</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1,126</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Rural Sourcing Holdings, Inc. - Unfunded Term Loan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right="312"/>
              <w:spacing w:after="0"/>
              <w:rPr>
                <w:sz w:val="20"/>
                <w:szCs w:val="20"/>
                <w:color w:val="auto"/>
              </w:rPr>
            </w:pPr>
            <w:r>
              <w:rPr>
                <w:rFonts w:ascii="Times New Roman" w:cs="Times New Roman" w:eastAsia="Times New Roman" w:hAnsi="Times New Roman"/>
                <w:sz w:val="10"/>
                <w:szCs w:val="10"/>
                <w:color w:val="auto"/>
                <w:w w:val="96"/>
              </w:rPr>
              <w:t>06/27/2026</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1,146</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(9)</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Rural Sourcing Holdings, Inc. - Revolver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right="312"/>
              <w:spacing w:after="0"/>
              <w:rPr>
                <w:sz w:val="20"/>
                <w:szCs w:val="20"/>
                <w:color w:val="auto"/>
              </w:rPr>
            </w:pPr>
            <w:r>
              <w:rPr>
                <w:rFonts w:ascii="Times New Roman" w:cs="Times New Roman" w:eastAsia="Times New Roman" w:hAnsi="Times New Roman"/>
                <w:sz w:val="10"/>
                <w:szCs w:val="10"/>
                <w:color w:val="auto"/>
                <w:w w:val="96"/>
              </w:rPr>
              <w:t>06/15/2029</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S101 Holdings, Inc.</w:t>
            </w:r>
          </w:p>
        </w:tc>
        <w:tc>
          <w:tcPr>
            <w:tcW w:w="1040" w:type="dxa"/>
            <w:vAlign w:val="bottom"/>
            <w:shd w:val="clear" w:color="auto" w:fill="CCECFF"/>
          </w:tcPr>
          <w:p>
            <w:pPr>
              <w:jc w:val="center"/>
              <w:ind w:right="312"/>
              <w:spacing w:after="0"/>
              <w:rPr>
                <w:sz w:val="20"/>
                <w:szCs w:val="20"/>
                <w:color w:val="auto"/>
              </w:rPr>
            </w:pPr>
            <w:r>
              <w:rPr>
                <w:rFonts w:ascii="Times New Roman" w:cs="Times New Roman" w:eastAsia="Times New Roman" w:hAnsi="Times New Roman"/>
                <w:sz w:val="10"/>
                <w:szCs w:val="10"/>
                <w:color w:val="auto"/>
                <w:w w:val="96"/>
              </w:rPr>
              <w:t>12/29/2026</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08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7"/>
              </w:rPr>
              <w:t>11.48%</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SOFR+615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355</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351</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351</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S101 Holdings, Inc. - Unfunded Term Loan 2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right="312"/>
              <w:spacing w:after="0"/>
              <w:rPr>
                <w:sz w:val="20"/>
                <w:szCs w:val="20"/>
                <w:color w:val="auto"/>
              </w:rPr>
            </w:pPr>
            <w:r>
              <w:rPr>
                <w:rFonts w:ascii="Times New Roman" w:cs="Times New Roman" w:eastAsia="Times New Roman" w:hAnsi="Times New Roman"/>
                <w:sz w:val="10"/>
                <w:szCs w:val="10"/>
                <w:color w:val="auto"/>
                <w:w w:val="96"/>
              </w:rPr>
              <w:t>12/15/2024</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080" w:type="dxa"/>
            <w:vAlign w:val="bottom"/>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4,955</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Safe Haven Defense US LLC - Term Loan</w:t>
            </w:r>
          </w:p>
        </w:tc>
        <w:tc>
          <w:tcPr>
            <w:tcW w:w="1040" w:type="dxa"/>
            <w:vAlign w:val="bottom"/>
            <w:shd w:val="clear" w:color="auto" w:fill="CCECFF"/>
          </w:tcPr>
          <w:p>
            <w:pPr>
              <w:jc w:val="center"/>
              <w:ind w:right="312"/>
              <w:spacing w:after="0"/>
              <w:rPr>
                <w:sz w:val="20"/>
                <w:szCs w:val="20"/>
                <w:color w:val="auto"/>
              </w:rPr>
            </w:pPr>
            <w:r>
              <w:rPr>
                <w:rFonts w:ascii="Times New Roman" w:cs="Times New Roman" w:eastAsia="Times New Roman" w:hAnsi="Times New Roman"/>
                <w:sz w:val="10"/>
                <w:szCs w:val="10"/>
                <w:color w:val="auto"/>
                <w:w w:val="96"/>
              </w:rPr>
              <w:t>05/23/2029</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108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rPr>
              <w:t>9.85%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SOFR+525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8,976</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8,843</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8,886</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Safe Haven Defense US LLC - Unfunded Revolver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right="312"/>
              <w:spacing w:after="0"/>
              <w:rPr>
                <w:sz w:val="20"/>
                <w:szCs w:val="20"/>
                <w:color w:val="auto"/>
              </w:rPr>
            </w:pPr>
            <w:r>
              <w:rPr>
                <w:rFonts w:ascii="Times New Roman" w:cs="Times New Roman" w:eastAsia="Times New Roman" w:hAnsi="Times New Roman"/>
                <w:sz w:val="10"/>
                <w:szCs w:val="10"/>
                <w:color w:val="auto"/>
                <w:w w:val="96"/>
              </w:rPr>
              <w:t>05/23/2029</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1080" w:type="dxa"/>
            <w:vAlign w:val="bottom"/>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1,114</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Sales Benchmark Index LLC - Revolver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right="312"/>
              <w:spacing w:after="0"/>
              <w:rPr>
                <w:sz w:val="20"/>
                <w:szCs w:val="20"/>
                <w:color w:val="auto"/>
              </w:rPr>
            </w:pPr>
            <w:r>
              <w:rPr>
                <w:rFonts w:ascii="Times New Roman" w:cs="Times New Roman" w:eastAsia="Times New Roman" w:hAnsi="Times New Roman"/>
                <w:sz w:val="10"/>
                <w:szCs w:val="10"/>
                <w:color w:val="auto"/>
                <w:w w:val="96"/>
              </w:rPr>
              <w:t>01/03/2025</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732</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Sargent &amp; Greenleaf Inc. - Revolver</w:t>
            </w:r>
          </w:p>
        </w:tc>
        <w:tc>
          <w:tcPr>
            <w:tcW w:w="1040" w:type="dxa"/>
            <w:vAlign w:val="bottom"/>
          </w:tcPr>
          <w:p>
            <w:pPr>
              <w:jc w:val="center"/>
              <w:ind w:right="312"/>
              <w:spacing w:after="0"/>
              <w:rPr>
                <w:sz w:val="20"/>
                <w:szCs w:val="20"/>
                <w:color w:val="auto"/>
              </w:rPr>
            </w:pPr>
            <w:r>
              <w:rPr>
                <w:rFonts w:ascii="Times New Roman" w:cs="Times New Roman" w:eastAsia="Times New Roman" w:hAnsi="Times New Roman"/>
                <w:sz w:val="10"/>
                <w:szCs w:val="10"/>
                <w:color w:val="auto"/>
                <w:w w:val="96"/>
              </w:rPr>
              <w:t>12/20/2024</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08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11.87%</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SOFR+660</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610</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610</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8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(PIK 1.00%)</w:t>
            </w: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Sargent &amp; Greenleaf Inc. - Unfunded Revolver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right="312"/>
              <w:spacing w:after="0"/>
              <w:rPr>
                <w:sz w:val="20"/>
                <w:szCs w:val="20"/>
                <w:color w:val="auto"/>
              </w:rPr>
            </w:pPr>
            <w:r>
              <w:rPr>
                <w:rFonts w:ascii="Times New Roman" w:cs="Times New Roman" w:eastAsia="Times New Roman" w:hAnsi="Times New Roman"/>
                <w:sz w:val="10"/>
                <w:szCs w:val="10"/>
                <w:color w:val="auto"/>
                <w:w w:val="96"/>
              </w:rPr>
              <w:t>12/20/2024</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08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Schlesinger Global, Inc.</w:t>
            </w:r>
          </w:p>
        </w:tc>
        <w:tc>
          <w:tcPr>
            <w:tcW w:w="1040" w:type="dxa"/>
            <w:vAlign w:val="bottom"/>
          </w:tcPr>
          <w:p>
            <w:pPr>
              <w:jc w:val="center"/>
              <w:ind w:right="312"/>
              <w:spacing w:after="0"/>
              <w:rPr>
                <w:sz w:val="20"/>
                <w:szCs w:val="20"/>
                <w:color w:val="auto"/>
              </w:rPr>
            </w:pPr>
            <w:r>
              <w:rPr>
                <w:rFonts w:ascii="Times New Roman" w:cs="Times New Roman" w:eastAsia="Times New Roman" w:hAnsi="Times New Roman"/>
                <w:sz w:val="10"/>
                <w:szCs w:val="10"/>
                <w:color w:val="auto"/>
                <w:w w:val="96"/>
              </w:rPr>
              <w:t>07/14/2025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rPr>
              <w:t>7.60%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SOFR+275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4,870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4,851</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4,748</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8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(PIK 5.60%)</w:t>
            </w: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Schlesinger Global, Inc. - Revolver</w:t>
            </w:r>
          </w:p>
        </w:tc>
        <w:tc>
          <w:tcPr>
            <w:tcW w:w="1040" w:type="dxa"/>
            <w:vAlign w:val="bottom"/>
            <w:shd w:val="clear" w:color="auto" w:fill="CCECFF"/>
          </w:tcPr>
          <w:p>
            <w:pPr>
              <w:jc w:val="center"/>
              <w:ind w:right="312"/>
              <w:spacing w:after="0"/>
              <w:rPr>
                <w:sz w:val="20"/>
                <w:szCs w:val="20"/>
                <w:color w:val="auto"/>
              </w:rPr>
            </w:pPr>
            <w:r>
              <w:rPr>
                <w:rFonts w:ascii="Times New Roman" w:cs="Times New Roman" w:eastAsia="Times New Roman" w:hAnsi="Times New Roman"/>
                <w:sz w:val="10"/>
                <w:szCs w:val="10"/>
                <w:color w:val="auto"/>
                <w:w w:val="96"/>
              </w:rPr>
              <w:t>07/14/2025</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rPr>
              <w:t>7.60%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SOFR+275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31</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2320" w:type="dxa"/>
            <w:vAlign w:val="bottom"/>
            <w:shd w:val="clear" w:color="auto" w:fill="CCECFF"/>
          </w:tcPr>
          <w:p>
            <w:pPr>
              <w:spacing w:after="0"/>
              <w:rPr>
                <w:sz w:val="10"/>
                <w:szCs w:val="10"/>
                <w:color w:val="auto"/>
              </w:rPr>
            </w:pPr>
          </w:p>
        </w:tc>
        <w:tc>
          <w:tcPr>
            <w:tcW w:w="108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7"/>
              </w:rPr>
              <w:t>(PIK 5.60%)</w:t>
            </w:r>
          </w:p>
        </w:tc>
        <w:tc>
          <w:tcPr>
            <w:tcW w:w="8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Schlesinger Global, Inc. - Unfunded Revolver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right="312"/>
              <w:spacing w:after="0"/>
              <w:rPr>
                <w:sz w:val="20"/>
                <w:szCs w:val="20"/>
                <w:color w:val="auto"/>
              </w:rPr>
            </w:pPr>
            <w:r>
              <w:rPr>
                <w:rFonts w:ascii="Times New Roman" w:cs="Times New Roman" w:eastAsia="Times New Roman" w:hAnsi="Times New Roman"/>
                <w:sz w:val="10"/>
                <w:szCs w:val="10"/>
                <w:color w:val="auto"/>
                <w:w w:val="96"/>
              </w:rPr>
              <w:t>07/14/2025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Seaway Buyer, LLC</w:t>
            </w:r>
          </w:p>
        </w:tc>
        <w:tc>
          <w:tcPr>
            <w:tcW w:w="1040" w:type="dxa"/>
            <w:vAlign w:val="bottom"/>
            <w:shd w:val="clear" w:color="auto" w:fill="CCECFF"/>
          </w:tcPr>
          <w:p>
            <w:pPr>
              <w:jc w:val="center"/>
              <w:ind w:right="312"/>
              <w:spacing w:after="0"/>
              <w:rPr>
                <w:sz w:val="20"/>
                <w:szCs w:val="20"/>
                <w:color w:val="auto"/>
              </w:rPr>
            </w:pPr>
            <w:r>
              <w:rPr>
                <w:rFonts w:ascii="Times New Roman" w:cs="Times New Roman" w:eastAsia="Times New Roman" w:hAnsi="Times New Roman"/>
                <w:sz w:val="10"/>
                <w:szCs w:val="10"/>
                <w:color w:val="auto"/>
                <w:w w:val="96"/>
              </w:rPr>
              <w:t>06/13/2029</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8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7"/>
              </w:rPr>
              <w:t>10.75%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SOFR+615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4,704</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4,650</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4,539</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Seaway Buyer, LLC - Revolver</w:t>
            </w:r>
          </w:p>
        </w:tc>
        <w:tc>
          <w:tcPr>
            <w:tcW w:w="1040" w:type="dxa"/>
            <w:vAlign w:val="bottom"/>
          </w:tcPr>
          <w:p>
            <w:pPr>
              <w:jc w:val="center"/>
              <w:ind w:right="312"/>
              <w:spacing w:after="0"/>
              <w:rPr>
                <w:sz w:val="20"/>
                <w:szCs w:val="20"/>
                <w:color w:val="auto"/>
              </w:rPr>
            </w:pPr>
            <w:r>
              <w:rPr>
                <w:rFonts w:ascii="Times New Roman" w:cs="Times New Roman" w:eastAsia="Times New Roman" w:hAnsi="Times New Roman"/>
                <w:sz w:val="10"/>
                <w:szCs w:val="10"/>
                <w:color w:val="auto"/>
                <w:w w:val="96"/>
              </w:rPr>
              <w:t>06/13/2029</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8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10.75%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SOFR+615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313</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313</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302</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Seaway Buyer, LLC - Unfunded Revolver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right="312"/>
              <w:spacing w:after="0"/>
              <w:rPr>
                <w:sz w:val="20"/>
                <w:szCs w:val="20"/>
                <w:color w:val="auto"/>
              </w:rPr>
            </w:pPr>
            <w:r>
              <w:rPr>
                <w:rFonts w:ascii="Times New Roman" w:cs="Times New Roman" w:eastAsia="Times New Roman" w:hAnsi="Times New Roman"/>
                <w:sz w:val="10"/>
                <w:szCs w:val="10"/>
                <w:color w:val="auto"/>
                <w:w w:val="96"/>
              </w:rPr>
              <w:t>06/13/2029</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8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2,814</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(98)</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Shiftkey, LLC</w:t>
            </w:r>
          </w:p>
        </w:tc>
        <w:tc>
          <w:tcPr>
            <w:tcW w:w="1040" w:type="dxa"/>
            <w:vAlign w:val="bottom"/>
          </w:tcPr>
          <w:p>
            <w:pPr>
              <w:jc w:val="center"/>
              <w:ind w:right="312"/>
              <w:spacing w:after="0"/>
              <w:rPr>
                <w:sz w:val="20"/>
                <w:szCs w:val="20"/>
                <w:color w:val="auto"/>
              </w:rPr>
            </w:pPr>
            <w:r>
              <w:rPr>
                <w:rFonts w:ascii="Times New Roman" w:cs="Times New Roman" w:eastAsia="Times New Roman" w:hAnsi="Times New Roman"/>
                <w:sz w:val="10"/>
                <w:szCs w:val="10"/>
                <w:color w:val="auto"/>
                <w:w w:val="96"/>
              </w:rPr>
              <w:t>06/21/2027</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10.62%</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SOFR+601</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17,595</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17,478</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16,838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Sigma Defense Systems, LLC</w:t>
            </w:r>
          </w:p>
        </w:tc>
        <w:tc>
          <w:tcPr>
            <w:tcW w:w="1040" w:type="dxa"/>
            <w:vAlign w:val="bottom"/>
            <w:shd w:val="clear" w:color="auto" w:fill="CCECFF"/>
          </w:tcPr>
          <w:p>
            <w:pPr>
              <w:jc w:val="center"/>
              <w:ind w:right="312"/>
              <w:spacing w:after="0"/>
              <w:rPr>
                <w:sz w:val="20"/>
                <w:szCs w:val="20"/>
                <w:color w:val="auto"/>
              </w:rPr>
            </w:pPr>
            <w:r>
              <w:rPr>
                <w:rFonts w:ascii="Times New Roman" w:cs="Times New Roman" w:eastAsia="Times New Roman" w:hAnsi="Times New Roman"/>
                <w:sz w:val="10"/>
                <w:szCs w:val="10"/>
                <w:color w:val="auto"/>
                <w:w w:val="96"/>
              </w:rPr>
              <w:t>12/18/2027</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8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7"/>
              </w:rPr>
              <w:t>11.50%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1M SOFR+690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25,785</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25,251</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25,528</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Sigma Defense Systems, LLC - Unfunded Revolver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right="312"/>
              <w:spacing w:after="0"/>
              <w:rPr>
                <w:sz w:val="20"/>
                <w:szCs w:val="20"/>
                <w:color w:val="auto"/>
              </w:rPr>
            </w:pPr>
            <w:r>
              <w:rPr>
                <w:rFonts w:ascii="Times New Roman" w:cs="Times New Roman" w:eastAsia="Times New Roman" w:hAnsi="Times New Roman"/>
                <w:sz w:val="10"/>
                <w:szCs w:val="10"/>
                <w:color w:val="auto"/>
                <w:w w:val="96"/>
              </w:rPr>
              <w:t>12/18/2027</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80" w:type="dxa"/>
            <w:vAlign w:val="bottom"/>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3,685</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(37)</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Simplicity Financial Marketing Group Holdings Inc.</w:t>
            </w:r>
          </w:p>
        </w:tc>
        <w:tc>
          <w:tcPr>
            <w:tcW w:w="1040" w:type="dxa"/>
            <w:vAlign w:val="bottom"/>
            <w:shd w:val="clear" w:color="auto" w:fill="CCECFF"/>
          </w:tcPr>
          <w:p>
            <w:pPr>
              <w:jc w:val="center"/>
              <w:ind w:right="312"/>
              <w:spacing w:after="0"/>
              <w:rPr>
                <w:sz w:val="20"/>
                <w:szCs w:val="20"/>
                <w:color w:val="auto"/>
              </w:rPr>
            </w:pPr>
            <w:r>
              <w:rPr>
                <w:rFonts w:ascii="Times New Roman" w:cs="Times New Roman" w:eastAsia="Times New Roman" w:hAnsi="Times New Roman"/>
                <w:sz w:val="10"/>
                <w:szCs w:val="10"/>
                <w:color w:val="auto"/>
                <w:w w:val="96"/>
              </w:rPr>
              <w:t>12/02/2026</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8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7"/>
              </w:rPr>
              <w:t>10.88%</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SOFR+640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4,065</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4,054</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4,106</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w w:val="98"/>
              </w:rPr>
              <w:t xml:space="preserve">Simplicity Financial Marketing Group Holdings Inc. - Unfunded Term Loan </w:t>
            </w:r>
            <w:r>
              <w:rPr>
                <w:rFonts w:ascii="Times New Roman" w:cs="Times New Roman" w:eastAsia="Times New Roman" w:hAnsi="Times New Roman"/>
                <w:sz w:val="12"/>
                <w:szCs w:val="12"/>
                <w:color w:val="auto"/>
                <w:w w:val="98"/>
                <w:vertAlign w:val="superscript"/>
              </w:rPr>
              <w:t>(8)</w:t>
            </w:r>
          </w:p>
        </w:tc>
        <w:tc>
          <w:tcPr>
            <w:tcW w:w="1040" w:type="dxa"/>
            <w:vAlign w:val="bottom"/>
          </w:tcPr>
          <w:p>
            <w:pPr>
              <w:jc w:val="center"/>
              <w:ind w:right="312"/>
              <w:spacing w:after="0"/>
              <w:rPr>
                <w:sz w:val="20"/>
                <w:szCs w:val="20"/>
                <w:color w:val="auto"/>
              </w:rPr>
            </w:pPr>
            <w:r>
              <w:rPr>
                <w:rFonts w:ascii="Times New Roman" w:cs="Times New Roman" w:eastAsia="Times New Roman" w:hAnsi="Times New Roman"/>
                <w:sz w:val="10"/>
                <w:szCs w:val="10"/>
                <w:color w:val="auto"/>
                <w:w w:val="96"/>
              </w:rPr>
              <w:t>02/09/2026</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80" w:type="dxa"/>
            <w:vAlign w:val="bottom"/>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4,656</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93</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Simplicity Financial Marketing Group Holdings Inc. - Unfunded Revolver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right="312"/>
              <w:spacing w:after="0"/>
              <w:rPr>
                <w:sz w:val="20"/>
                <w:szCs w:val="20"/>
                <w:color w:val="auto"/>
              </w:rPr>
            </w:pPr>
            <w:r>
              <w:rPr>
                <w:rFonts w:ascii="Times New Roman" w:cs="Times New Roman" w:eastAsia="Times New Roman" w:hAnsi="Times New Roman"/>
                <w:sz w:val="10"/>
                <w:szCs w:val="10"/>
                <w:color w:val="auto"/>
                <w:w w:val="96"/>
              </w:rPr>
              <w:t>12/02/2026</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8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1,043</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Smartronix, LLC - Unfunded Revolver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right="312"/>
              <w:spacing w:after="0"/>
              <w:rPr>
                <w:sz w:val="20"/>
                <w:szCs w:val="20"/>
                <w:color w:val="auto"/>
              </w:rPr>
            </w:pPr>
            <w:r>
              <w:rPr>
                <w:rFonts w:ascii="Times New Roman" w:cs="Times New Roman" w:eastAsia="Times New Roman" w:hAnsi="Times New Roman"/>
                <w:sz w:val="10"/>
                <w:szCs w:val="10"/>
                <w:color w:val="auto"/>
                <w:w w:val="96"/>
              </w:rPr>
              <w:t>11/23/2027</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80" w:type="dxa"/>
            <w:vAlign w:val="bottom"/>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3,941</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Solutionreach, Inc. - Unfunded Revolver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right="312"/>
              <w:spacing w:after="0"/>
              <w:rPr>
                <w:sz w:val="20"/>
                <w:szCs w:val="20"/>
                <w:color w:val="auto"/>
              </w:rPr>
            </w:pPr>
            <w:r>
              <w:rPr>
                <w:rFonts w:ascii="Times New Roman" w:cs="Times New Roman" w:eastAsia="Times New Roman" w:hAnsi="Times New Roman"/>
                <w:sz w:val="10"/>
                <w:szCs w:val="10"/>
                <w:color w:val="auto"/>
                <w:w w:val="96"/>
              </w:rPr>
              <w:t>07/17/2025</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Communications</w:t>
            </w:r>
          </w:p>
        </w:tc>
        <w:tc>
          <w:tcPr>
            <w:tcW w:w="108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833</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4"/>
        </w:trPr>
        <w:tc>
          <w:tcPr>
            <w:tcW w:w="31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Spendmend Holdings LLC</w:t>
            </w:r>
          </w:p>
        </w:tc>
        <w:tc>
          <w:tcPr>
            <w:tcW w:w="1040" w:type="dxa"/>
            <w:vAlign w:val="bottom"/>
            <w:vMerge w:val="restart"/>
          </w:tcPr>
          <w:p>
            <w:pPr>
              <w:jc w:val="center"/>
              <w:ind w:right="312"/>
              <w:spacing w:after="0"/>
              <w:rPr>
                <w:sz w:val="20"/>
                <w:szCs w:val="20"/>
                <w:color w:val="auto"/>
              </w:rPr>
            </w:pPr>
            <w:r>
              <w:rPr>
                <w:rFonts w:ascii="Times New Roman" w:cs="Times New Roman" w:eastAsia="Times New Roman" w:hAnsi="Times New Roman"/>
                <w:sz w:val="10"/>
                <w:szCs w:val="10"/>
                <w:color w:val="auto"/>
                <w:w w:val="96"/>
              </w:rPr>
              <w:t>03/01/2028</w:t>
            </w: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10.25%</w:t>
            </w:r>
          </w:p>
        </w:tc>
        <w:tc>
          <w:tcPr>
            <w:tcW w:w="8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3M SOFR+565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432</w:t>
            </w:r>
          </w:p>
        </w:tc>
        <w:tc>
          <w:tcPr>
            <w:tcW w:w="200" w:type="dxa"/>
            <w:vAlign w:val="bottom"/>
          </w:tcPr>
          <w:p>
            <w:pPr>
              <w:spacing w:after="0"/>
              <w:rPr>
                <w:sz w:val="10"/>
                <w:szCs w:val="10"/>
                <w:color w:val="auto"/>
              </w:rPr>
            </w:pPr>
          </w:p>
        </w:tc>
        <w:tc>
          <w:tcPr>
            <w:tcW w:w="4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430</w:t>
            </w:r>
          </w:p>
        </w:tc>
        <w:tc>
          <w:tcPr>
            <w:tcW w:w="300" w:type="dxa"/>
            <w:vAlign w:val="bottom"/>
          </w:tcPr>
          <w:p>
            <w:pPr>
              <w:spacing w:after="0"/>
              <w:rPr>
                <w:sz w:val="10"/>
                <w:szCs w:val="10"/>
                <w:color w:val="auto"/>
              </w:rPr>
            </w:pPr>
          </w:p>
        </w:tc>
        <w:tc>
          <w:tcPr>
            <w:tcW w:w="5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432</w:t>
            </w:r>
          </w:p>
        </w:tc>
        <w:tc>
          <w:tcPr>
            <w:tcW w:w="0" w:type="dxa"/>
            <w:vAlign w:val="bottom"/>
          </w:tcPr>
          <w:p>
            <w:pPr>
              <w:spacing w:after="0"/>
              <w:rPr>
                <w:sz w:val="1"/>
                <w:szCs w:val="1"/>
                <w:color w:val="auto"/>
              </w:rPr>
            </w:pPr>
          </w:p>
        </w:tc>
      </w:tr>
      <w:tr>
        <w:trPr>
          <w:trHeight w:val="104"/>
        </w:trPr>
        <w:tc>
          <w:tcPr>
            <w:tcW w:w="31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32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Spendmend Holdings LLC - Unfunded Term Loan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right="312"/>
              <w:spacing w:after="0"/>
              <w:rPr>
                <w:sz w:val="20"/>
                <w:szCs w:val="20"/>
                <w:color w:val="auto"/>
              </w:rPr>
            </w:pPr>
            <w:r>
              <w:rPr>
                <w:rFonts w:ascii="Times New Roman" w:cs="Times New Roman" w:eastAsia="Times New Roman" w:hAnsi="Times New Roman"/>
                <w:sz w:val="10"/>
                <w:szCs w:val="10"/>
                <w:color w:val="auto"/>
                <w:w w:val="96"/>
              </w:rPr>
              <w:t>03/01/2025</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2,348</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Spendmend Holdings LLC - Revolver</w:t>
            </w:r>
          </w:p>
        </w:tc>
        <w:tc>
          <w:tcPr>
            <w:tcW w:w="1040" w:type="dxa"/>
            <w:vAlign w:val="bottom"/>
          </w:tcPr>
          <w:p>
            <w:pPr>
              <w:jc w:val="center"/>
              <w:ind w:right="312"/>
              <w:spacing w:after="0"/>
              <w:rPr>
                <w:sz w:val="20"/>
                <w:szCs w:val="20"/>
                <w:color w:val="auto"/>
              </w:rPr>
            </w:pPr>
            <w:r>
              <w:rPr>
                <w:rFonts w:ascii="Times New Roman" w:cs="Times New Roman" w:eastAsia="Times New Roman" w:hAnsi="Times New Roman"/>
                <w:sz w:val="10"/>
                <w:szCs w:val="10"/>
                <w:color w:val="auto"/>
                <w:w w:val="96"/>
              </w:rPr>
              <w:t>03/01/2028</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10.25%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SOFR+565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561</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561</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561</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Spendmend Holdings LLC - Unfunded Revolver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right="312"/>
              <w:spacing w:after="0"/>
              <w:rPr>
                <w:sz w:val="20"/>
                <w:szCs w:val="20"/>
                <w:color w:val="auto"/>
              </w:rPr>
            </w:pPr>
            <w:r>
              <w:rPr>
                <w:rFonts w:ascii="Times New Roman" w:cs="Times New Roman" w:eastAsia="Times New Roman" w:hAnsi="Times New Roman"/>
                <w:sz w:val="10"/>
                <w:szCs w:val="10"/>
                <w:color w:val="auto"/>
                <w:w w:val="96"/>
              </w:rPr>
              <w:t>03/01/2028</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841</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System Planning and Analysis, Inc.</w:t>
            </w:r>
          </w:p>
        </w:tc>
        <w:tc>
          <w:tcPr>
            <w:tcW w:w="1040" w:type="dxa"/>
            <w:vAlign w:val="bottom"/>
          </w:tcPr>
          <w:p>
            <w:pPr>
              <w:jc w:val="center"/>
              <w:ind w:right="312"/>
              <w:spacing w:after="0"/>
              <w:rPr>
                <w:sz w:val="20"/>
                <w:szCs w:val="20"/>
                <w:color w:val="auto"/>
              </w:rPr>
            </w:pPr>
            <w:r>
              <w:rPr>
                <w:rFonts w:ascii="Times New Roman" w:cs="Times New Roman" w:eastAsia="Times New Roman" w:hAnsi="Times New Roman"/>
                <w:sz w:val="10"/>
                <w:szCs w:val="10"/>
                <w:color w:val="auto"/>
                <w:w w:val="96"/>
              </w:rPr>
              <w:t>08/16/2027</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8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10.26%</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SOFR+585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1,283</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1,274</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1,280</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System Planning and Analysis, Inc. - Unfunded Term Loan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right="312"/>
              <w:spacing w:after="0"/>
              <w:rPr>
                <w:sz w:val="20"/>
                <w:szCs w:val="20"/>
                <w:color w:val="auto"/>
              </w:rPr>
            </w:pPr>
            <w:r>
              <w:rPr>
                <w:rFonts w:ascii="Times New Roman" w:cs="Times New Roman" w:eastAsia="Times New Roman" w:hAnsi="Times New Roman"/>
                <w:sz w:val="10"/>
                <w:szCs w:val="10"/>
                <w:color w:val="auto"/>
                <w:w w:val="96"/>
              </w:rPr>
              <w:t>08/16/2027</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8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7,068</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39</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System Planning and Analysis, Inc. - Funded Revolver</w:t>
            </w:r>
          </w:p>
        </w:tc>
        <w:tc>
          <w:tcPr>
            <w:tcW w:w="1040" w:type="dxa"/>
            <w:vAlign w:val="bottom"/>
          </w:tcPr>
          <w:p>
            <w:pPr>
              <w:jc w:val="center"/>
              <w:ind w:right="312"/>
              <w:spacing w:after="0"/>
              <w:rPr>
                <w:sz w:val="20"/>
                <w:szCs w:val="20"/>
                <w:color w:val="auto"/>
              </w:rPr>
            </w:pPr>
            <w:r>
              <w:rPr>
                <w:rFonts w:ascii="Times New Roman" w:cs="Times New Roman" w:eastAsia="Times New Roman" w:hAnsi="Times New Roman"/>
                <w:sz w:val="10"/>
                <w:szCs w:val="10"/>
                <w:color w:val="auto"/>
                <w:w w:val="96"/>
              </w:rPr>
              <w:t>08/16/2027</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8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rPr>
              <w:t>9.59%</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SOFR+515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921</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921</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919</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System Planning and Analysis, Inc. - Unfunded Revolver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right="312"/>
              <w:spacing w:after="0"/>
              <w:rPr>
                <w:sz w:val="20"/>
                <w:szCs w:val="20"/>
                <w:color w:val="auto"/>
              </w:rPr>
            </w:pPr>
            <w:r>
              <w:rPr>
                <w:rFonts w:ascii="Times New Roman" w:cs="Times New Roman" w:eastAsia="Times New Roman" w:hAnsi="Times New Roman"/>
                <w:sz w:val="10"/>
                <w:szCs w:val="10"/>
                <w:color w:val="auto"/>
                <w:w w:val="96"/>
              </w:rPr>
              <w:t>08/16/2027</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8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3,795</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(8)</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TCG 3.0 Jogger Acquisitionco, Inc.</w:t>
            </w:r>
          </w:p>
        </w:tc>
        <w:tc>
          <w:tcPr>
            <w:tcW w:w="1040" w:type="dxa"/>
            <w:vAlign w:val="bottom"/>
          </w:tcPr>
          <w:p>
            <w:pPr>
              <w:jc w:val="center"/>
              <w:ind w:right="312"/>
              <w:spacing w:after="0"/>
              <w:rPr>
                <w:sz w:val="20"/>
                <w:szCs w:val="20"/>
                <w:color w:val="auto"/>
              </w:rPr>
            </w:pPr>
            <w:r>
              <w:rPr>
                <w:rFonts w:ascii="Times New Roman" w:cs="Times New Roman" w:eastAsia="Times New Roman" w:hAnsi="Times New Roman"/>
                <w:sz w:val="10"/>
                <w:szCs w:val="10"/>
                <w:color w:val="auto"/>
                <w:w w:val="96"/>
              </w:rPr>
              <w:t>01/26/2029</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08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11.10%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SOFR+650</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8,955</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8,814</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8,865</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TCG 3.0 Jogger Acquisitionco, Inc. - Unfunded Revolver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right="312"/>
              <w:spacing w:after="0"/>
              <w:rPr>
                <w:sz w:val="20"/>
                <w:szCs w:val="20"/>
                <w:color w:val="auto"/>
              </w:rPr>
            </w:pPr>
            <w:r>
              <w:rPr>
                <w:rFonts w:ascii="Times New Roman" w:cs="Times New Roman" w:eastAsia="Times New Roman" w:hAnsi="Times New Roman"/>
                <w:sz w:val="10"/>
                <w:szCs w:val="10"/>
                <w:color w:val="auto"/>
                <w:w w:val="96"/>
              </w:rPr>
              <w:t>01/26/2029</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08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1,725</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(17)</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The Bluebird Group LLC - Revolver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right="312"/>
              <w:spacing w:after="0"/>
              <w:rPr>
                <w:sz w:val="20"/>
                <w:szCs w:val="20"/>
                <w:color w:val="auto"/>
              </w:rPr>
            </w:pPr>
            <w:r>
              <w:rPr>
                <w:rFonts w:ascii="Times New Roman" w:cs="Times New Roman" w:eastAsia="Times New Roman" w:hAnsi="Times New Roman"/>
                <w:sz w:val="10"/>
                <w:szCs w:val="10"/>
                <w:color w:val="auto"/>
                <w:w w:val="96"/>
              </w:rPr>
              <w:t>07/27/2026</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734</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The Vertex Companies, LLC</w:t>
            </w:r>
          </w:p>
        </w:tc>
        <w:tc>
          <w:tcPr>
            <w:tcW w:w="1040" w:type="dxa"/>
            <w:vAlign w:val="bottom"/>
            <w:shd w:val="clear" w:color="auto" w:fill="CCECFF"/>
          </w:tcPr>
          <w:p>
            <w:pPr>
              <w:jc w:val="center"/>
              <w:ind w:right="312"/>
              <w:spacing w:after="0"/>
              <w:rPr>
                <w:sz w:val="20"/>
                <w:szCs w:val="20"/>
                <w:color w:val="auto"/>
              </w:rPr>
            </w:pPr>
            <w:r>
              <w:rPr>
                <w:rFonts w:ascii="Times New Roman" w:cs="Times New Roman" w:eastAsia="Times New Roman" w:hAnsi="Times New Roman"/>
                <w:sz w:val="10"/>
                <w:szCs w:val="10"/>
                <w:color w:val="auto"/>
                <w:w w:val="96"/>
              </w:rPr>
              <w:t>08/30/2027</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7"/>
              </w:rPr>
              <w:t>11.27%</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SOFR+635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184</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181</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185</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The Vertex Companies, LLC - Revolver</w:t>
            </w:r>
          </w:p>
        </w:tc>
        <w:tc>
          <w:tcPr>
            <w:tcW w:w="1040" w:type="dxa"/>
            <w:vAlign w:val="bottom"/>
          </w:tcPr>
          <w:p>
            <w:pPr>
              <w:jc w:val="center"/>
              <w:ind w:right="312"/>
              <w:spacing w:after="0"/>
              <w:rPr>
                <w:sz w:val="20"/>
                <w:szCs w:val="20"/>
                <w:color w:val="auto"/>
              </w:rPr>
            </w:pPr>
            <w:r>
              <w:rPr>
                <w:rFonts w:ascii="Times New Roman" w:cs="Times New Roman" w:eastAsia="Times New Roman" w:hAnsi="Times New Roman"/>
                <w:sz w:val="10"/>
                <w:szCs w:val="10"/>
                <w:color w:val="auto"/>
                <w:w w:val="96"/>
              </w:rPr>
              <w:t>08/30/2027</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10.95%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SOFR+610</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305</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305</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305</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The Vertex Companies, LLC - Unfunded Revolver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right="312"/>
              <w:spacing w:after="0"/>
              <w:rPr>
                <w:sz w:val="20"/>
                <w:szCs w:val="20"/>
                <w:color w:val="auto"/>
              </w:rPr>
            </w:pPr>
            <w:r>
              <w:rPr>
                <w:rFonts w:ascii="Times New Roman" w:cs="Times New Roman" w:eastAsia="Times New Roman" w:hAnsi="Times New Roman"/>
                <w:sz w:val="10"/>
                <w:szCs w:val="10"/>
                <w:color w:val="auto"/>
                <w:w w:val="96"/>
              </w:rPr>
              <w:t>08/30/2027</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435</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20"/>
        </w:trPr>
        <w:tc>
          <w:tcPr>
            <w:tcW w:w="30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22"/>
        </w:trPr>
        <w:tc>
          <w:tcPr>
            <w:tcW w:w="30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180" w:type="dxa"/>
            <w:vAlign w:val="bottom"/>
          </w:tcPr>
          <w:p>
            <w:pPr>
              <w:jc w:val="center"/>
              <w:ind w:right="152"/>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100" w:type="dxa"/>
            <w:vAlign w:val="bottom"/>
          </w:tcPr>
          <w:p>
            <w:pPr>
              <w:jc w:val="center"/>
              <w:ind w:left="29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00" w:type="dxa"/>
            <w:vAlign w:val="bottom"/>
          </w:tcPr>
          <w:p>
            <w:pPr>
              <w:spacing w:after="0"/>
              <w:rPr>
                <w:sz w:val="10"/>
                <w:szCs w:val="10"/>
                <w:color w:val="auto"/>
              </w:rPr>
            </w:pPr>
          </w:p>
        </w:tc>
        <w:tc>
          <w:tcPr>
            <w:tcW w:w="46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800" w:type="dxa"/>
            <w:vAlign w:val="bottom"/>
            <w:gridSpan w:val="2"/>
          </w:tcPr>
          <w:p>
            <w:pPr>
              <w:jc w:val="right"/>
              <w:ind w:right="7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(3)</w:t>
            </w: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TPCN Midco, LLC</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06/26/2029</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7"/>
              </w:rPr>
              <w:t>10.35%</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3M SOFR+575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3,990</w:t>
            </w:r>
          </w:p>
        </w:tc>
        <w:tc>
          <w:tcPr>
            <w:tcW w:w="2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3,931</w:t>
            </w:r>
          </w:p>
        </w:tc>
        <w:tc>
          <w:tcPr>
            <w:tcW w:w="2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3,894</w:t>
            </w: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TPCN Midco, LLC - Unfunded Term Loan </w:t>
            </w:r>
            <w:r>
              <w:rPr>
                <w:rFonts w:ascii="Times New Roman" w:cs="Times New Roman" w:eastAsia="Times New Roman" w:hAnsi="Times New Roman"/>
                <w:sz w:val="12"/>
                <w:szCs w:val="12"/>
                <w:color w:val="auto"/>
                <w:vertAlign w:val="superscript"/>
              </w:rPr>
              <w:t>(8)</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06/26/2026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110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5,894</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(83)</w:t>
            </w: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TPCN Midco, LLC - Unfunded Revolver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06/26/2029</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(28)</w:t>
            </w:r>
          </w:p>
        </w:tc>
      </w:tr>
      <w:tr>
        <w:trPr>
          <w:trHeight w:val="120"/>
        </w:trPr>
        <w:tc>
          <w:tcPr>
            <w:tcW w:w="30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TransGo, LLC</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12/29/2028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Machinery</w:t>
            </w: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7"/>
              </w:rPr>
              <w:t>10.60%</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3M SOFR+575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4,638</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4,573</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4,638</w:t>
            </w: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TransGo, LLC - Revolver </w:t>
            </w:r>
            <w:r>
              <w:rPr>
                <w:rFonts w:ascii="Times New Roman" w:cs="Times New Roman" w:eastAsia="Times New Roman" w:hAnsi="Times New Roman"/>
                <w:sz w:val="12"/>
                <w:szCs w:val="12"/>
                <w:color w:val="auto"/>
                <w:vertAlign w:val="superscript"/>
              </w:rPr>
              <w:t>(8)</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12/29/2028</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Machinery</w:t>
            </w:r>
          </w:p>
        </w:tc>
        <w:tc>
          <w:tcPr>
            <w:tcW w:w="110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2,775</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22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06/16/2025</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7"/>
              </w:rPr>
              <w:t>11.33%</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3M SOFR+640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1,301</w:t>
            </w:r>
          </w:p>
        </w:tc>
        <w:tc>
          <w:tcPr>
            <w:tcW w:w="200" w:type="dxa"/>
            <w:vAlign w:val="bottom"/>
            <w:shd w:val="clear" w:color="auto" w:fill="CCECFF"/>
          </w:tcPr>
          <w:p>
            <w:pPr>
              <w:spacing w:after="0"/>
              <w:rPr>
                <w:sz w:val="19"/>
                <w:szCs w:val="19"/>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1,299</w:t>
            </w:r>
          </w:p>
        </w:tc>
        <w:tc>
          <w:tcPr>
            <w:tcW w:w="280" w:type="dxa"/>
            <w:vAlign w:val="bottom"/>
            <w:shd w:val="clear" w:color="auto" w:fill="CCECFF"/>
          </w:tcPr>
          <w:p>
            <w:pPr>
              <w:spacing w:after="0"/>
              <w:rPr>
                <w:sz w:val="19"/>
                <w:szCs w:val="19"/>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1,301</w:t>
            </w: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TWS Acquisition Corporation - Revolver </w:t>
            </w:r>
            <w:r>
              <w:rPr>
                <w:rFonts w:ascii="Times New Roman" w:cs="Times New Roman" w:eastAsia="Times New Roman" w:hAnsi="Times New Roman"/>
                <w:sz w:val="12"/>
                <w:szCs w:val="12"/>
                <w:color w:val="auto"/>
                <w:vertAlign w:val="superscript"/>
              </w:rPr>
              <w:t>(8)</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06/16/2025</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110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1,644</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06/15/2027</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7"/>
              </w:rPr>
              <w:t>10.66%</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3M SOFR+550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576</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573</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570</w:t>
            </w: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Urology Management Holdings, Inc. - Unfunded Term Loan A </w:t>
            </w:r>
            <w:r>
              <w:rPr>
                <w:rFonts w:ascii="Times New Roman" w:cs="Times New Roman" w:eastAsia="Times New Roman" w:hAnsi="Times New Roman"/>
                <w:sz w:val="12"/>
                <w:szCs w:val="12"/>
                <w:color w:val="auto"/>
                <w:vertAlign w:val="superscript"/>
              </w:rPr>
              <w:t>(8)</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09/03/2026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0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Watchtower Intermediate, LLC</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12/01/2029</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7"/>
              </w:rPr>
              <w:t>10.60%</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3M SOFR+600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7,301</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7,201</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7,228</w:t>
            </w: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Watchtower Intermediate, LLC. - Unfunded Term Loan </w:t>
            </w:r>
            <w:r>
              <w:rPr>
                <w:rFonts w:ascii="Times New Roman" w:cs="Times New Roman" w:eastAsia="Times New Roman" w:hAnsi="Times New Roman"/>
                <w:sz w:val="12"/>
                <w:szCs w:val="12"/>
                <w:color w:val="auto"/>
                <w:vertAlign w:val="superscript"/>
              </w:rPr>
              <w:t>(8)</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12/01/2025</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10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w:t>
            </w: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Watchtower Intermediate, LLC. - Revolver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12/01/2029</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6,300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(63)</w:t>
            </w:r>
          </w:p>
        </w:tc>
      </w:tr>
      <w:tr>
        <w:trPr>
          <w:trHeight w:val="12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Wildcat Buyerco, Inc.</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02/27/2027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10.60%</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3M SOFR+575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4,585</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4,551</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4,585</w:t>
            </w: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Wildcat Buyerco, Inc. - Unfunded Term Loan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02/27/2027</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2,737</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27</w:t>
            </w: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Wildcat Buyerco, Inc. - Revolver </w:t>
            </w:r>
            <w:r>
              <w:rPr>
                <w:rFonts w:ascii="Times New Roman" w:cs="Times New Roman" w:eastAsia="Times New Roman" w:hAnsi="Times New Roman"/>
                <w:sz w:val="12"/>
                <w:szCs w:val="12"/>
                <w:color w:val="auto"/>
                <w:vertAlign w:val="superscript"/>
              </w:rPr>
              <w:t>(8)</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02/27/2027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10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551</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Zips Car Wash, LLC</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12/31/2024</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7"/>
              </w:rPr>
              <w:t>12.46%</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3M SOFR+740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2,590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2,586</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2,473</w:t>
            </w:r>
          </w:p>
        </w:tc>
      </w:tr>
      <w:tr>
        <w:trPr>
          <w:trHeight w:val="120"/>
        </w:trPr>
        <w:tc>
          <w:tcPr>
            <w:tcW w:w="3020" w:type="dxa"/>
            <w:vAlign w:val="bottom"/>
            <w:shd w:val="clear" w:color="auto" w:fill="CCECFF"/>
          </w:tcPr>
          <w:p>
            <w:pPr>
              <w:spacing w:after="0"/>
              <w:rPr>
                <w:sz w:val="10"/>
                <w:szCs w:val="10"/>
                <w:color w:val="auto"/>
              </w:rPr>
            </w:pPr>
          </w:p>
        </w:tc>
        <w:tc>
          <w:tcPr>
            <w:tcW w:w="1180" w:type="dxa"/>
            <w:vAlign w:val="bottom"/>
            <w:shd w:val="clear" w:color="auto" w:fill="CCECFF"/>
          </w:tcPr>
          <w:p>
            <w:pPr>
              <w:spacing w:after="0"/>
              <w:rPr>
                <w:sz w:val="10"/>
                <w:szCs w:val="10"/>
                <w:color w:val="auto"/>
              </w:rPr>
            </w:pPr>
          </w:p>
        </w:tc>
        <w:tc>
          <w:tcPr>
            <w:tcW w:w="2300" w:type="dxa"/>
            <w:vAlign w:val="bottom"/>
            <w:shd w:val="clear" w:color="auto" w:fill="CCECFF"/>
          </w:tcPr>
          <w:p>
            <w:pPr>
              <w:spacing w:after="0"/>
              <w:rPr>
                <w:sz w:val="10"/>
                <w:szCs w:val="10"/>
                <w:color w:val="auto"/>
              </w:rPr>
            </w:pPr>
          </w:p>
        </w:tc>
        <w:tc>
          <w:tcPr>
            <w:tcW w:w="1100" w:type="dxa"/>
            <w:vAlign w:val="bottom"/>
            <w:shd w:val="clear" w:color="auto" w:fill="CCECFF"/>
          </w:tcPr>
          <w:p>
            <w:pPr>
              <w:jc w:val="center"/>
              <w:ind w:left="292"/>
              <w:spacing w:after="0"/>
              <w:rPr>
                <w:sz w:val="20"/>
                <w:szCs w:val="20"/>
                <w:color w:val="auto"/>
              </w:rPr>
            </w:pPr>
            <w:r>
              <w:rPr>
                <w:rFonts w:ascii="Times New Roman" w:cs="Times New Roman" w:eastAsia="Times New Roman" w:hAnsi="Times New Roman"/>
                <w:sz w:val="10"/>
                <w:szCs w:val="10"/>
                <w:color w:val="auto"/>
                <w:w w:val="95"/>
              </w:rPr>
              <w:t>(PIK 1.5%)</w:t>
            </w:r>
          </w:p>
        </w:tc>
        <w:tc>
          <w:tcPr>
            <w:tcW w:w="8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r>
      <w:tr>
        <w:trPr>
          <w:trHeight w:val="120"/>
        </w:trPr>
        <w:tc>
          <w:tcPr>
            <w:tcW w:w="30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1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579,813</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557,686</w:t>
            </w: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Second Lien Secured Debt - 13.6% of Net Assets</w:t>
            </w:r>
          </w:p>
        </w:tc>
        <w:tc>
          <w:tcPr>
            <w:tcW w:w="1180" w:type="dxa"/>
            <w:vAlign w:val="bottom"/>
            <w:shd w:val="clear" w:color="auto" w:fill="CCECFF"/>
          </w:tcPr>
          <w:p>
            <w:pPr>
              <w:spacing w:after="0"/>
              <w:rPr>
                <w:sz w:val="10"/>
                <w:szCs w:val="10"/>
                <w:color w:val="auto"/>
              </w:rPr>
            </w:pPr>
          </w:p>
        </w:tc>
        <w:tc>
          <w:tcPr>
            <w:tcW w:w="2300" w:type="dxa"/>
            <w:vAlign w:val="bottom"/>
            <w:shd w:val="clear" w:color="auto" w:fill="CCECFF"/>
          </w:tcPr>
          <w:p>
            <w:pPr>
              <w:spacing w:after="0"/>
              <w:rPr>
                <w:sz w:val="10"/>
                <w:szCs w:val="10"/>
                <w:color w:val="auto"/>
              </w:rPr>
            </w:pPr>
          </w:p>
        </w:tc>
        <w:tc>
          <w:tcPr>
            <w:tcW w:w="11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r>
      <w:tr>
        <w:trPr>
          <w:trHeight w:val="12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Best Practice Associates LLC</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06/29/2027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13.95%</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3M SOFR+915</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17,825</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17,606</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17,647</w:t>
            </w: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07/28/2030</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7"/>
              </w:rPr>
              <w:t>14.19%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3M SOFR+910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8,000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7,698</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8,000</w:t>
            </w:r>
          </w:p>
        </w:tc>
      </w:tr>
      <w:tr>
        <w:trPr>
          <w:trHeight w:val="12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ENC Parent Corporation - Second Lien</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08/19/2029</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12.37%</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3M SOFR+776</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7,500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7,444</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6,225</w:t>
            </w: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Halo Buyer, Inc.</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07/06/2026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7"/>
              </w:rPr>
              <w:t>13.20%</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1M SOFR+835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32,500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32,299</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31,931</w:t>
            </w:r>
          </w:p>
        </w:tc>
      </w:tr>
      <w:tr>
        <w:trPr>
          <w:trHeight w:val="12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Team Services Group, LLC</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12/18/2028</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14.51%</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3M SOFR+926</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3,429</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3,422</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3,377</w:t>
            </w: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Second Lien Secured Debt</w:t>
            </w:r>
          </w:p>
        </w:tc>
        <w:tc>
          <w:tcPr>
            <w:tcW w:w="1180" w:type="dxa"/>
            <w:vAlign w:val="bottom"/>
            <w:shd w:val="clear" w:color="auto" w:fill="CCECFF"/>
          </w:tcPr>
          <w:p>
            <w:pPr>
              <w:spacing w:after="0"/>
              <w:rPr>
                <w:sz w:val="10"/>
                <w:szCs w:val="10"/>
                <w:color w:val="auto"/>
              </w:rPr>
            </w:pPr>
          </w:p>
        </w:tc>
        <w:tc>
          <w:tcPr>
            <w:tcW w:w="2300" w:type="dxa"/>
            <w:vAlign w:val="bottom"/>
            <w:shd w:val="clear" w:color="auto" w:fill="CCECFF"/>
          </w:tcPr>
          <w:p>
            <w:pPr>
              <w:spacing w:after="0"/>
              <w:rPr>
                <w:sz w:val="10"/>
                <w:szCs w:val="10"/>
                <w:color w:val="auto"/>
              </w:rPr>
            </w:pPr>
          </w:p>
        </w:tc>
        <w:tc>
          <w:tcPr>
            <w:tcW w:w="11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68,469</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67,180</w:t>
            </w:r>
          </w:p>
        </w:tc>
      </w:tr>
      <w:tr>
        <w:trPr>
          <w:trHeight w:val="120"/>
        </w:trPr>
        <w:tc>
          <w:tcPr>
            <w:tcW w:w="30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Subordinate Debt/Corporate Notes - 8.8% of Net Assets</w:t>
            </w:r>
          </w:p>
        </w:tc>
        <w:tc>
          <w:tcPr>
            <w:tcW w:w="11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Beacon Behavioral Holdings LLC</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06/21/2030</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7"/>
              </w:rPr>
              <w:t>15.00%</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3,235</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3,189</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3,187</w:t>
            </w:r>
          </w:p>
        </w:tc>
      </w:tr>
      <w:tr>
        <w:trPr>
          <w:trHeight w:val="132"/>
        </w:trPr>
        <w:tc>
          <w:tcPr>
            <w:tcW w:w="3020" w:type="dxa"/>
            <w:vAlign w:val="bottom"/>
            <w:shd w:val="clear" w:color="auto" w:fill="CCECFF"/>
          </w:tcPr>
          <w:p>
            <w:pPr>
              <w:spacing w:after="0"/>
              <w:rPr>
                <w:sz w:val="11"/>
                <w:szCs w:val="11"/>
                <w:color w:val="auto"/>
              </w:rPr>
            </w:pPr>
          </w:p>
        </w:tc>
        <w:tc>
          <w:tcPr>
            <w:tcW w:w="1180" w:type="dxa"/>
            <w:vAlign w:val="bottom"/>
            <w:shd w:val="clear" w:color="auto" w:fill="CCECFF"/>
          </w:tcPr>
          <w:p>
            <w:pPr>
              <w:spacing w:after="0"/>
              <w:rPr>
                <w:sz w:val="11"/>
                <w:szCs w:val="11"/>
                <w:color w:val="auto"/>
              </w:rPr>
            </w:pPr>
          </w:p>
        </w:tc>
        <w:tc>
          <w:tcPr>
            <w:tcW w:w="2300" w:type="dxa"/>
            <w:vAlign w:val="bottom"/>
            <w:shd w:val="clear" w:color="auto" w:fill="CCECFF"/>
          </w:tcPr>
          <w:p>
            <w:pPr>
              <w:spacing w:after="0"/>
              <w:rPr>
                <w:sz w:val="11"/>
                <w:szCs w:val="11"/>
                <w:color w:val="auto"/>
              </w:rPr>
            </w:pP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6"/>
              </w:rPr>
              <w:t>(PIK 15.00%)</w:t>
            </w:r>
          </w:p>
        </w:tc>
        <w:tc>
          <w:tcPr>
            <w:tcW w:w="80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r>
      <w:tr>
        <w:trPr>
          <w:trHeight w:val="121"/>
        </w:trPr>
        <w:tc>
          <w:tcPr>
            <w:tcW w:w="30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3M</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2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Express Wash Acquisition Company, LLC</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01/15/2029</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16.37%</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SOFR+1226</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24,284</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23,710</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24,138</w:t>
            </w:r>
          </w:p>
        </w:tc>
      </w:tr>
      <w:tr>
        <w:trPr>
          <w:trHeight w:val="120"/>
        </w:trPr>
        <w:tc>
          <w:tcPr>
            <w:tcW w:w="30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6"/>
              </w:rPr>
              <w:t>(PIK 16.37%)</w:t>
            </w: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Northwinds Topco, Inc.</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10/30/2029</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Services</w:t>
            </w: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7"/>
              </w:rPr>
              <w:t>15.00%</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7,123</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7,020</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6,944</w:t>
            </w:r>
          </w:p>
        </w:tc>
      </w:tr>
      <w:tr>
        <w:trPr>
          <w:trHeight w:val="120"/>
        </w:trPr>
        <w:tc>
          <w:tcPr>
            <w:tcW w:w="3020" w:type="dxa"/>
            <w:vAlign w:val="bottom"/>
            <w:shd w:val="clear" w:color="auto" w:fill="CCECFF"/>
          </w:tcPr>
          <w:p>
            <w:pPr>
              <w:spacing w:after="0"/>
              <w:rPr>
                <w:sz w:val="10"/>
                <w:szCs w:val="10"/>
                <w:color w:val="auto"/>
              </w:rPr>
            </w:pPr>
          </w:p>
        </w:tc>
        <w:tc>
          <w:tcPr>
            <w:tcW w:w="1180" w:type="dxa"/>
            <w:vAlign w:val="bottom"/>
            <w:shd w:val="clear" w:color="auto" w:fill="CCECFF"/>
          </w:tcPr>
          <w:p>
            <w:pPr>
              <w:spacing w:after="0"/>
              <w:rPr>
                <w:sz w:val="10"/>
                <w:szCs w:val="10"/>
                <w:color w:val="auto"/>
              </w:rPr>
            </w:pPr>
          </w:p>
        </w:tc>
        <w:tc>
          <w:tcPr>
            <w:tcW w:w="2300" w:type="dxa"/>
            <w:vAlign w:val="bottom"/>
            <w:shd w:val="clear" w:color="auto" w:fill="CCECFF"/>
          </w:tcPr>
          <w:p>
            <w:pPr>
              <w:spacing w:after="0"/>
              <w:rPr>
                <w:sz w:val="10"/>
                <w:szCs w:val="10"/>
                <w:color w:val="auto"/>
              </w:rPr>
            </w:pP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6"/>
              </w:rPr>
              <w:t>(PIK 15.00%)</w:t>
            </w:r>
          </w:p>
        </w:tc>
        <w:tc>
          <w:tcPr>
            <w:tcW w:w="8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Northwinds Topco, Inc. - Unfunded Term Loan </w:t>
            </w:r>
            <w:r>
              <w:rPr>
                <w:rFonts w:ascii="Times New Roman" w:cs="Times New Roman" w:eastAsia="Times New Roman" w:hAnsi="Times New Roman"/>
                <w:sz w:val="12"/>
                <w:szCs w:val="12"/>
                <w:color w:val="auto"/>
                <w:vertAlign w:val="superscript"/>
              </w:rPr>
              <w:t>(8)</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10/30/2029</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Services</w:t>
            </w:r>
          </w:p>
        </w:tc>
        <w:tc>
          <w:tcPr>
            <w:tcW w:w="110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7,000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(175)</w:t>
            </w: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ORL Holdco, Inc. - Convertible Notes</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03/08/2028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7"/>
              </w:rPr>
              <w:t>18.00%</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w:t>
            </w: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ORL Holdco, Inc. - Unfunded Convertible Notes </w:t>
            </w:r>
            <w:r>
              <w:rPr>
                <w:rFonts w:ascii="Times New Roman" w:cs="Times New Roman" w:eastAsia="Times New Roman" w:hAnsi="Times New Roman"/>
                <w:sz w:val="12"/>
                <w:szCs w:val="12"/>
                <w:color w:val="auto"/>
                <w:vertAlign w:val="superscript"/>
              </w:rPr>
              <w:t>(8)</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03/08/2028</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0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w:t>
            </w: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Schlesinger Global, LLC - Promissory Note</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01/08/2026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7"/>
              </w:rPr>
              <w:t>12.33%</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3M SOFR+700</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w:t>
            </w:r>
          </w:p>
        </w:tc>
      </w:tr>
      <w:tr>
        <w:trPr>
          <w:trHeight w:val="120"/>
        </w:trPr>
        <w:tc>
          <w:tcPr>
            <w:tcW w:w="3020" w:type="dxa"/>
            <w:vAlign w:val="bottom"/>
            <w:shd w:val="clear" w:color="auto" w:fill="CCECFF"/>
          </w:tcPr>
          <w:p>
            <w:pPr>
              <w:spacing w:after="0"/>
              <w:rPr>
                <w:sz w:val="10"/>
                <w:szCs w:val="10"/>
                <w:color w:val="auto"/>
              </w:rPr>
            </w:pPr>
          </w:p>
        </w:tc>
        <w:tc>
          <w:tcPr>
            <w:tcW w:w="1180" w:type="dxa"/>
            <w:vAlign w:val="bottom"/>
            <w:shd w:val="clear" w:color="auto" w:fill="CCECFF"/>
          </w:tcPr>
          <w:p>
            <w:pPr>
              <w:spacing w:after="0"/>
              <w:rPr>
                <w:sz w:val="10"/>
                <w:szCs w:val="10"/>
                <w:color w:val="auto"/>
              </w:rPr>
            </w:pPr>
          </w:p>
        </w:tc>
        <w:tc>
          <w:tcPr>
            <w:tcW w:w="2300" w:type="dxa"/>
            <w:vAlign w:val="bottom"/>
            <w:shd w:val="clear" w:color="auto" w:fill="CCECFF"/>
          </w:tcPr>
          <w:p>
            <w:pPr>
              <w:spacing w:after="0"/>
              <w:rPr>
                <w:sz w:val="10"/>
                <w:szCs w:val="10"/>
                <w:color w:val="auto"/>
              </w:rPr>
            </w:pP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6"/>
              </w:rPr>
              <w:t>(PIK 11.85%)</w:t>
            </w:r>
          </w:p>
        </w:tc>
        <w:tc>
          <w:tcPr>
            <w:tcW w:w="8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r>
      <w:tr>
        <w:trPr>
          <w:trHeight w:val="12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StoicLane, Inc. - Convertible Notes</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08/15/2027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12.00%</w:t>
            </w:r>
          </w:p>
        </w:tc>
        <w:tc>
          <w:tcPr>
            <w:tcW w:w="8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612</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612</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612</w:t>
            </w: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StoicLane, Inc. - Unfunded Convertible Notes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08/15/2027</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612</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United Land Services Intermediate Parent Holdings, LLC</w:t>
            </w:r>
          </w:p>
        </w:tc>
        <w:tc>
          <w:tcPr>
            <w:tcW w:w="118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6"/>
              </w:rPr>
              <w:t>12/23/2026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14.25%</w:t>
            </w:r>
          </w:p>
        </w:tc>
        <w:tc>
          <w:tcPr>
            <w:tcW w:w="8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9,300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9,120</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9,021</w:t>
            </w:r>
          </w:p>
        </w:tc>
      </w:tr>
      <w:tr>
        <w:trPr>
          <w:trHeight w:val="120"/>
        </w:trPr>
        <w:tc>
          <w:tcPr>
            <w:tcW w:w="30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6"/>
              </w:rPr>
              <w:t>(PIK 14.25%)</w:t>
            </w: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21"/>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w w:val="98"/>
              </w:rPr>
              <w:t>United Land Services Intermediate Parent Holdings, LLC - Unfunded Term</w:t>
            </w:r>
          </w:p>
        </w:tc>
        <w:tc>
          <w:tcPr>
            <w:tcW w:w="1180" w:type="dxa"/>
            <w:vAlign w:val="bottom"/>
            <w:shd w:val="clear" w:color="auto" w:fill="CCECFF"/>
          </w:tcPr>
          <w:p>
            <w:pPr>
              <w:spacing w:after="0"/>
              <w:rPr>
                <w:sz w:val="10"/>
                <w:szCs w:val="10"/>
                <w:color w:val="auto"/>
              </w:rPr>
            </w:pPr>
          </w:p>
        </w:tc>
        <w:tc>
          <w:tcPr>
            <w:tcW w:w="2300" w:type="dxa"/>
            <w:vAlign w:val="bottom"/>
            <w:shd w:val="clear" w:color="auto" w:fill="CCECFF"/>
          </w:tcPr>
          <w:p>
            <w:pPr>
              <w:spacing w:after="0"/>
              <w:rPr>
                <w:sz w:val="10"/>
                <w:szCs w:val="10"/>
                <w:color w:val="auto"/>
              </w:rPr>
            </w:pPr>
          </w:p>
        </w:tc>
        <w:tc>
          <w:tcPr>
            <w:tcW w:w="11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Loan </w:t>
            </w:r>
            <w:r>
              <w:rPr>
                <w:rFonts w:ascii="Times New Roman" w:cs="Times New Roman" w:eastAsia="Times New Roman" w:hAnsi="Times New Roman"/>
                <w:sz w:val="12"/>
                <w:szCs w:val="12"/>
                <w:color w:val="auto"/>
                <w:vertAlign w:val="superscript"/>
              </w:rPr>
              <w:t>(8)</w:t>
            </w:r>
          </w:p>
        </w:tc>
        <w:tc>
          <w:tcPr>
            <w:tcW w:w="118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color w:val="auto"/>
                <w:w w:val="96"/>
              </w:rPr>
              <w:t>07/12/2025</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9,000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(135)</w:t>
            </w:r>
          </w:p>
        </w:tc>
      </w:tr>
      <w:tr>
        <w:trPr>
          <w:trHeight w:val="120"/>
        </w:trPr>
        <w:tc>
          <w:tcPr>
            <w:tcW w:w="30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Subordinate Debt</w:t>
            </w:r>
          </w:p>
        </w:tc>
        <w:tc>
          <w:tcPr>
            <w:tcW w:w="11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43,658</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43,597</w:t>
            </w: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Preferred Equity/Partnership Interests - 3.5% of Net Assets </w:t>
            </w:r>
            <w:r>
              <w:rPr>
                <w:rFonts w:ascii="Times New Roman" w:cs="Times New Roman" w:eastAsia="Times New Roman" w:hAnsi="Times New Roman"/>
                <w:sz w:val="12"/>
                <w:szCs w:val="12"/>
                <w:b w:val="1"/>
                <w:bCs w:val="1"/>
                <w:color w:val="auto"/>
                <w:vertAlign w:val="superscript"/>
              </w:rPr>
              <w:t>(6)</w:t>
            </w:r>
          </w:p>
        </w:tc>
        <w:tc>
          <w:tcPr>
            <w:tcW w:w="1180" w:type="dxa"/>
            <w:vAlign w:val="bottom"/>
            <w:shd w:val="clear" w:color="auto" w:fill="CCECFF"/>
          </w:tcPr>
          <w:p>
            <w:pPr>
              <w:spacing w:after="0"/>
              <w:rPr>
                <w:sz w:val="10"/>
                <w:szCs w:val="10"/>
                <w:color w:val="auto"/>
              </w:rPr>
            </w:pPr>
          </w:p>
        </w:tc>
        <w:tc>
          <w:tcPr>
            <w:tcW w:w="2300" w:type="dxa"/>
            <w:vAlign w:val="bottom"/>
            <w:shd w:val="clear" w:color="auto" w:fill="CCECFF"/>
          </w:tcPr>
          <w:p>
            <w:pPr>
              <w:spacing w:after="0"/>
              <w:rPr>
                <w:sz w:val="10"/>
                <w:szCs w:val="10"/>
                <w:color w:val="auto"/>
              </w:rPr>
            </w:pPr>
          </w:p>
        </w:tc>
        <w:tc>
          <w:tcPr>
            <w:tcW w:w="11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r>
      <w:tr>
        <w:trPr>
          <w:trHeight w:val="12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Accounting Platform Blocker, Inc. - Preferred Equity</w:t>
            </w:r>
          </w:p>
        </w:tc>
        <w:tc>
          <w:tcPr>
            <w:tcW w:w="1180" w:type="dxa"/>
            <w:vAlign w:val="bottom"/>
          </w:tcPr>
          <w:p>
            <w:pPr>
              <w:spacing w:after="0"/>
              <w:rPr>
                <w:sz w:val="10"/>
                <w:szCs w:val="10"/>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10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356,200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356</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356</w:t>
            </w: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Ad.net Holdings, Inc.</w:t>
            </w:r>
          </w:p>
        </w:tc>
        <w:tc>
          <w:tcPr>
            <w:tcW w:w="1180" w:type="dxa"/>
            <w:vAlign w:val="bottom"/>
            <w:shd w:val="clear" w:color="auto" w:fill="CCECFF"/>
          </w:tcPr>
          <w:p>
            <w:pPr>
              <w:spacing w:after="0"/>
              <w:rPr>
                <w:sz w:val="10"/>
                <w:szCs w:val="10"/>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2,400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240</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304</w:t>
            </w: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AFC Acquisitions, Inc. Preferred Equity </w:t>
            </w:r>
            <w:r>
              <w:rPr>
                <w:rFonts w:ascii="Times New Roman" w:cs="Times New Roman" w:eastAsia="Times New Roman" w:hAnsi="Times New Roman"/>
                <w:sz w:val="12"/>
                <w:szCs w:val="12"/>
                <w:color w:val="auto"/>
                <w:vertAlign w:val="superscript"/>
              </w:rPr>
              <w:t>(10)</w:t>
            </w:r>
          </w:p>
        </w:tc>
        <w:tc>
          <w:tcPr>
            <w:tcW w:w="1180" w:type="dxa"/>
            <w:vAlign w:val="bottom"/>
          </w:tcPr>
          <w:p>
            <w:pPr>
              <w:spacing w:after="0"/>
              <w:rPr>
                <w:sz w:val="10"/>
                <w:szCs w:val="10"/>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10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507</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780</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831</w:t>
            </w: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AH Newco Holdings, LLC</w:t>
            </w:r>
          </w:p>
        </w:tc>
        <w:tc>
          <w:tcPr>
            <w:tcW w:w="1180" w:type="dxa"/>
            <w:vAlign w:val="bottom"/>
            <w:shd w:val="clear" w:color="auto" w:fill="CCECFF"/>
          </w:tcPr>
          <w:p>
            <w:pPr>
              <w:spacing w:after="0"/>
              <w:rPr>
                <w:sz w:val="10"/>
                <w:szCs w:val="10"/>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rPr>
              <w:t>6.00%</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211</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500</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896</w:t>
            </w: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(10)</w:t>
            </w:r>
          </w:p>
        </w:tc>
        <w:tc>
          <w:tcPr>
            <w:tcW w:w="1180" w:type="dxa"/>
            <w:vAlign w:val="bottom"/>
          </w:tcPr>
          <w:p>
            <w:pPr>
              <w:spacing w:after="0"/>
              <w:rPr>
                <w:sz w:val="10"/>
                <w:szCs w:val="10"/>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10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1,135</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1,135</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1,293</w:t>
            </w: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BioDerm Holdings, LP (Preferred)</w:t>
            </w:r>
          </w:p>
        </w:tc>
        <w:tc>
          <w:tcPr>
            <w:tcW w:w="1180" w:type="dxa"/>
            <w:vAlign w:val="bottom"/>
            <w:shd w:val="clear" w:color="auto" w:fill="CCECFF"/>
          </w:tcPr>
          <w:p>
            <w:pPr>
              <w:spacing w:after="0"/>
              <w:rPr>
                <w:sz w:val="10"/>
                <w:szCs w:val="10"/>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1,312</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1,312</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1,178</w:t>
            </w: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Cartessa Aesthetics, LLC </w:t>
            </w:r>
            <w:r>
              <w:rPr>
                <w:rFonts w:ascii="Times New Roman" w:cs="Times New Roman" w:eastAsia="Times New Roman" w:hAnsi="Times New Roman"/>
                <w:sz w:val="12"/>
                <w:szCs w:val="12"/>
                <w:color w:val="auto"/>
                <w:vertAlign w:val="superscript"/>
              </w:rPr>
              <w:t>(10)</w:t>
            </w:r>
          </w:p>
        </w:tc>
        <w:tc>
          <w:tcPr>
            <w:tcW w:w="1180" w:type="dxa"/>
            <w:vAlign w:val="bottom"/>
          </w:tcPr>
          <w:p>
            <w:pPr>
              <w:spacing w:after="0"/>
              <w:rPr>
                <w:sz w:val="10"/>
                <w:szCs w:val="10"/>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10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3,562,500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3,563</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6,343</w:t>
            </w: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C5MI Holdco, LLC - Preferred Equity </w:t>
            </w:r>
            <w:r>
              <w:rPr>
                <w:rFonts w:ascii="Times New Roman" w:cs="Times New Roman" w:eastAsia="Times New Roman" w:hAnsi="Times New Roman"/>
                <w:sz w:val="12"/>
                <w:szCs w:val="12"/>
                <w:color w:val="auto"/>
                <w:vertAlign w:val="superscript"/>
              </w:rPr>
              <w:t>(10)</w:t>
            </w:r>
          </w:p>
        </w:tc>
        <w:tc>
          <w:tcPr>
            <w:tcW w:w="1180" w:type="dxa"/>
            <w:vAlign w:val="bottom"/>
            <w:shd w:val="clear" w:color="auto" w:fill="CCECFF"/>
          </w:tcPr>
          <w:p>
            <w:pPr>
              <w:spacing w:after="0"/>
              <w:rPr>
                <w:sz w:val="10"/>
                <w:szCs w:val="10"/>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104,000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106</w:t>
            </w:r>
          </w:p>
        </w:tc>
      </w:tr>
      <w:tr>
        <w:trPr>
          <w:trHeight w:val="120"/>
        </w:trPr>
        <w:tc>
          <w:tcPr>
            <w:tcW w:w="3020" w:type="dxa"/>
            <w:vAlign w:val="bottom"/>
          </w:tcPr>
          <w:p>
            <w:pPr>
              <w:spacing w:after="0"/>
              <w:rPr>
                <w:sz w:val="20"/>
                <w:szCs w:val="20"/>
                <w:color w:val="auto"/>
              </w:rPr>
            </w:pPr>
            <w:r>
              <w:rPr>
                <w:rFonts w:ascii="Times New Roman" w:cs="Times New Roman" w:eastAsia="Times New Roman" w:hAnsi="Times New Roman"/>
                <w:sz w:val="10"/>
                <w:szCs w:val="10"/>
                <w:color w:val="auto"/>
              </w:rPr>
              <w:t>Gauge Schlesinger Coinvest, LLC - Class A-2 Preferred Equity</w:t>
            </w:r>
          </w:p>
        </w:tc>
        <w:tc>
          <w:tcPr>
            <w:tcW w:w="1180" w:type="dxa"/>
            <w:vAlign w:val="bottom"/>
          </w:tcPr>
          <w:p>
            <w:pPr>
              <w:spacing w:after="0"/>
              <w:rPr>
                <w:sz w:val="10"/>
                <w:szCs w:val="10"/>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0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w:t>
            </w:r>
          </w:p>
        </w:tc>
      </w:tr>
      <w:tr>
        <w:trPr>
          <w:trHeight w:val="120"/>
        </w:trPr>
        <w:tc>
          <w:tcPr>
            <w:tcW w:w="30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EvAL Home Health Solutions, LLC - Preferred Equity </w:t>
            </w:r>
            <w:r>
              <w:rPr>
                <w:rFonts w:ascii="Times New Roman" w:cs="Times New Roman" w:eastAsia="Times New Roman" w:hAnsi="Times New Roman"/>
                <w:sz w:val="12"/>
                <w:szCs w:val="12"/>
                <w:color w:val="auto"/>
                <w:vertAlign w:val="superscript"/>
              </w:rPr>
              <w:t>(10)</w:t>
            </w:r>
          </w:p>
        </w:tc>
        <w:tc>
          <w:tcPr>
            <w:tcW w:w="1180" w:type="dxa"/>
            <w:vAlign w:val="bottom"/>
            <w:shd w:val="clear" w:color="auto" w:fill="CCECFF"/>
          </w:tcPr>
          <w:p>
            <w:pPr>
              <w:spacing w:after="0"/>
              <w:rPr>
                <w:sz w:val="10"/>
                <w:szCs w:val="10"/>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272,771</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453</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508</w:t>
            </w:r>
          </w:p>
        </w:tc>
      </w:tr>
      <w:tr>
        <w:trPr>
          <w:trHeight w:val="120"/>
        </w:trPr>
        <w:tc>
          <w:tcPr>
            <w:tcW w:w="30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w w:val="98"/>
              </w:rPr>
              <w:t xml:space="preserve">Hancock Claims Consultants Investors, LLC - Class A Preferred Equity </w:t>
            </w:r>
            <w:r>
              <w:rPr>
                <w:rFonts w:ascii="Times New Roman" w:cs="Times New Roman" w:eastAsia="Times New Roman" w:hAnsi="Times New Roman"/>
                <w:sz w:val="12"/>
                <w:szCs w:val="12"/>
                <w:color w:val="auto"/>
                <w:w w:val="98"/>
                <w:vertAlign w:val="superscript"/>
              </w:rPr>
              <w:t>(10)</w:t>
            </w:r>
          </w:p>
        </w:tc>
        <w:tc>
          <w:tcPr>
            <w:tcW w:w="1180" w:type="dxa"/>
            <w:vAlign w:val="bottom"/>
          </w:tcPr>
          <w:p>
            <w:pPr>
              <w:spacing w:after="0"/>
              <w:rPr>
                <w:sz w:val="10"/>
                <w:szCs w:val="10"/>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110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116,588</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149</w:t>
            </w:r>
          </w:p>
        </w:tc>
      </w:tr>
      <w:tr>
        <w:trPr>
          <w:trHeight w:val="120"/>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Imagine Topco, LP Preferred</w:t>
            </w:r>
          </w:p>
        </w:tc>
        <w:tc>
          <w:tcPr>
            <w:tcW w:w="1180" w:type="dxa"/>
            <w:vAlign w:val="bottom"/>
            <w:shd w:val="clear" w:color="auto" w:fill="CCECFF"/>
          </w:tcPr>
          <w:p>
            <w:pPr>
              <w:spacing w:after="0"/>
              <w:rPr>
                <w:sz w:val="10"/>
                <w:szCs w:val="10"/>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rPr>
              <w:t>8.00%</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743,826</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744</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862</w:t>
            </w:r>
          </w:p>
        </w:tc>
      </w:tr>
    </w:tbl>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22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72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22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00" w:type="dxa"/>
            <w:vAlign w:val="bottom"/>
          </w:tcPr>
          <w:p>
            <w:pPr>
              <w:spacing w:after="0"/>
              <w:rPr>
                <w:sz w:val="10"/>
                <w:szCs w:val="10"/>
                <w:color w:val="auto"/>
              </w:rPr>
            </w:pPr>
          </w:p>
        </w:tc>
        <w:tc>
          <w:tcPr>
            <w:tcW w:w="46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800" w:type="dxa"/>
            <w:vAlign w:val="bottom"/>
            <w:gridSpan w:val="2"/>
          </w:tcPr>
          <w:p>
            <w:pPr>
              <w:jc w:val="right"/>
              <w:ind w:right="7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(3)</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A Preferred Equity </w:t>
            </w:r>
            <w:r>
              <w:rPr>
                <w:rFonts w:ascii="Times New Roman" w:cs="Times New Roman" w:eastAsia="Times New Roman" w:hAnsi="Times New Roman"/>
                <w:sz w:val="12"/>
                <w:szCs w:val="12"/>
                <w:color w:val="auto"/>
                <w:vertAlign w:val="superscript"/>
              </w:rPr>
              <w:t>(10)</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1,545</w:t>
            </w:r>
          </w:p>
        </w:tc>
        <w:tc>
          <w:tcPr>
            <w:tcW w:w="2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1,545</w:t>
            </w:r>
          </w:p>
        </w:tc>
        <w:tc>
          <w:tcPr>
            <w:tcW w:w="30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1,592</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B Preferred Equity </w:t>
            </w:r>
            <w:r>
              <w:rPr>
                <w:rFonts w:ascii="Times New Roman" w:cs="Times New Roman" w:eastAsia="Times New Roman" w:hAnsi="Times New Roman"/>
                <w:sz w:val="12"/>
                <w:szCs w:val="12"/>
                <w:color w:val="auto"/>
                <w:vertAlign w:val="superscript"/>
              </w:rPr>
              <w:t>(10)</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1,018</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643</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Megawatt Acquisition Partners, LLC - Preferred A</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5,349</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535</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481</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NXOF Holdings, Inc. (Tyto Athene, LLC)</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422</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422</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572</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ORL Holdco, Inc.</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575</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PL Acquisitionco, LLC - Preferred Equity</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A Preferred Equity </w:t>
            </w:r>
            <w:r>
              <w:rPr>
                <w:rFonts w:ascii="Times New Roman" w:cs="Times New Roman" w:eastAsia="Times New Roman" w:hAnsi="Times New Roman"/>
                <w:sz w:val="12"/>
                <w:szCs w:val="12"/>
                <w:color w:val="auto"/>
                <w:vertAlign w:val="superscript"/>
              </w:rPr>
              <w:t>(10)</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C Preferred Equity </w:t>
            </w:r>
            <w:r>
              <w:rPr>
                <w:rFonts w:ascii="Times New Roman" w:cs="Times New Roman" w:eastAsia="Times New Roman" w:hAnsi="Times New Roman"/>
                <w:sz w:val="12"/>
                <w:szCs w:val="12"/>
                <w:color w:val="auto"/>
                <w:vertAlign w:val="superscript"/>
              </w:rPr>
              <w:t>(10)</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10,624</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699</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1,138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D Preferred Equity </w:t>
            </w:r>
            <w:r>
              <w:rPr>
                <w:rFonts w:ascii="Times New Roman" w:cs="Times New Roman" w:eastAsia="Times New Roman" w:hAnsi="Times New Roman"/>
                <w:sz w:val="12"/>
                <w:szCs w:val="12"/>
                <w:color w:val="auto"/>
                <w:vertAlign w:val="superscript"/>
              </w:rPr>
              <w:t>(10)</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11,276</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125</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TPC Holding Company, LP</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219</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219</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354</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TWD Parent Holdings, LLC Preferred</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35</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Preferred Equity/Partnership Interests</w:t>
            </w:r>
          </w:p>
        </w:tc>
        <w:tc>
          <w:tcPr>
            <w:tcW w:w="7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13,569</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17,132</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b w:val="1"/>
                <w:bCs w:val="1"/>
                <w:color w:val="auto"/>
                <w:w w:val="99"/>
              </w:rPr>
              <w:t xml:space="preserve">Common Equity/Partnership Interests/Warrants - 25.3% of Net Assets </w:t>
            </w:r>
            <w:r>
              <w:rPr>
                <w:rFonts w:ascii="Times New Roman" w:cs="Times New Roman" w:eastAsia="Times New Roman" w:hAnsi="Times New Roman"/>
                <w:sz w:val="12"/>
                <w:szCs w:val="12"/>
                <w:b w:val="1"/>
                <w:bCs w:val="1"/>
                <w:color w:val="auto"/>
                <w:w w:val="99"/>
                <w:vertAlign w:val="superscript"/>
              </w:rPr>
              <w:t>(6)</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A1 Garage Equity, LLC </w:t>
            </w:r>
            <w:r>
              <w:rPr>
                <w:rFonts w:ascii="Times New Roman" w:cs="Times New Roman" w:eastAsia="Times New Roman" w:hAnsi="Times New Roman"/>
                <w:sz w:val="12"/>
                <w:szCs w:val="12"/>
                <w:color w:val="auto"/>
                <w:vertAlign w:val="superscript"/>
              </w:rPr>
              <w:t>(10)</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2,193,038</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2,193</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2,767</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ACP Big Top Holdings, L.P. - Common Equity</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Manufacturing/Basic Industry</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773,800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774</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932</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Ad.net Holdings, Inc.</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2,667</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Aechelon InvestCo, LP - Common Equity</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11,312</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1,131</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1,131</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Aechelon InvestCo, LP - Unfunded </w:t>
            </w:r>
            <w:r>
              <w:rPr>
                <w:rFonts w:ascii="Times New Roman" w:cs="Times New Roman" w:eastAsia="Times New Roman" w:hAnsi="Times New Roman"/>
                <w:sz w:val="12"/>
                <w:szCs w:val="12"/>
                <w:color w:val="auto"/>
                <w:vertAlign w:val="superscript"/>
              </w:rPr>
              <w:t>(8)</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11,312</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Aftermarket Drivetrain Products Holdings, LLC</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Machinery</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1,645</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1,645</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2,304</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(10)</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805,164</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805</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1,008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AG Investco LP - Unfunded </w:t>
            </w:r>
            <w:r>
              <w:rPr>
                <w:rFonts w:ascii="Times New Roman" w:cs="Times New Roman" w:eastAsia="Times New Roman" w:hAnsi="Times New Roman"/>
                <w:sz w:val="12"/>
                <w:szCs w:val="12"/>
                <w:color w:val="auto"/>
                <w:vertAlign w:val="superscript"/>
              </w:rPr>
              <w:t>(8),(10)</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194,836</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Altamira Intermediate Company II, Inc.</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125,000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151</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AMCSI Crash Co-Invest, LP</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2,489,777</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2,490</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3,737</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AMCSI Crash Co-Invest, LP - Unfunded </w:t>
            </w:r>
            <w:r>
              <w:rPr>
                <w:rFonts w:ascii="Times New Roman" w:cs="Times New Roman" w:eastAsia="Times New Roman" w:hAnsi="Times New Roman"/>
                <w:sz w:val="12"/>
                <w:szCs w:val="12"/>
                <w:color w:val="auto"/>
                <w:vertAlign w:val="superscript"/>
              </w:rPr>
              <w:t>(8)</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510,223</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(10)</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1,135</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Athletico Holdings, LLC </w:t>
            </w:r>
            <w:r>
              <w:rPr>
                <w:rFonts w:ascii="Times New Roman" w:cs="Times New Roman" w:eastAsia="Times New Roman" w:hAnsi="Times New Roman"/>
                <w:sz w:val="12"/>
                <w:szCs w:val="12"/>
                <w:color w:val="auto"/>
                <w:vertAlign w:val="superscript"/>
              </w:rPr>
              <w:t>(10)</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9,357</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10,000</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7,674</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Atlas Investment Aggregator, LLC</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1,700,000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1,613</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BioDerm, Inc.</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1,312</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Burgess Point Holdings, LP</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764</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777</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812</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Carnegie Holdco, LLC - Common Equity </w:t>
            </w:r>
            <w:r>
              <w:rPr>
                <w:rFonts w:ascii="Times New Roman" w:cs="Times New Roman" w:eastAsia="Times New Roman" w:hAnsi="Times New Roman"/>
                <w:sz w:val="12"/>
                <w:szCs w:val="12"/>
                <w:color w:val="auto"/>
                <w:vertAlign w:val="superscript"/>
              </w:rPr>
              <w:t>(10)</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1,680,300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1,645</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1,630</w:t>
            </w:r>
          </w:p>
        </w:tc>
        <w:tc>
          <w:tcPr>
            <w:tcW w:w="0" w:type="dxa"/>
            <w:vAlign w:val="bottom"/>
          </w:tcPr>
          <w:p>
            <w:pPr>
              <w:spacing w:after="0"/>
              <w:rPr>
                <w:sz w:val="1"/>
                <w:szCs w:val="1"/>
                <w:color w:val="auto"/>
              </w:rPr>
            </w:pPr>
          </w:p>
        </w:tc>
      </w:tr>
      <w:tr>
        <w:trPr>
          <w:trHeight w:val="124"/>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Carisk Parent, L.P. - Common Equity</w:t>
            </w:r>
          </w:p>
        </w:tc>
        <w:tc>
          <w:tcPr>
            <w:tcW w:w="720" w:type="dxa"/>
            <w:vAlign w:val="bottom"/>
            <w:shd w:val="clear" w:color="auto" w:fill="CCECFF"/>
          </w:tcPr>
          <w:p>
            <w:pPr>
              <w:spacing w:after="0"/>
              <w:rPr>
                <w:sz w:val="10"/>
                <w:szCs w:val="10"/>
                <w:color w:val="auto"/>
              </w:rPr>
            </w:pPr>
          </w:p>
        </w:tc>
        <w:tc>
          <w:tcPr>
            <w:tcW w:w="298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540" w:type="dxa"/>
            <w:vAlign w:val="bottom"/>
            <w:shd w:val="clear" w:color="auto" w:fill="CCECFF"/>
          </w:tcPr>
          <w:p>
            <w:pPr>
              <w:spacing w:after="0"/>
              <w:rPr>
                <w:sz w:val="10"/>
                <w:szCs w:val="10"/>
                <w:color w:val="auto"/>
              </w:rPr>
            </w:pPr>
          </w:p>
        </w:tc>
        <w:tc>
          <w:tcPr>
            <w:tcW w:w="22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vMerge w:val="restart"/>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204,455</w:t>
            </w:r>
          </w:p>
        </w:tc>
        <w:tc>
          <w:tcPr>
            <w:tcW w:w="200" w:type="dxa"/>
            <w:vAlign w:val="bottom"/>
            <w:shd w:val="clear" w:color="auto" w:fill="CCECFF"/>
          </w:tcPr>
          <w:p>
            <w:pPr>
              <w:spacing w:after="0"/>
              <w:rPr>
                <w:sz w:val="10"/>
                <w:szCs w:val="10"/>
                <w:color w:val="auto"/>
              </w:rPr>
            </w:pPr>
          </w:p>
        </w:tc>
        <w:tc>
          <w:tcPr>
            <w:tcW w:w="46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204</w:t>
            </w:r>
          </w:p>
        </w:tc>
        <w:tc>
          <w:tcPr>
            <w:tcW w:w="300" w:type="dxa"/>
            <w:vAlign w:val="bottom"/>
            <w:shd w:val="clear" w:color="auto" w:fill="CCECFF"/>
          </w:tcPr>
          <w:p>
            <w:pPr>
              <w:spacing w:after="0"/>
              <w:rPr>
                <w:sz w:val="10"/>
                <w:szCs w:val="10"/>
                <w:color w:val="auto"/>
              </w:rPr>
            </w:pPr>
          </w:p>
        </w:tc>
        <w:tc>
          <w:tcPr>
            <w:tcW w:w="500" w:type="dxa"/>
            <w:vAlign w:val="bottom"/>
            <w:vMerge w:val="restart"/>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211</w:t>
            </w:r>
          </w:p>
        </w:tc>
        <w:tc>
          <w:tcPr>
            <w:tcW w:w="0" w:type="dxa"/>
            <w:vAlign w:val="bottom"/>
          </w:tcPr>
          <w:p>
            <w:pPr>
              <w:spacing w:after="0"/>
              <w:rPr>
                <w:sz w:val="1"/>
                <w:szCs w:val="1"/>
                <w:color w:val="auto"/>
              </w:rPr>
            </w:pPr>
          </w:p>
        </w:tc>
      </w:tr>
      <w:tr>
        <w:trPr>
          <w:trHeight w:val="80"/>
        </w:trPr>
        <w:tc>
          <w:tcPr>
            <w:tcW w:w="3160" w:type="dxa"/>
            <w:vAlign w:val="bottom"/>
            <w:shd w:val="clear" w:color="auto" w:fill="CCECFF"/>
          </w:tcPr>
          <w:p>
            <w:pPr>
              <w:spacing w:after="0"/>
              <w:rPr>
                <w:sz w:val="6"/>
                <w:szCs w:val="6"/>
                <w:color w:val="auto"/>
              </w:rPr>
            </w:pPr>
          </w:p>
        </w:tc>
        <w:tc>
          <w:tcPr>
            <w:tcW w:w="720" w:type="dxa"/>
            <w:vAlign w:val="bottom"/>
            <w:shd w:val="clear" w:color="auto" w:fill="CCECFF"/>
          </w:tcPr>
          <w:p>
            <w:pPr>
              <w:spacing w:after="0"/>
              <w:rPr>
                <w:sz w:val="6"/>
                <w:szCs w:val="6"/>
                <w:color w:val="auto"/>
              </w:rPr>
            </w:pPr>
          </w:p>
        </w:tc>
        <w:tc>
          <w:tcPr>
            <w:tcW w:w="2980" w:type="dxa"/>
            <w:vAlign w:val="bottom"/>
            <w:vMerge w:val="continue"/>
            <w:shd w:val="clear" w:color="auto" w:fill="CCECFF"/>
          </w:tcPr>
          <w:p>
            <w:pPr>
              <w:spacing w:after="0"/>
              <w:rPr>
                <w:sz w:val="6"/>
                <w:szCs w:val="6"/>
                <w:color w:val="auto"/>
              </w:rPr>
            </w:pPr>
          </w:p>
        </w:tc>
        <w:tc>
          <w:tcPr>
            <w:tcW w:w="540" w:type="dxa"/>
            <w:vAlign w:val="bottom"/>
            <w:shd w:val="clear" w:color="auto" w:fill="CCECFF"/>
          </w:tcPr>
          <w:p>
            <w:pPr>
              <w:spacing w:after="0"/>
              <w:rPr>
                <w:sz w:val="6"/>
                <w:szCs w:val="6"/>
                <w:color w:val="auto"/>
              </w:rPr>
            </w:pPr>
          </w:p>
        </w:tc>
        <w:tc>
          <w:tcPr>
            <w:tcW w:w="220" w:type="dxa"/>
            <w:vAlign w:val="bottom"/>
            <w:vMerge w:val="continue"/>
            <w:shd w:val="clear" w:color="auto" w:fill="CCECFF"/>
          </w:tcPr>
          <w:p>
            <w:pPr>
              <w:spacing w:after="0"/>
              <w:rPr>
                <w:sz w:val="6"/>
                <w:szCs w:val="6"/>
                <w:color w:val="auto"/>
              </w:rPr>
            </w:pPr>
          </w:p>
        </w:tc>
        <w:tc>
          <w:tcPr>
            <w:tcW w:w="780" w:type="dxa"/>
            <w:vAlign w:val="bottom"/>
            <w:vMerge w:val="continue"/>
            <w:shd w:val="clear" w:color="auto" w:fill="CCECFF"/>
          </w:tcPr>
          <w:p>
            <w:pPr>
              <w:spacing w:after="0"/>
              <w:rPr>
                <w:sz w:val="6"/>
                <w:szCs w:val="6"/>
                <w:color w:val="auto"/>
              </w:rPr>
            </w:pPr>
          </w:p>
        </w:tc>
        <w:tc>
          <w:tcPr>
            <w:tcW w:w="700" w:type="dxa"/>
            <w:vAlign w:val="bottom"/>
            <w:vMerge w:val="continue"/>
            <w:shd w:val="clear" w:color="auto" w:fill="CCECFF"/>
          </w:tcPr>
          <w:p>
            <w:pPr>
              <w:spacing w:after="0"/>
              <w:rPr>
                <w:sz w:val="6"/>
                <w:szCs w:val="6"/>
                <w:color w:val="auto"/>
              </w:rPr>
            </w:pPr>
          </w:p>
        </w:tc>
        <w:tc>
          <w:tcPr>
            <w:tcW w:w="200" w:type="dxa"/>
            <w:vAlign w:val="bottom"/>
            <w:shd w:val="clear" w:color="auto" w:fill="CCECFF"/>
          </w:tcPr>
          <w:p>
            <w:pPr>
              <w:spacing w:after="0"/>
              <w:rPr>
                <w:sz w:val="6"/>
                <w:szCs w:val="6"/>
                <w:color w:val="auto"/>
              </w:rPr>
            </w:pPr>
          </w:p>
        </w:tc>
        <w:tc>
          <w:tcPr>
            <w:tcW w:w="460" w:type="dxa"/>
            <w:vAlign w:val="bottom"/>
            <w:vMerge w:val="continue"/>
            <w:shd w:val="clear" w:color="auto" w:fill="CCECFF"/>
          </w:tcPr>
          <w:p>
            <w:pPr>
              <w:spacing w:after="0"/>
              <w:rPr>
                <w:sz w:val="6"/>
                <w:szCs w:val="6"/>
                <w:color w:val="auto"/>
              </w:rPr>
            </w:pPr>
          </w:p>
        </w:tc>
        <w:tc>
          <w:tcPr>
            <w:tcW w:w="300" w:type="dxa"/>
            <w:vAlign w:val="bottom"/>
            <w:shd w:val="clear" w:color="auto" w:fill="CCECFF"/>
          </w:tcPr>
          <w:p>
            <w:pPr>
              <w:spacing w:after="0"/>
              <w:rPr>
                <w:sz w:val="6"/>
                <w:szCs w:val="6"/>
                <w:color w:val="auto"/>
              </w:rPr>
            </w:pPr>
          </w:p>
        </w:tc>
        <w:tc>
          <w:tcPr>
            <w:tcW w:w="500" w:type="dxa"/>
            <w:vAlign w:val="bottom"/>
            <w:vMerge w:val="continue"/>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Connatix Parent, LLC</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57,416</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632</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355</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Consello Pacific Aggregator, LLC </w:t>
            </w:r>
            <w:r>
              <w:rPr>
                <w:rFonts w:ascii="Times New Roman" w:cs="Times New Roman" w:eastAsia="Times New Roman" w:hAnsi="Times New Roman"/>
                <w:sz w:val="12"/>
                <w:szCs w:val="12"/>
                <w:color w:val="auto"/>
                <w:vertAlign w:val="superscript"/>
              </w:rPr>
              <w:t>(10)</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782,891</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743</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703</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Cowboy Parent LLC</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27,778</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3,015</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5,809</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Crane 1 Acquisition Parent Holdings, L.P.</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190</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C5MI Holdco, LLC - Common Equity </w:t>
            </w:r>
            <w:r>
              <w:rPr>
                <w:rFonts w:ascii="Times New Roman" w:cs="Times New Roman" w:eastAsia="Times New Roman" w:hAnsi="Times New Roman"/>
                <w:sz w:val="12"/>
                <w:szCs w:val="12"/>
                <w:color w:val="auto"/>
                <w:vertAlign w:val="superscript"/>
              </w:rPr>
              <w:t>(10)</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754,200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754</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752</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Delta InvestCo LP </w:t>
            </w:r>
            <w:r>
              <w:rPr>
                <w:rFonts w:ascii="Times New Roman" w:cs="Times New Roman" w:eastAsia="Times New Roman" w:hAnsi="Times New Roman"/>
                <w:sz w:val="12"/>
                <w:szCs w:val="12"/>
                <w:color w:val="auto"/>
                <w:vertAlign w:val="superscript"/>
              </w:rPr>
              <w:t>(10)</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913,649</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866</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1,703</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Delta InvestCo LP </w:t>
            </w:r>
            <w:r>
              <w:rPr>
                <w:rFonts w:ascii="Times New Roman" w:cs="Times New Roman" w:eastAsia="Times New Roman" w:hAnsi="Times New Roman"/>
                <w:sz w:val="12"/>
                <w:szCs w:val="12"/>
                <w:color w:val="auto"/>
                <w:vertAlign w:val="superscript"/>
              </w:rPr>
              <w:t>(8),(10)</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227,395</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Duggal Acquisition, LLC (Common)</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313,600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314</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314</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eCommission Holding Corporation </w:t>
            </w:r>
            <w:r>
              <w:rPr>
                <w:rFonts w:ascii="Times New Roman" w:cs="Times New Roman" w:eastAsia="Times New Roman" w:hAnsi="Times New Roman"/>
                <w:sz w:val="12"/>
                <w:szCs w:val="12"/>
                <w:color w:val="auto"/>
                <w:vertAlign w:val="superscript"/>
              </w:rPr>
              <w:t>(12)</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949</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2,554</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EDS Topco, LP</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937,500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938</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1,047</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Exigo, LLC</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1,458,333</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1,458</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1,577</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(10)</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14,578</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489</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1,193</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FedHC InvestCo LP - Unfunded </w:t>
            </w:r>
            <w:r>
              <w:rPr>
                <w:rFonts w:ascii="Times New Roman" w:cs="Times New Roman" w:eastAsia="Times New Roman" w:hAnsi="Times New Roman"/>
                <w:sz w:val="12"/>
                <w:szCs w:val="12"/>
                <w:color w:val="auto"/>
                <w:vertAlign w:val="superscript"/>
              </w:rPr>
              <w:t>(8),(10)</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5,150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FedHC InvestCo II LP </w:t>
            </w:r>
            <w:r>
              <w:rPr>
                <w:rFonts w:ascii="Times New Roman" w:cs="Times New Roman" w:eastAsia="Times New Roman" w:hAnsi="Times New Roman"/>
                <w:sz w:val="12"/>
                <w:szCs w:val="12"/>
                <w:color w:val="auto"/>
                <w:vertAlign w:val="superscript"/>
              </w:rPr>
              <w:t>(10)</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20,882</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2,175</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1,814</w:t>
            </w:r>
          </w:p>
        </w:tc>
        <w:tc>
          <w:tcPr>
            <w:tcW w:w="0" w:type="dxa"/>
            <w:vAlign w:val="bottom"/>
          </w:tcPr>
          <w:p>
            <w:pPr>
              <w:spacing w:after="0"/>
              <w:rPr>
                <w:sz w:val="1"/>
                <w:szCs w:val="1"/>
                <w:color w:val="auto"/>
              </w:rPr>
            </w:pPr>
          </w:p>
        </w:tc>
      </w:tr>
      <w:tr>
        <w:trPr>
          <w:trHeight w:val="124"/>
        </w:trPr>
        <w:tc>
          <w:tcPr>
            <w:tcW w:w="31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Five Star Parent Holdings, LLC</w:t>
            </w:r>
          </w:p>
        </w:tc>
        <w:tc>
          <w:tcPr>
            <w:tcW w:w="720" w:type="dxa"/>
            <w:vAlign w:val="bottom"/>
          </w:tcPr>
          <w:p>
            <w:pPr>
              <w:spacing w:after="0"/>
              <w:rPr>
                <w:sz w:val="10"/>
                <w:szCs w:val="10"/>
                <w:color w:val="auto"/>
              </w:rPr>
            </w:pPr>
          </w:p>
        </w:tc>
        <w:tc>
          <w:tcPr>
            <w:tcW w:w="29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 Entertainment</w:t>
            </w:r>
          </w:p>
        </w:tc>
        <w:tc>
          <w:tcPr>
            <w:tcW w:w="540" w:type="dxa"/>
            <w:vAlign w:val="bottom"/>
          </w:tcPr>
          <w:p>
            <w:pPr>
              <w:spacing w:after="0"/>
              <w:rPr>
                <w:sz w:val="10"/>
                <w:szCs w:val="10"/>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vMerge w:val="restart"/>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655,714</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656</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647</w:t>
            </w:r>
          </w:p>
        </w:tc>
        <w:tc>
          <w:tcPr>
            <w:tcW w:w="0" w:type="dxa"/>
            <w:vAlign w:val="bottom"/>
          </w:tcPr>
          <w:p>
            <w:pPr>
              <w:spacing w:after="0"/>
              <w:rPr>
                <w:sz w:val="1"/>
                <w:szCs w:val="1"/>
                <w:color w:val="auto"/>
              </w:rPr>
            </w:pPr>
          </w:p>
        </w:tc>
      </w:tr>
      <w:tr>
        <w:trPr>
          <w:trHeight w:val="92"/>
        </w:trPr>
        <w:tc>
          <w:tcPr>
            <w:tcW w:w="316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29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Gauge ETE Blocker, LLC - Common Equity</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374,444</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374</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285</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Gauge Lash Coinvest LLC</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1,101,293</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834</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3,201</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Gauge Loving Tan, LP - Common Equity</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543,562</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544</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598</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Gauge Schlesinger Coinvest, LLC</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GCOM InvestCo LP</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2,434</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1,003</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578</w:t>
            </w: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Home and Office Furnishings, Housewares and Durable Consumer</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GGG MIDCO, LLC (Common) </w:t>
            </w:r>
            <w:r>
              <w:rPr>
                <w:rFonts w:ascii="Times New Roman" w:cs="Times New Roman" w:eastAsia="Times New Roman" w:hAnsi="Times New Roman"/>
                <w:sz w:val="12"/>
                <w:szCs w:val="12"/>
                <w:color w:val="auto"/>
                <w:vertAlign w:val="superscript"/>
              </w:rPr>
              <w:t>(10)</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Products</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1,222,700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1,223</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1,223</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GMP Hills, LP - Common Equity</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3,747,470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3,747</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3,673</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Hancock Claims Consultants Investors, LLC </w:t>
            </w:r>
            <w:r>
              <w:rPr>
                <w:rFonts w:ascii="Times New Roman" w:cs="Times New Roman" w:eastAsia="Times New Roman" w:hAnsi="Times New Roman"/>
                <w:sz w:val="12"/>
                <w:szCs w:val="12"/>
                <w:color w:val="auto"/>
                <w:vertAlign w:val="superscript"/>
              </w:rPr>
              <w:t>(10)</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450,000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450</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275</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HPA SPQ Aggregator LP- Common Equity</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750,399</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750</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842</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HV Watterson Holdings, LLC</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1,600,000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1,600</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252</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Icon Partners V C, L.P.</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1,122,549</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1,123</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1,123</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Icon Partners V C, L.P. - Unfunded </w:t>
            </w:r>
            <w:r>
              <w:rPr>
                <w:rFonts w:ascii="Times New Roman" w:cs="Times New Roman" w:eastAsia="Times New Roman" w:hAnsi="Times New Roman"/>
                <w:sz w:val="12"/>
                <w:szCs w:val="12"/>
                <w:color w:val="auto"/>
                <w:vertAlign w:val="superscript"/>
              </w:rPr>
              <w:t>(8)</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377,451</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IHS Parent Holdings, L.P.</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1,218,045</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1,218</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1,535</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Imagine Topco, LP</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743,826</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Infogroup Parent Holdings, Inc.</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Other Media</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181,495</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2,040</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2,711</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Ironclad Holdco, LLC (Applied Technical Services, LLC)</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4,993</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525</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776</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ITC Infusion Co-invest, LP </w:t>
            </w:r>
            <w:r>
              <w:rPr>
                <w:rFonts w:ascii="Times New Roman" w:cs="Times New Roman" w:eastAsia="Times New Roman" w:hAnsi="Times New Roman"/>
                <w:sz w:val="12"/>
                <w:szCs w:val="12"/>
                <w:color w:val="auto"/>
                <w:vertAlign w:val="superscript"/>
              </w:rPr>
              <w:t>(10)</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162,445</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1,645</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2,443</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Kinetic Purchaser, LLC</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1,308,814</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1,309</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1,498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KL Stockton Co-Invest LP (Any Hour Services) </w:t>
            </w:r>
            <w:r>
              <w:rPr>
                <w:rFonts w:ascii="Times New Roman" w:cs="Times New Roman" w:eastAsia="Times New Roman" w:hAnsi="Times New Roman"/>
                <w:sz w:val="12"/>
                <w:szCs w:val="12"/>
                <w:color w:val="auto"/>
                <w:vertAlign w:val="superscript"/>
              </w:rPr>
              <w:t>(10)</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382,353</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385</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884</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LEP Pequod Holdings, LP</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865</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1,004</w:t>
            </w:r>
          </w:p>
        </w:tc>
        <w:tc>
          <w:tcPr>
            <w:tcW w:w="0" w:type="dxa"/>
            <w:vAlign w:val="bottom"/>
          </w:tcPr>
          <w:p>
            <w:pPr>
              <w:spacing w:after="0"/>
              <w:rPr>
                <w:sz w:val="1"/>
                <w:szCs w:val="1"/>
                <w:color w:val="auto"/>
              </w:rPr>
            </w:pPr>
          </w:p>
        </w:tc>
      </w:tr>
      <w:tr>
        <w:trPr>
          <w:trHeight w:val="124"/>
        </w:trPr>
        <w:tc>
          <w:tcPr>
            <w:tcW w:w="316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0"/>
                <w:szCs w:val="10"/>
                <w:color w:val="auto"/>
              </w:rPr>
              <w:t>Lightspeed Investment Holdco LLC</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540" w:type="dxa"/>
            <w:vAlign w:val="bottom"/>
            <w:shd w:val="clear" w:color="auto" w:fill="CCECFF"/>
          </w:tcPr>
          <w:p>
            <w:pPr>
              <w:spacing w:after="0"/>
              <w:rPr>
                <w:sz w:val="10"/>
                <w:szCs w:val="10"/>
                <w:color w:val="auto"/>
              </w:rPr>
            </w:pPr>
          </w:p>
        </w:tc>
        <w:tc>
          <w:tcPr>
            <w:tcW w:w="22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vMerge w:val="restart"/>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273,143</w:t>
            </w:r>
          </w:p>
        </w:tc>
        <w:tc>
          <w:tcPr>
            <w:tcW w:w="200" w:type="dxa"/>
            <w:vAlign w:val="bottom"/>
            <w:shd w:val="clear" w:color="auto" w:fill="CCECFF"/>
          </w:tcPr>
          <w:p>
            <w:pPr>
              <w:spacing w:after="0"/>
              <w:rPr>
                <w:sz w:val="10"/>
                <w:szCs w:val="10"/>
                <w:color w:val="auto"/>
              </w:rPr>
            </w:pPr>
          </w:p>
        </w:tc>
        <w:tc>
          <w:tcPr>
            <w:tcW w:w="46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273</w:t>
            </w:r>
          </w:p>
        </w:tc>
        <w:tc>
          <w:tcPr>
            <w:tcW w:w="300" w:type="dxa"/>
            <w:vAlign w:val="bottom"/>
            <w:shd w:val="clear" w:color="auto" w:fill="CCECFF"/>
          </w:tcPr>
          <w:p>
            <w:pPr>
              <w:spacing w:after="0"/>
              <w:rPr>
                <w:sz w:val="10"/>
                <w:szCs w:val="10"/>
                <w:color w:val="auto"/>
              </w:rPr>
            </w:pPr>
          </w:p>
        </w:tc>
        <w:tc>
          <w:tcPr>
            <w:tcW w:w="500" w:type="dxa"/>
            <w:vAlign w:val="bottom"/>
            <w:vMerge w:val="restart"/>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988</w:t>
            </w:r>
          </w:p>
        </w:tc>
        <w:tc>
          <w:tcPr>
            <w:tcW w:w="0" w:type="dxa"/>
            <w:vAlign w:val="bottom"/>
          </w:tcPr>
          <w:p>
            <w:pPr>
              <w:spacing w:after="0"/>
              <w:rPr>
                <w:sz w:val="1"/>
                <w:szCs w:val="1"/>
                <w:color w:val="auto"/>
              </w:rPr>
            </w:pPr>
          </w:p>
        </w:tc>
      </w:tr>
      <w:tr>
        <w:trPr>
          <w:trHeight w:val="92"/>
        </w:trPr>
        <w:tc>
          <w:tcPr>
            <w:tcW w:w="3160" w:type="dxa"/>
            <w:vAlign w:val="bottom"/>
            <w:vMerge w:val="continue"/>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29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220" w:type="dxa"/>
            <w:vAlign w:val="bottom"/>
            <w:vMerge w:val="continue"/>
            <w:shd w:val="clear" w:color="auto" w:fill="CCECFF"/>
          </w:tcPr>
          <w:p>
            <w:pPr>
              <w:spacing w:after="0"/>
              <w:rPr>
                <w:sz w:val="8"/>
                <w:szCs w:val="8"/>
                <w:color w:val="auto"/>
              </w:rPr>
            </w:pPr>
          </w:p>
        </w:tc>
        <w:tc>
          <w:tcPr>
            <w:tcW w:w="780" w:type="dxa"/>
            <w:vAlign w:val="bottom"/>
            <w:vMerge w:val="continue"/>
            <w:shd w:val="clear" w:color="auto" w:fill="CCECFF"/>
          </w:tcPr>
          <w:p>
            <w:pPr>
              <w:spacing w:after="0"/>
              <w:rPr>
                <w:sz w:val="8"/>
                <w:szCs w:val="8"/>
                <w:color w:val="auto"/>
              </w:rPr>
            </w:pPr>
          </w:p>
        </w:tc>
        <w:tc>
          <w:tcPr>
            <w:tcW w:w="700" w:type="dxa"/>
            <w:vAlign w:val="bottom"/>
            <w:vMerge w:val="continue"/>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460" w:type="dxa"/>
            <w:vAlign w:val="bottom"/>
            <w:vMerge w:val="continue"/>
            <w:shd w:val="clear" w:color="auto" w:fill="CCECFF"/>
          </w:tcPr>
          <w:p>
            <w:pPr>
              <w:spacing w:after="0"/>
              <w:rPr>
                <w:sz w:val="8"/>
                <w:szCs w:val="8"/>
                <w:color w:val="auto"/>
              </w:rPr>
            </w:pPr>
          </w:p>
        </w:tc>
        <w:tc>
          <w:tcPr>
            <w:tcW w:w="300" w:type="dxa"/>
            <w:vAlign w:val="bottom"/>
            <w:shd w:val="clear" w:color="auto" w:fill="CCECFF"/>
          </w:tcPr>
          <w:p>
            <w:pPr>
              <w:spacing w:after="0"/>
              <w:rPr>
                <w:sz w:val="8"/>
                <w:szCs w:val="8"/>
                <w:color w:val="auto"/>
              </w:rPr>
            </w:pPr>
          </w:p>
        </w:tc>
        <w:tc>
          <w:tcPr>
            <w:tcW w:w="500" w:type="dxa"/>
            <w:vAlign w:val="bottom"/>
            <w:vMerge w:val="continue"/>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LJ Avalon, LP</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851,087</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851</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1,038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Lorient Peregrine Investments, LP</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335,590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4,530</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4,453</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A </w:t>
            </w:r>
            <w:r>
              <w:rPr>
                <w:rFonts w:ascii="Times New Roman" w:cs="Times New Roman" w:eastAsia="Times New Roman" w:hAnsi="Times New Roman"/>
                <w:sz w:val="12"/>
                <w:szCs w:val="12"/>
                <w:color w:val="auto"/>
                <w:vertAlign w:val="superscript"/>
              </w:rPr>
              <w:t>(10)</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1,545,460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B </w:t>
            </w:r>
            <w:r>
              <w:rPr>
                <w:rFonts w:ascii="Times New Roman" w:cs="Times New Roman" w:eastAsia="Times New Roman" w:hAnsi="Times New Roman"/>
                <w:sz w:val="12"/>
                <w:szCs w:val="12"/>
                <w:color w:val="auto"/>
                <w:vertAlign w:val="superscript"/>
              </w:rPr>
              <w:t>(10)</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1,017,840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MDI Aggregator, LP</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30,993</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3,103</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3,599</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Meadowlark Title, LLC </w:t>
            </w:r>
            <w:r>
              <w:rPr>
                <w:rFonts w:ascii="Times New Roman" w:cs="Times New Roman" w:eastAsia="Times New Roman" w:hAnsi="Times New Roman"/>
                <w:sz w:val="12"/>
                <w:szCs w:val="12"/>
                <w:color w:val="auto"/>
                <w:vertAlign w:val="superscript"/>
              </w:rPr>
              <w:t>(10)</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815,385</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802</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Megawatt Acquisition Partners, LLC - Common Equity A</w:t>
            </w:r>
          </w:p>
        </w:tc>
        <w:tc>
          <w:tcPr>
            <w:tcW w:w="720" w:type="dxa"/>
            <w:vAlign w:val="bottom"/>
          </w:tcPr>
          <w:p>
            <w:pPr>
              <w:spacing w:after="0"/>
              <w:rPr>
                <w:sz w:val="10"/>
                <w:szCs w:val="1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54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594</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w:t>
            </w:r>
          </w:p>
        </w:tc>
        <w:tc>
          <w:tcPr>
            <w:tcW w:w="30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720" w:type="dxa"/>
            <w:vAlign w:val="bottom"/>
            <w:shd w:val="clear" w:color="auto" w:fill="CCECFF"/>
          </w:tcPr>
          <w:p>
            <w:pPr>
              <w:spacing w:after="0"/>
              <w:rPr>
                <w:sz w:val="10"/>
                <w:szCs w:val="10"/>
                <w:color w:val="auto"/>
              </w:rPr>
            </w:pPr>
          </w:p>
        </w:tc>
        <w:tc>
          <w:tcPr>
            <w:tcW w:w="2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3,920,145</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3,984</w:t>
            </w:r>
          </w:p>
        </w:tc>
        <w:tc>
          <w:tcPr>
            <w:tcW w:w="30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6,272</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800" w:type="dxa"/>
            <w:vAlign w:val="bottom"/>
          </w:tcPr>
          <w:p>
            <w:pPr>
              <w:jc w:val="center"/>
              <w:ind w:left="37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22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00" w:type="dxa"/>
            <w:vAlign w:val="bottom"/>
          </w:tcPr>
          <w:p>
            <w:pPr>
              <w:jc w:val="center"/>
              <w:ind w:right="252"/>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00" w:type="dxa"/>
            <w:vAlign w:val="bottom"/>
          </w:tcPr>
          <w:p>
            <w:pPr>
              <w:jc w:val="center"/>
              <w:ind w:left="39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22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00" w:type="dxa"/>
            <w:vAlign w:val="bottom"/>
          </w:tcPr>
          <w:p>
            <w:pPr>
              <w:spacing w:after="0"/>
              <w:rPr>
                <w:sz w:val="10"/>
                <w:szCs w:val="10"/>
                <w:color w:val="auto"/>
              </w:rPr>
            </w:pPr>
          </w:p>
        </w:tc>
        <w:tc>
          <w:tcPr>
            <w:tcW w:w="46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800" w:type="dxa"/>
            <w:vAlign w:val="bottom"/>
            <w:gridSpan w:val="2"/>
          </w:tcPr>
          <w:p>
            <w:pPr>
              <w:jc w:val="right"/>
              <w:ind w:right="7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(3)</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NEPRT Parent Holdings, LLC (Recteq, LLC) </w:t>
            </w:r>
            <w:r>
              <w:rPr>
                <w:rFonts w:ascii="Times New Roman" w:cs="Times New Roman" w:eastAsia="Times New Roman" w:hAnsi="Times New Roman"/>
                <w:sz w:val="12"/>
                <w:szCs w:val="12"/>
                <w:color w:val="auto"/>
                <w:vertAlign w:val="superscript"/>
              </w:rPr>
              <w:t>(10)</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1,299</w:t>
            </w:r>
          </w:p>
        </w:tc>
        <w:tc>
          <w:tcPr>
            <w:tcW w:w="2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1,250</w:t>
            </w:r>
          </w:p>
        </w:tc>
        <w:tc>
          <w:tcPr>
            <w:tcW w:w="2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87</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New Insight Holdings, Inc. - Common Equity</w:t>
            </w:r>
          </w:p>
        </w:tc>
        <w:tc>
          <w:tcPr>
            <w:tcW w:w="1000" w:type="dxa"/>
            <w:vAlign w:val="bottom"/>
          </w:tcPr>
          <w:p>
            <w:pPr>
              <w:spacing w:after="0"/>
              <w:rPr>
                <w:sz w:val="10"/>
                <w:szCs w:val="1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1,157</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New Medina Health, LLC </w:t>
            </w:r>
            <w:r>
              <w:rPr>
                <w:rFonts w:ascii="Times New Roman" w:cs="Times New Roman" w:eastAsia="Times New Roman" w:hAnsi="Times New Roman"/>
                <w:sz w:val="12"/>
                <w:szCs w:val="12"/>
                <w:color w:val="auto"/>
                <w:vertAlign w:val="superscript"/>
              </w:rPr>
              <w:t>(10)</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1,429,480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1,429</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2,231</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NFS - CFP Holdings LLC - Common Equity</w:t>
            </w:r>
          </w:p>
        </w:tc>
        <w:tc>
          <w:tcPr>
            <w:tcW w:w="1000" w:type="dxa"/>
            <w:vAlign w:val="bottom"/>
          </w:tcPr>
          <w:p>
            <w:pPr>
              <w:spacing w:after="0"/>
              <w:rPr>
                <w:sz w:val="10"/>
                <w:szCs w:val="1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662,983</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663</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663</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NORA Parent Holdings, LLC </w:t>
            </w:r>
            <w:r>
              <w:rPr>
                <w:rFonts w:ascii="Times New Roman" w:cs="Times New Roman" w:eastAsia="Times New Roman" w:hAnsi="Times New Roman"/>
                <w:sz w:val="12"/>
                <w:szCs w:val="12"/>
                <w:color w:val="auto"/>
                <w:vertAlign w:val="superscript"/>
              </w:rPr>
              <w:t>(10)</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1,257</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1,248</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1,115</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North Haven Saints Equity Holdings, LP </w:t>
            </w:r>
            <w:r>
              <w:rPr>
                <w:rFonts w:ascii="Times New Roman" w:cs="Times New Roman" w:eastAsia="Times New Roman" w:hAnsi="Times New Roman"/>
                <w:sz w:val="12"/>
                <w:szCs w:val="12"/>
                <w:color w:val="auto"/>
                <w:vertAlign w:val="superscript"/>
              </w:rPr>
              <w:t>(10)</w:t>
            </w:r>
          </w:p>
        </w:tc>
        <w:tc>
          <w:tcPr>
            <w:tcW w:w="1000" w:type="dxa"/>
            <w:vAlign w:val="bottom"/>
          </w:tcPr>
          <w:p>
            <w:pPr>
              <w:spacing w:after="0"/>
              <w:rPr>
                <w:sz w:val="10"/>
                <w:szCs w:val="1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351,553</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352</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380</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Northwinds Services Group, LLC - Common Equity</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Services</w:t>
            </w: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840,000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1,680</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1,680</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NXOF Holdings, Inc.</w:t>
            </w:r>
          </w:p>
        </w:tc>
        <w:tc>
          <w:tcPr>
            <w:tcW w:w="1000" w:type="dxa"/>
            <w:vAlign w:val="bottom"/>
          </w:tcPr>
          <w:p>
            <w:pPr>
              <w:spacing w:after="0"/>
              <w:rPr>
                <w:sz w:val="10"/>
                <w:szCs w:val="1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0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8,188</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OceanSound Discovery Equity, LP (Holdco Sands Intermediate, LLC) </w:t>
            </w:r>
            <w:r>
              <w:rPr>
                <w:rFonts w:ascii="Times New Roman" w:cs="Times New Roman" w:eastAsia="Times New Roman" w:hAnsi="Times New Roman"/>
                <w:sz w:val="12"/>
                <w:szCs w:val="12"/>
                <w:color w:val="auto"/>
                <w:vertAlign w:val="superscript"/>
              </w:rPr>
              <w:t>(10)</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98,286</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983</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997</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OES Co-Invest, LP Class A Common Equity</w:t>
            </w:r>
          </w:p>
        </w:tc>
        <w:tc>
          <w:tcPr>
            <w:tcW w:w="1000" w:type="dxa"/>
            <w:vAlign w:val="bottom"/>
          </w:tcPr>
          <w:p>
            <w:pPr>
              <w:spacing w:after="0"/>
              <w:rPr>
                <w:sz w:val="10"/>
                <w:szCs w:val="1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80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847</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937</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OHCP V BC COI, L.P.</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694,943</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695</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443</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OHCP V BC COI, L.P. - Unfunded </w:t>
            </w:r>
            <w:r>
              <w:rPr>
                <w:rFonts w:ascii="Times New Roman" w:cs="Times New Roman" w:eastAsia="Times New Roman" w:hAnsi="Times New Roman"/>
                <w:sz w:val="12"/>
                <w:szCs w:val="12"/>
                <w:color w:val="auto"/>
                <w:vertAlign w:val="superscript"/>
              </w:rPr>
              <w:t>(8)</w:t>
            </w:r>
          </w:p>
        </w:tc>
        <w:tc>
          <w:tcPr>
            <w:tcW w:w="1000" w:type="dxa"/>
            <w:vAlign w:val="bottom"/>
          </w:tcPr>
          <w:p>
            <w:pPr>
              <w:spacing w:after="0"/>
              <w:rPr>
                <w:sz w:val="10"/>
                <w:szCs w:val="1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0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55,057</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ORL Holdco, Inc.</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638</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OSP Embedded Aggregator, LP</w:t>
            </w:r>
          </w:p>
        </w:tc>
        <w:tc>
          <w:tcPr>
            <w:tcW w:w="1000" w:type="dxa"/>
            <w:vAlign w:val="bottom"/>
          </w:tcPr>
          <w:p>
            <w:pPr>
              <w:spacing w:after="0"/>
              <w:rPr>
                <w:sz w:val="10"/>
                <w:szCs w:val="1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0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870,536</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871</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553</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PAR Excellence Holdings, Inc. - Common Equity</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1,087,000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1,087</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1,087</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PCS Parent, LP</w:t>
            </w:r>
          </w:p>
        </w:tc>
        <w:tc>
          <w:tcPr>
            <w:tcW w:w="1000" w:type="dxa"/>
            <w:vAlign w:val="bottom"/>
          </w:tcPr>
          <w:p>
            <w:pPr>
              <w:spacing w:after="0"/>
              <w:rPr>
                <w:sz w:val="10"/>
                <w:szCs w:val="1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80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421,304</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421</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442</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PennantPark-TSO Senior Loan Fund II, LP </w:t>
            </w:r>
            <w:r>
              <w:rPr>
                <w:rFonts w:ascii="Times New Roman" w:cs="Times New Roman" w:eastAsia="Times New Roman" w:hAnsi="Times New Roman"/>
                <w:sz w:val="12"/>
                <w:szCs w:val="12"/>
                <w:color w:val="auto"/>
                <w:vertAlign w:val="superscript"/>
              </w:rPr>
              <w:t>(12)</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8,115,794</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8,116</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8,126</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Pink Lily Holdco, LLC </w:t>
            </w:r>
            <w:r>
              <w:rPr>
                <w:rFonts w:ascii="Times New Roman" w:cs="Times New Roman" w:eastAsia="Times New Roman" w:hAnsi="Times New Roman"/>
                <w:sz w:val="12"/>
                <w:szCs w:val="12"/>
                <w:color w:val="auto"/>
                <w:vertAlign w:val="superscript"/>
              </w:rPr>
              <w:t>(10)</w:t>
            </w:r>
          </w:p>
        </w:tc>
        <w:tc>
          <w:tcPr>
            <w:tcW w:w="1000" w:type="dxa"/>
            <w:vAlign w:val="bottom"/>
          </w:tcPr>
          <w:p>
            <w:pPr>
              <w:spacing w:after="0"/>
              <w:rPr>
                <w:sz w:val="10"/>
                <w:szCs w:val="1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80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1,044</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1,044</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Pragmatic Institute, LLC</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1,918,047</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1,918</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4"/>
        </w:trPr>
        <w:tc>
          <w:tcPr>
            <w:tcW w:w="31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Quad (U.S.) Co-Invest, L.P.</w:t>
            </w:r>
          </w:p>
        </w:tc>
        <w:tc>
          <w:tcPr>
            <w:tcW w:w="1000" w:type="dxa"/>
            <w:vAlign w:val="bottom"/>
          </w:tcPr>
          <w:p>
            <w:pPr>
              <w:spacing w:after="0"/>
              <w:rPr>
                <w:sz w:val="10"/>
                <w:szCs w:val="10"/>
                <w:color w:val="auto"/>
              </w:rPr>
            </w:pP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tcPr>
          <w:p>
            <w:pPr>
              <w:spacing w:after="0"/>
              <w:rPr>
                <w:sz w:val="10"/>
                <w:szCs w:val="10"/>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vMerge w:val="restart"/>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2,958,706</w:t>
            </w:r>
          </w:p>
        </w:tc>
        <w:tc>
          <w:tcPr>
            <w:tcW w:w="200" w:type="dxa"/>
            <w:vAlign w:val="bottom"/>
          </w:tcPr>
          <w:p>
            <w:pPr>
              <w:spacing w:after="0"/>
              <w:rPr>
                <w:sz w:val="10"/>
                <w:szCs w:val="10"/>
                <w:color w:val="auto"/>
              </w:rPr>
            </w:pPr>
          </w:p>
        </w:tc>
        <w:tc>
          <w:tcPr>
            <w:tcW w:w="4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2,959</w:t>
            </w:r>
          </w:p>
        </w:tc>
        <w:tc>
          <w:tcPr>
            <w:tcW w:w="280" w:type="dxa"/>
            <w:vAlign w:val="bottom"/>
          </w:tcPr>
          <w:p>
            <w:pPr>
              <w:spacing w:after="0"/>
              <w:rPr>
                <w:sz w:val="10"/>
                <w:szCs w:val="10"/>
                <w:color w:val="auto"/>
              </w:rPr>
            </w:pPr>
          </w:p>
        </w:tc>
        <w:tc>
          <w:tcPr>
            <w:tcW w:w="52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3,780</w:t>
            </w:r>
          </w:p>
        </w:tc>
        <w:tc>
          <w:tcPr>
            <w:tcW w:w="0" w:type="dxa"/>
            <w:vAlign w:val="bottom"/>
          </w:tcPr>
          <w:p>
            <w:pPr>
              <w:spacing w:after="0"/>
              <w:rPr>
                <w:sz w:val="1"/>
                <w:szCs w:val="1"/>
                <w:color w:val="auto"/>
              </w:rPr>
            </w:pPr>
          </w:p>
        </w:tc>
      </w:tr>
      <w:tr>
        <w:trPr>
          <w:trHeight w:val="92"/>
        </w:trPr>
        <w:tc>
          <w:tcPr>
            <w:tcW w:w="31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244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(10)</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172</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LP - Unfunded </w:t>
            </w:r>
            <w:r>
              <w:rPr>
                <w:rFonts w:ascii="Times New Roman" w:cs="Times New Roman" w:eastAsia="Times New Roman" w:hAnsi="Times New Roman"/>
                <w:sz w:val="12"/>
                <w:szCs w:val="12"/>
                <w:color w:val="auto"/>
                <w:vertAlign w:val="superscript"/>
              </w:rPr>
              <w:t>(8), (10)</w:t>
            </w:r>
          </w:p>
        </w:tc>
        <w:tc>
          <w:tcPr>
            <w:tcW w:w="1000" w:type="dxa"/>
            <w:vAlign w:val="bottom"/>
          </w:tcPr>
          <w:p>
            <w:pPr>
              <w:spacing w:after="0"/>
              <w:rPr>
                <w:sz w:val="10"/>
                <w:szCs w:val="1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0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955</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II LP </w:t>
            </w:r>
            <w:r>
              <w:rPr>
                <w:rFonts w:ascii="Times New Roman" w:cs="Times New Roman" w:eastAsia="Times New Roman" w:hAnsi="Times New Roman"/>
                <w:sz w:val="12"/>
                <w:szCs w:val="12"/>
                <w:color w:val="auto"/>
                <w:vertAlign w:val="superscript"/>
              </w:rPr>
              <w:t>(10)</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RFMG Parent, LP</w:t>
            </w:r>
          </w:p>
        </w:tc>
        <w:tc>
          <w:tcPr>
            <w:tcW w:w="1000" w:type="dxa"/>
            <w:vAlign w:val="bottom"/>
          </w:tcPr>
          <w:p>
            <w:pPr>
              <w:spacing w:after="0"/>
              <w:rPr>
                <w:sz w:val="10"/>
                <w:szCs w:val="1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0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1,050,000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1,050</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1,309</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Safe Haven Defense MidCo, LLC </w:t>
            </w:r>
            <w:r>
              <w:rPr>
                <w:rFonts w:ascii="Times New Roman" w:cs="Times New Roman" w:eastAsia="Times New Roman" w:hAnsi="Times New Roman"/>
                <w:sz w:val="12"/>
                <w:szCs w:val="12"/>
                <w:color w:val="auto"/>
                <w:vertAlign w:val="superscript"/>
              </w:rPr>
              <w:t>(10)</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227</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227</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247</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SBI Holdings Investments LLC</w:t>
            </w:r>
          </w:p>
        </w:tc>
        <w:tc>
          <w:tcPr>
            <w:tcW w:w="1000" w:type="dxa"/>
            <w:vAlign w:val="bottom"/>
          </w:tcPr>
          <w:p>
            <w:pPr>
              <w:spacing w:after="0"/>
              <w:rPr>
                <w:sz w:val="10"/>
                <w:szCs w:val="1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36,585</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366</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406</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Seaway Topco, LP</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2,981</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2,981</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2,006</w:t>
            </w:r>
          </w:p>
        </w:tc>
        <w:tc>
          <w:tcPr>
            <w:tcW w:w="0" w:type="dxa"/>
            <w:vAlign w:val="bottom"/>
          </w:tcPr>
          <w:p>
            <w:pPr>
              <w:spacing w:after="0"/>
              <w:rPr>
                <w:sz w:val="1"/>
                <w:szCs w:val="1"/>
                <w:color w:val="auto"/>
              </w:rPr>
            </w:pPr>
          </w:p>
        </w:tc>
      </w:tr>
      <w:tr>
        <w:trPr>
          <w:trHeight w:val="124"/>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SP L2 Holdings, LLC</w:t>
            </w:r>
          </w:p>
        </w:tc>
        <w:tc>
          <w:tcPr>
            <w:tcW w:w="1000" w:type="dxa"/>
            <w:vAlign w:val="bottom"/>
          </w:tcPr>
          <w:p>
            <w:pPr>
              <w:spacing w:after="0"/>
              <w:rPr>
                <w:sz w:val="10"/>
                <w:szCs w:val="10"/>
                <w:color w:val="auto"/>
              </w:rPr>
            </w:pP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00" w:type="dxa"/>
            <w:vAlign w:val="bottom"/>
          </w:tcPr>
          <w:p>
            <w:pPr>
              <w:spacing w:after="0"/>
              <w:rPr>
                <w:sz w:val="10"/>
                <w:szCs w:val="10"/>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vMerge w:val="restart"/>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881,966</w:t>
            </w:r>
          </w:p>
        </w:tc>
        <w:tc>
          <w:tcPr>
            <w:tcW w:w="200" w:type="dxa"/>
            <w:vAlign w:val="bottom"/>
          </w:tcPr>
          <w:p>
            <w:pPr>
              <w:spacing w:after="0"/>
              <w:rPr>
                <w:sz w:val="10"/>
                <w:szCs w:val="10"/>
                <w:color w:val="auto"/>
              </w:rPr>
            </w:pPr>
          </w:p>
        </w:tc>
        <w:tc>
          <w:tcPr>
            <w:tcW w:w="4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882</w:t>
            </w:r>
          </w:p>
        </w:tc>
        <w:tc>
          <w:tcPr>
            <w:tcW w:w="280" w:type="dxa"/>
            <w:vAlign w:val="bottom"/>
          </w:tcPr>
          <w:p>
            <w:pPr>
              <w:spacing w:after="0"/>
              <w:rPr>
                <w:sz w:val="10"/>
                <w:szCs w:val="10"/>
                <w:color w:val="auto"/>
              </w:rPr>
            </w:pPr>
          </w:p>
        </w:tc>
        <w:tc>
          <w:tcPr>
            <w:tcW w:w="52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35</w:t>
            </w:r>
          </w:p>
        </w:tc>
        <w:tc>
          <w:tcPr>
            <w:tcW w:w="0" w:type="dxa"/>
            <w:vAlign w:val="bottom"/>
          </w:tcPr>
          <w:p>
            <w:pPr>
              <w:spacing w:after="0"/>
              <w:rPr>
                <w:sz w:val="1"/>
                <w:szCs w:val="1"/>
                <w:color w:val="auto"/>
              </w:rPr>
            </w:pPr>
          </w:p>
        </w:tc>
      </w:tr>
      <w:tr>
        <w:trPr>
          <w:trHeight w:val="56"/>
        </w:trPr>
        <w:tc>
          <w:tcPr>
            <w:tcW w:w="3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SSC Dominion Holdings, LLC</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4,154</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StellPen Holdings, LLC</w:t>
            </w:r>
          </w:p>
        </w:tc>
        <w:tc>
          <w:tcPr>
            <w:tcW w:w="1000" w:type="dxa"/>
            <w:vAlign w:val="bottom"/>
          </w:tcPr>
          <w:p>
            <w:pPr>
              <w:spacing w:after="0"/>
              <w:rPr>
                <w:sz w:val="10"/>
                <w:szCs w:val="1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0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153,846</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134</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SV Aero Holdings, LLC </w:t>
            </w:r>
            <w:r>
              <w:rPr>
                <w:rFonts w:ascii="Times New Roman" w:cs="Times New Roman" w:eastAsia="Times New Roman" w:hAnsi="Times New Roman"/>
                <w:sz w:val="12"/>
                <w:szCs w:val="12"/>
                <w:color w:val="auto"/>
                <w:vertAlign w:val="superscript"/>
              </w:rPr>
              <w:t>(10)</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218</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472</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TAC LifePort Holdings, LLC </w:t>
            </w:r>
            <w:r>
              <w:rPr>
                <w:rFonts w:ascii="Times New Roman" w:cs="Times New Roman" w:eastAsia="Times New Roman" w:hAnsi="Times New Roman"/>
                <w:sz w:val="12"/>
                <w:szCs w:val="12"/>
                <w:color w:val="auto"/>
                <w:vertAlign w:val="superscript"/>
              </w:rPr>
              <w:t>(10)</w:t>
            </w:r>
          </w:p>
        </w:tc>
        <w:tc>
          <w:tcPr>
            <w:tcW w:w="1000" w:type="dxa"/>
            <w:vAlign w:val="bottom"/>
          </w:tcPr>
          <w:p>
            <w:pPr>
              <w:spacing w:after="0"/>
              <w:rPr>
                <w:sz w:val="10"/>
                <w:szCs w:val="1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0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254,206</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239</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388</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TCG 3.0 Jogger Co-Invest, LP - Common Equity</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6,475</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1,252</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965</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Tower Arch Infolinks Media, LP </w:t>
            </w:r>
            <w:r>
              <w:rPr>
                <w:rFonts w:ascii="Times New Roman" w:cs="Times New Roman" w:eastAsia="Times New Roman" w:hAnsi="Times New Roman"/>
                <w:sz w:val="12"/>
                <w:szCs w:val="12"/>
                <w:color w:val="auto"/>
                <w:vertAlign w:val="superscript"/>
              </w:rPr>
              <w:t>(10)</w:t>
            </w:r>
          </w:p>
        </w:tc>
        <w:tc>
          <w:tcPr>
            <w:tcW w:w="1000" w:type="dxa"/>
            <w:vAlign w:val="bottom"/>
          </w:tcPr>
          <w:p>
            <w:pPr>
              <w:spacing w:after="0"/>
              <w:rPr>
                <w:sz w:val="10"/>
                <w:szCs w:val="1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0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542,000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251</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819</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Tower Arch Infolinks Media, LP - Unfunded </w:t>
            </w:r>
            <w:r>
              <w:rPr>
                <w:rFonts w:ascii="Times New Roman" w:cs="Times New Roman" w:eastAsia="Times New Roman" w:hAnsi="Times New Roman"/>
                <w:sz w:val="12"/>
                <w:szCs w:val="12"/>
                <w:color w:val="auto"/>
                <w:vertAlign w:val="superscript"/>
              </w:rPr>
              <w:t>(8), (10)</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353,444</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TPC Holding Company, LP</w:t>
            </w:r>
          </w:p>
        </w:tc>
        <w:tc>
          <w:tcPr>
            <w:tcW w:w="1000" w:type="dxa"/>
            <w:vAlign w:val="bottom"/>
          </w:tcPr>
          <w:p>
            <w:pPr>
              <w:spacing w:after="0"/>
              <w:rPr>
                <w:sz w:val="10"/>
                <w:szCs w:val="1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80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11,527</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61</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TPCN Holdings, LLC - Common Equity </w:t>
            </w:r>
            <w:r>
              <w:rPr>
                <w:rFonts w:ascii="Times New Roman" w:cs="Times New Roman" w:eastAsia="Times New Roman" w:hAnsi="Times New Roman"/>
                <w:sz w:val="12"/>
                <w:szCs w:val="12"/>
                <w:color w:val="auto"/>
                <w:vertAlign w:val="superscript"/>
              </w:rPr>
              <w:t>(10)</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473,400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473</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388</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TWD Parent Holdings, LLC</w:t>
            </w:r>
          </w:p>
        </w:tc>
        <w:tc>
          <w:tcPr>
            <w:tcW w:w="1000" w:type="dxa"/>
            <w:vAlign w:val="bottom"/>
          </w:tcPr>
          <w:p>
            <w:pPr>
              <w:spacing w:after="0"/>
              <w:rPr>
                <w:sz w:val="10"/>
                <w:szCs w:val="1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608</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United Land Services Holdings LLC - Common Equity</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184,049</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600</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600</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UniVista Insurance </w:t>
            </w:r>
            <w:r>
              <w:rPr>
                <w:rFonts w:ascii="Times New Roman" w:cs="Times New Roman" w:eastAsia="Times New Roman" w:hAnsi="Times New Roman"/>
                <w:sz w:val="12"/>
                <w:szCs w:val="12"/>
                <w:color w:val="auto"/>
                <w:vertAlign w:val="superscript"/>
              </w:rPr>
              <w:t>(10)</w:t>
            </w:r>
          </w:p>
        </w:tc>
        <w:tc>
          <w:tcPr>
            <w:tcW w:w="1000" w:type="dxa"/>
            <w:vAlign w:val="bottom"/>
          </w:tcPr>
          <w:p>
            <w:pPr>
              <w:spacing w:after="0"/>
              <w:rPr>
                <w:sz w:val="10"/>
                <w:szCs w:val="1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334</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844</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Urology Partners Co., L.P.</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1,111,111</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1,111</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1,184</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Watchtower Holdings, LLC </w:t>
            </w:r>
            <w:r>
              <w:rPr>
                <w:rFonts w:ascii="Times New Roman" w:cs="Times New Roman" w:eastAsia="Times New Roman" w:hAnsi="Times New Roman"/>
                <w:sz w:val="12"/>
                <w:szCs w:val="12"/>
                <w:color w:val="auto"/>
                <w:vertAlign w:val="superscript"/>
              </w:rPr>
              <w:t>(10)</w:t>
            </w:r>
          </w:p>
        </w:tc>
        <w:tc>
          <w:tcPr>
            <w:tcW w:w="1000" w:type="dxa"/>
            <w:vAlign w:val="bottom"/>
          </w:tcPr>
          <w:p>
            <w:pPr>
              <w:spacing w:after="0"/>
              <w:rPr>
                <w:sz w:val="10"/>
                <w:szCs w:val="1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80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12,419</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1,242</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1,292</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WCP Ivyrehab Coinvestment, LP </w:t>
            </w:r>
            <w:r>
              <w:rPr>
                <w:rFonts w:ascii="Times New Roman" w:cs="Times New Roman" w:eastAsia="Times New Roman" w:hAnsi="Times New Roman"/>
                <w:sz w:val="12"/>
                <w:szCs w:val="12"/>
                <w:color w:val="auto"/>
                <w:vertAlign w:val="superscript"/>
              </w:rPr>
              <w:t>(10)</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208</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208</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221</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WCP Ivyrehab QP CF Feeder, LP </w:t>
            </w:r>
            <w:r>
              <w:rPr>
                <w:rFonts w:ascii="Times New Roman" w:cs="Times New Roman" w:eastAsia="Times New Roman" w:hAnsi="Times New Roman"/>
                <w:sz w:val="12"/>
                <w:szCs w:val="12"/>
                <w:color w:val="auto"/>
                <w:vertAlign w:val="superscript"/>
              </w:rPr>
              <w:t>(10)</w:t>
            </w:r>
          </w:p>
        </w:tc>
        <w:tc>
          <w:tcPr>
            <w:tcW w:w="1000" w:type="dxa"/>
            <w:vAlign w:val="bottom"/>
          </w:tcPr>
          <w:p>
            <w:pPr>
              <w:spacing w:after="0"/>
              <w:rPr>
                <w:sz w:val="10"/>
                <w:szCs w:val="1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0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3,754</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3,793</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3,987</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WCP Ivyrehab QP CF Feeder, LP - Unfunded </w:t>
            </w:r>
            <w:r>
              <w:rPr>
                <w:rFonts w:ascii="Times New Roman" w:cs="Times New Roman" w:eastAsia="Times New Roman" w:hAnsi="Times New Roman"/>
                <w:sz w:val="12"/>
                <w:szCs w:val="12"/>
                <w:color w:val="auto"/>
                <w:vertAlign w:val="superscript"/>
              </w:rPr>
              <w:t>(8), (10)</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246</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Wildcat Parent, LP</w:t>
            </w:r>
          </w:p>
        </w:tc>
        <w:tc>
          <w:tcPr>
            <w:tcW w:w="1000" w:type="dxa"/>
            <w:vAlign w:val="bottom"/>
          </w:tcPr>
          <w:p>
            <w:pPr>
              <w:spacing w:after="0"/>
              <w:rPr>
                <w:sz w:val="10"/>
                <w:szCs w:val="1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80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2,314</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843</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Kentucky Racing Holdco, LLC (Warrants) </w:t>
            </w:r>
            <w:r>
              <w:rPr>
                <w:rFonts w:ascii="Times New Roman" w:cs="Times New Roman" w:eastAsia="Times New Roman" w:hAnsi="Times New Roman"/>
                <w:sz w:val="12"/>
                <w:szCs w:val="12"/>
                <w:color w:val="auto"/>
                <w:vertAlign w:val="superscript"/>
              </w:rPr>
              <w:t>(10)</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161,252</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1,711</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Common Equity/Partnership Interests/Warrants</w:t>
            </w:r>
          </w:p>
        </w:tc>
        <w:tc>
          <w:tcPr>
            <w:tcW w:w="10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111,008</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125,097</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US Government Securities - 20.2% of Net Assets</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U.S. Treasury Bill </w:t>
            </w:r>
            <w:r>
              <w:rPr>
                <w:rFonts w:ascii="Times New Roman" w:cs="Times New Roman" w:eastAsia="Times New Roman" w:hAnsi="Times New Roman"/>
                <w:sz w:val="12"/>
                <w:szCs w:val="12"/>
                <w:color w:val="auto"/>
                <w:vertAlign w:val="superscript"/>
              </w:rPr>
              <w:t>(5)</w:t>
            </w:r>
          </w:p>
        </w:tc>
        <w:tc>
          <w:tcPr>
            <w:tcW w:w="1000" w:type="dxa"/>
            <w:vAlign w:val="bottom"/>
          </w:tcPr>
          <w:p>
            <w:pPr>
              <w:jc w:val="center"/>
              <w:ind w:right="272"/>
              <w:spacing w:after="0"/>
              <w:rPr>
                <w:sz w:val="20"/>
                <w:szCs w:val="20"/>
                <w:color w:val="auto"/>
              </w:rPr>
            </w:pPr>
            <w:r>
              <w:rPr>
                <w:rFonts w:ascii="Times New Roman" w:cs="Times New Roman" w:eastAsia="Times New Roman" w:hAnsi="Times New Roman"/>
                <w:sz w:val="10"/>
                <w:szCs w:val="10"/>
                <w:color w:val="auto"/>
                <w:w w:val="96"/>
              </w:rPr>
              <w:t>10/29/2024</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Short-Term U.S. Government Securities</w:t>
            </w:r>
          </w:p>
        </w:tc>
        <w:tc>
          <w:tcPr>
            <w:tcW w:w="800" w:type="dxa"/>
            <w:vAlign w:val="bottom"/>
          </w:tcPr>
          <w:p>
            <w:pPr>
              <w:jc w:val="center"/>
              <w:ind w:left="372"/>
              <w:spacing w:after="0"/>
              <w:rPr>
                <w:sz w:val="20"/>
                <w:szCs w:val="20"/>
                <w:color w:val="auto"/>
              </w:rPr>
            </w:pPr>
            <w:r>
              <w:rPr>
                <w:rFonts w:ascii="Times New Roman" w:cs="Times New Roman" w:eastAsia="Times New Roman" w:hAnsi="Times New Roman"/>
                <w:sz w:val="10"/>
                <w:szCs w:val="10"/>
                <w:color w:val="auto"/>
              </w:rPr>
              <w:t>4.72%</w:t>
            </w:r>
          </w:p>
        </w:tc>
        <w:tc>
          <w:tcPr>
            <w:tcW w:w="220" w:type="dxa"/>
            <w:vAlign w:val="bottom"/>
          </w:tcPr>
          <w:p>
            <w:pPr>
              <w:spacing w:after="0"/>
              <w:rPr>
                <w:sz w:val="10"/>
                <w:szCs w:val="10"/>
                <w:color w:val="auto"/>
              </w:rPr>
            </w:pP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100,000</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99,652</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99,632</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US Government Securities</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99,652</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99,632</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99"/>
              </w:rPr>
              <w:t>Total Investments in Non-Controlled, Non-Affiliated Portfolio Companies</w:t>
            </w:r>
          </w:p>
        </w:tc>
        <w:tc>
          <w:tcPr>
            <w:tcW w:w="10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916,168</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910,323</w:t>
            </w:r>
          </w:p>
        </w:tc>
        <w:tc>
          <w:tcPr>
            <w:tcW w:w="0" w:type="dxa"/>
            <w:vAlign w:val="bottom"/>
          </w:tcPr>
          <w:p>
            <w:pPr>
              <w:spacing w:after="0"/>
              <w:rPr>
                <w:sz w:val="1"/>
                <w:szCs w:val="1"/>
                <w:color w:val="auto"/>
              </w:rPr>
            </w:pPr>
          </w:p>
        </w:tc>
      </w:tr>
      <w:tr>
        <w:trPr>
          <w:trHeight w:val="121"/>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Investments in Non-Controlled, Affiliated Portfolio Companies - 6.8% of Net</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19" w:lineRule="exact"/>
              <w:rPr>
                <w:sz w:val="20"/>
                <w:szCs w:val="20"/>
                <w:color w:val="auto"/>
              </w:rPr>
            </w:pPr>
            <w:r>
              <w:rPr>
                <w:rFonts w:ascii="Times New Roman" w:cs="Times New Roman" w:eastAsia="Times New Roman" w:hAnsi="Times New Roman"/>
                <w:sz w:val="13"/>
                <w:szCs w:val="13"/>
                <w:color w:val="auto"/>
                <w:vertAlign w:val="subscript"/>
              </w:rPr>
              <w:t>Assets</w:t>
            </w:r>
            <w:r>
              <w:rPr>
                <w:rFonts w:ascii="Times New Roman" w:cs="Times New Roman" w:eastAsia="Times New Roman" w:hAnsi="Times New Roman"/>
                <w:sz w:val="5"/>
                <w:szCs w:val="5"/>
                <w:color w:val="auto"/>
              </w:rPr>
              <w:t xml:space="preserve"> (1), (2)</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First Lien Secured Debt - 0.8%</w:t>
            </w:r>
          </w:p>
        </w:tc>
        <w:tc>
          <w:tcPr>
            <w:tcW w:w="10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w:t>
            </w:r>
            <w:r>
              <w:rPr>
                <w:rFonts w:ascii="Times New Roman" w:cs="Times New Roman" w:eastAsia="Times New Roman" w:hAnsi="Times New Roman"/>
                <w:sz w:val="12"/>
                <w:szCs w:val="12"/>
                <w:color w:val="auto"/>
                <w:vertAlign w:val="superscript"/>
              </w:rPr>
              <w:t>(11)</w:t>
            </w:r>
          </w:p>
        </w:tc>
        <w:tc>
          <w:tcPr>
            <w:tcW w:w="1000" w:type="dxa"/>
            <w:vAlign w:val="bottom"/>
            <w:shd w:val="clear" w:color="auto" w:fill="CCECFF"/>
          </w:tcPr>
          <w:p>
            <w:pPr>
              <w:jc w:val="center"/>
              <w:ind w:right="272"/>
              <w:spacing w:after="0"/>
              <w:rPr>
                <w:sz w:val="20"/>
                <w:szCs w:val="20"/>
                <w:color w:val="auto"/>
              </w:rPr>
            </w:pPr>
            <w:r>
              <w:rPr>
                <w:rFonts w:ascii="Times New Roman" w:cs="Times New Roman" w:eastAsia="Times New Roman" w:hAnsi="Times New Roman"/>
                <w:sz w:val="10"/>
                <w:szCs w:val="10"/>
                <w:color w:val="auto"/>
                <w:w w:val="96"/>
              </w:rPr>
              <w:t>03/01/2029</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10,877</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10,054</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979</w:t>
            </w:r>
          </w:p>
        </w:tc>
        <w:tc>
          <w:tcPr>
            <w:tcW w:w="0" w:type="dxa"/>
            <w:vAlign w:val="bottom"/>
          </w:tcPr>
          <w:p>
            <w:pPr>
              <w:spacing w:after="0"/>
              <w:rPr>
                <w:sz w:val="1"/>
                <w:szCs w:val="1"/>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 Unfunded Term Loan </w:t>
            </w:r>
            <w:r>
              <w:rPr>
                <w:rFonts w:ascii="Times New Roman" w:cs="Times New Roman" w:eastAsia="Times New Roman" w:hAnsi="Times New Roman"/>
                <w:sz w:val="12"/>
                <w:szCs w:val="12"/>
                <w:color w:val="auto"/>
                <w:vertAlign w:val="superscript"/>
              </w:rPr>
              <w:t>(11), (8)</w:t>
            </w:r>
          </w:p>
        </w:tc>
        <w:tc>
          <w:tcPr>
            <w:tcW w:w="1000" w:type="dxa"/>
            <w:vAlign w:val="bottom"/>
          </w:tcPr>
          <w:p>
            <w:pPr>
              <w:jc w:val="center"/>
              <w:ind w:right="272"/>
              <w:spacing w:after="0"/>
              <w:rPr>
                <w:sz w:val="20"/>
                <w:szCs w:val="20"/>
                <w:color w:val="auto"/>
              </w:rPr>
            </w:pPr>
            <w:r>
              <w:rPr>
                <w:rFonts w:ascii="Times New Roman" w:cs="Times New Roman" w:eastAsia="Times New Roman" w:hAnsi="Times New Roman"/>
                <w:sz w:val="10"/>
                <w:szCs w:val="10"/>
                <w:color w:val="auto"/>
                <w:w w:val="96"/>
              </w:rPr>
              <w:t>03/01/2029</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80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167</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(152)</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 Junior Revolver </w:t>
            </w:r>
            <w:r>
              <w:rPr>
                <w:rFonts w:ascii="Times New Roman" w:cs="Times New Roman" w:eastAsia="Times New Roman" w:hAnsi="Times New Roman"/>
                <w:sz w:val="12"/>
                <w:szCs w:val="12"/>
                <w:color w:val="auto"/>
                <w:vertAlign w:val="superscript"/>
              </w:rPr>
              <w:t>(11)</w:t>
            </w:r>
          </w:p>
        </w:tc>
        <w:tc>
          <w:tcPr>
            <w:tcW w:w="1000" w:type="dxa"/>
            <w:vAlign w:val="bottom"/>
            <w:shd w:val="clear" w:color="auto" w:fill="CCECFF"/>
          </w:tcPr>
          <w:p>
            <w:pPr>
              <w:jc w:val="center"/>
              <w:ind w:right="272"/>
              <w:spacing w:after="0"/>
              <w:rPr>
                <w:sz w:val="20"/>
                <w:szCs w:val="20"/>
                <w:color w:val="auto"/>
              </w:rPr>
            </w:pPr>
            <w:r>
              <w:rPr>
                <w:rFonts w:ascii="Times New Roman" w:cs="Times New Roman" w:eastAsia="Times New Roman" w:hAnsi="Times New Roman"/>
                <w:sz w:val="10"/>
                <w:szCs w:val="10"/>
                <w:color w:val="auto"/>
                <w:w w:val="96"/>
              </w:rPr>
              <w:t>03/01/2029</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3,333</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3,333</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3,333</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0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13,387</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4,160</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Preferred Equity/Partnership Interests - 5.9% of Net Assets </w:t>
            </w:r>
            <w:r>
              <w:rPr>
                <w:rFonts w:ascii="Times New Roman" w:cs="Times New Roman" w:eastAsia="Times New Roman" w:hAnsi="Times New Roman"/>
                <w:sz w:val="12"/>
                <w:szCs w:val="12"/>
                <w:b w:val="1"/>
                <w:bCs w:val="1"/>
                <w:color w:val="auto"/>
                <w:vertAlign w:val="superscript"/>
              </w:rPr>
              <w:t>(6)</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Cascade Environmental Holdings, LLC (Preferred)</w:t>
            </w:r>
          </w:p>
        </w:tc>
        <w:tc>
          <w:tcPr>
            <w:tcW w:w="1000" w:type="dxa"/>
            <w:vAlign w:val="bottom"/>
          </w:tcPr>
          <w:p>
            <w:pPr>
              <w:spacing w:after="0"/>
              <w:rPr>
                <w:sz w:val="10"/>
                <w:szCs w:val="1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00" w:type="dxa"/>
            <w:vAlign w:val="bottom"/>
          </w:tcPr>
          <w:p>
            <w:pPr>
              <w:spacing w:after="0"/>
              <w:rPr>
                <w:sz w:val="10"/>
                <w:szCs w:val="1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5,887,236</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32,791</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27,931</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Cascade Environmental Holdings, LLC - Series B</w:t>
            </w: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918</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918</w:t>
            </w: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1,331</w:t>
            </w:r>
          </w:p>
        </w:tc>
        <w:tc>
          <w:tcPr>
            <w:tcW w:w="0" w:type="dxa"/>
            <w:vAlign w:val="bottom"/>
          </w:tcPr>
          <w:p>
            <w:pPr>
              <w:spacing w:after="0"/>
              <w:rPr>
                <w:sz w:val="1"/>
                <w:szCs w:val="1"/>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Preferred Equity/Partnership Interests</w:t>
            </w:r>
          </w:p>
        </w:tc>
        <w:tc>
          <w:tcPr>
            <w:tcW w:w="10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33,709</w:t>
            </w:r>
          </w:p>
        </w:tc>
        <w:tc>
          <w:tcPr>
            <w:tcW w:w="28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29,262</w:t>
            </w:r>
          </w:p>
        </w:tc>
        <w:tc>
          <w:tcPr>
            <w:tcW w:w="0" w:type="dxa"/>
            <w:vAlign w:val="bottom"/>
          </w:tcPr>
          <w:p>
            <w:pPr>
              <w:spacing w:after="0"/>
              <w:rPr>
                <w:sz w:val="1"/>
                <w:szCs w:val="1"/>
                <w:color w:val="auto"/>
              </w:rPr>
            </w:pPr>
          </w:p>
        </w:tc>
      </w:tr>
      <w:tr>
        <w:trPr>
          <w:trHeight w:val="120"/>
        </w:trPr>
        <w:tc>
          <w:tcPr>
            <w:tcW w:w="31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80" w:type="dxa"/>
            <w:vAlign w:val="bottom"/>
          </w:tcPr>
          <w:p>
            <w:pPr>
              <w:jc w:val="center"/>
              <w:ind w:right="252"/>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100" w:type="dxa"/>
            <w:vAlign w:val="bottom"/>
          </w:tcPr>
          <w:p>
            <w:pPr>
              <w:jc w:val="center"/>
              <w:ind w:left="29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00" w:type="dxa"/>
            <w:vAlign w:val="bottom"/>
          </w:tcPr>
          <w:p>
            <w:pPr>
              <w:spacing w:after="0"/>
              <w:rPr>
                <w:sz w:val="10"/>
                <w:szCs w:val="10"/>
                <w:color w:val="auto"/>
              </w:rPr>
            </w:pPr>
          </w:p>
        </w:tc>
        <w:tc>
          <w:tcPr>
            <w:tcW w:w="46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800" w:type="dxa"/>
            <w:vAlign w:val="bottom"/>
            <w:gridSpan w:val="2"/>
          </w:tcPr>
          <w:p>
            <w:pPr>
              <w:jc w:val="right"/>
              <w:ind w:right="7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b w:val="1"/>
                <w:bCs w:val="1"/>
                <w:color w:val="auto"/>
                <w:w w:val="99"/>
              </w:rPr>
              <w:t xml:space="preserve">Common Equity/Partnership Interests/Warrants - 0.0% of Net Assets </w:t>
            </w:r>
            <w:r>
              <w:rPr>
                <w:rFonts w:ascii="Times New Roman" w:cs="Times New Roman" w:eastAsia="Times New Roman" w:hAnsi="Times New Roman"/>
                <w:sz w:val="12"/>
                <w:szCs w:val="12"/>
                <w:b w:val="1"/>
                <w:bCs w:val="1"/>
                <w:color w:val="auto"/>
                <w:w w:val="99"/>
                <w:vertAlign w:val="superscript"/>
              </w:rPr>
              <w:t>(6)</w:t>
            </w:r>
          </w:p>
        </w:tc>
        <w:tc>
          <w:tcPr>
            <w:tcW w:w="1080" w:type="dxa"/>
            <w:vAlign w:val="bottom"/>
            <w:shd w:val="clear" w:color="auto" w:fill="CCECFF"/>
          </w:tcPr>
          <w:p>
            <w:pPr>
              <w:spacing w:after="0"/>
              <w:rPr>
                <w:sz w:val="10"/>
                <w:szCs w:val="10"/>
                <w:color w:val="auto"/>
              </w:rPr>
            </w:pPr>
          </w:p>
        </w:tc>
        <w:tc>
          <w:tcPr>
            <w:tcW w:w="2300" w:type="dxa"/>
            <w:vAlign w:val="bottom"/>
            <w:shd w:val="clear" w:color="auto" w:fill="CCECFF"/>
          </w:tcPr>
          <w:p>
            <w:pPr>
              <w:spacing w:after="0"/>
              <w:rPr>
                <w:sz w:val="10"/>
                <w:szCs w:val="10"/>
                <w:color w:val="auto"/>
              </w:rPr>
            </w:pPr>
          </w:p>
        </w:tc>
        <w:tc>
          <w:tcPr>
            <w:tcW w:w="11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Cascade Environmental Holdings, LLC</w:t>
            </w:r>
          </w:p>
        </w:tc>
        <w:tc>
          <w:tcPr>
            <w:tcW w:w="1080" w:type="dxa"/>
            <w:vAlign w:val="bottom"/>
          </w:tcPr>
          <w:p>
            <w:pPr>
              <w:spacing w:after="0"/>
              <w:rPr>
                <w:sz w:val="10"/>
                <w:szCs w:val="10"/>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10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7,444,347</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2,852</w:t>
            </w:r>
          </w:p>
        </w:tc>
        <w:tc>
          <w:tcPr>
            <w:tcW w:w="240" w:type="dxa"/>
            <w:vAlign w:val="bottom"/>
          </w:tcPr>
          <w:p>
            <w:pPr>
              <w:spacing w:after="0"/>
              <w:rPr>
                <w:sz w:val="10"/>
                <w:szCs w:val="1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Walker Edison Furniture</w:t>
            </w:r>
          </w:p>
        </w:tc>
        <w:tc>
          <w:tcPr>
            <w:tcW w:w="1080" w:type="dxa"/>
            <w:vAlign w:val="bottom"/>
            <w:shd w:val="clear" w:color="auto" w:fill="CCECFF"/>
          </w:tcPr>
          <w:p>
            <w:pPr>
              <w:spacing w:after="0"/>
              <w:rPr>
                <w:sz w:val="10"/>
                <w:szCs w:val="10"/>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72,917</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6,786</w:t>
            </w:r>
          </w:p>
        </w:tc>
        <w:tc>
          <w:tcPr>
            <w:tcW w:w="2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Common Equity/Partnership Interests/Warrants</w:t>
            </w:r>
          </w:p>
        </w:tc>
        <w:tc>
          <w:tcPr>
            <w:tcW w:w="10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9,638</w:t>
            </w:r>
          </w:p>
        </w:tc>
        <w:tc>
          <w:tcPr>
            <w:tcW w:w="240" w:type="dxa"/>
            <w:vAlign w:val="bottom"/>
          </w:tcPr>
          <w:p>
            <w:pPr>
              <w:spacing w:after="0"/>
              <w:rPr>
                <w:sz w:val="10"/>
                <w:szCs w:val="1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Investments in Non-Controlled, Affiliated Portfolio Companies</w:t>
            </w:r>
          </w:p>
        </w:tc>
        <w:tc>
          <w:tcPr>
            <w:tcW w:w="1080" w:type="dxa"/>
            <w:vAlign w:val="bottom"/>
            <w:shd w:val="clear" w:color="auto" w:fill="CCECFF"/>
          </w:tcPr>
          <w:p>
            <w:pPr>
              <w:spacing w:after="0"/>
              <w:rPr>
                <w:sz w:val="10"/>
                <w:szCs w:val="10"/>
                <w:color w:val="auto"/>
              </w:rPr>
            </w:pPr>
          </w:p>
        </w:tc>
        <w:tc>
          <w:tcPr>
            <w:tcW w:w="2300" w:type="dxa"/>
            <w:vAlign w:val="bottom"/>
            <w:shd w:val="clear" w:color="auto" w:fill="CCECFF"/>
          </w:tcPr>
          <w:p>
            <w:pPr>
              <w:spacing w:after="0"/>
              <w:rPr>
                <w:sz w:val="10"/>
                <w:szCs w:val="10"/>
                <w:color w:val="auto"/>
              </w:rPr>
            </w:pPr>
          </w:p>
        </w:tc>
        <w:tc>
          <w:tcPr>
            <w:tcW w:w="11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56,734</w:t>
            </w:r>
          </w:p>
        </w:tc>
        <w:tc>
          <w:tcPr>
            <w:tcW w:w="2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33,423</w:t>
            </w:r>
          </w:p>
        </w:tc>
        <w:tc>
          <w:tcPr>
            <w:tcW w:w="0" w:type="dxa"/>
            <w:vAlign w:val="bottom"/>
          </w:tcPr>
          <w:p>
            <w:pPr>
              <w:spacing w:after="0"/>
              <w:rPr>
                <w:sz w:val="1"/>
                <w:szCs w:val="1"/>
                <w:color w:val="auto"/>
              </w:rPr>
            </w:pPr>
          </w:p>
        </w:tc>
      </w:tr>
      <w:tr>
        <w:trPr>
          <w:trHeight w:val="120"/>
        </w:trPr>
        <w:tc>
          <w:tcPr>
            <w:tcW w:w="312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Investments in Controlled, Affiliated Portfolio Companies - 77.8% </w:t>
            </w:r>
            <w:r>
              <w:rPr>
                <w:rFonts w:ascii="Times New Roman" w:cs="Times New Roman" w:eastAsia="Times New Roman" w:hAnsi="Times New Roman"/>
                <w:sz w:val="12"/>
                <w:szCs w:val="12"/>
                <w:color w:val="auto"/>
                <w:vertAlign w:val="superscript"/>
              </w:rPr>
              <w:t>(1), (2)</w:t>
            </w:r>
          </w:p>
        </w:tc>
        <w:tc>
          <w:tcPr>
            <w:tcW w:w="10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First Lien Secured Debt - 21.5% of Net Assets</w:t>
            </w:r>
          </w:p>
        </w:tc>
        <w:tc>
          <w:tcPr>
            <w:tcW w:w="1080" w:type="dxa"/>
            <w:vAlign w:val="bottom"/>
            <w:shd w:val="clear" w:color="auto" w:fill="CCECFF"/>
          </w:tcPr>
          <w:p>
            <w:pPr>
              <w:spacing w:after="0"/>
              <w:rPr>
                <w:sz w:val="10"/>
                <w:szCs w:val="10"/>
                <w:color w:val="auto"/>
              </w:rPr>
            </w:pPr>
          </w:p>
        </w:tc>
        <w:tc>
          <w:tcPr>
            <w:tcW w:w="2300" w:type="dxa"/>
            <w:vAlign w:val="bottom"/>
            <w:shd w:val="clear" w:color="auto" w:fill="CCECFF"/>
          </w:tcPr>
          <w:p>
            <w:pPr>
              <w:spacing w:after="0"/>
              <w:rPr>
                <w:sz w:val="10"/>
                <w:szCs w:val="10"/>
                <w:color w:val="auto"/>
              </w:rPr>
            </w:pPr>
          </w:p>
        </w:tc>
        <w:tc>
          <w:tcPr>
            <w:tcW w:w="11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GBP</w:t>
            </w: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2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AKW Holdings Limited (GBP) </w:t>
            </w:r>
            <w:r>
              <w:rPr>
                <w:rFonts w:ascii="Times New Roman" w:cs="Times New Roman" w:eastAsia="Times New Roman" w:hAnsi="Times New Roman"/>
                <w:sz w:val="12"/>
                <w:szCs w:val="12"/>
                <w:color w:val="auto"/>
                <w:vertAlign w:val="superscript"/>
              </w:rPr>
              <w:t>(9), (12)</w:t>
            </w:r>
          </w:p>
        </w:tc>
        <w:tc>
          <w:tcPr>
            <w:tcW w:w="1080" w:type="dxa"/>
            <w:vAlign w:val="bottom"/>
          </w:tcPr>
          <w:p>
            <w:pPr>
              <w:jc w:val="center"/>
              <w:ind w:right="272"/>
              <w:spacing w:after="0"/>
              <w:rPr>
                <w:sz w:val="20"/>
                <w:szCs w:val="20"/>
                <w:color w:val="auto"/>
              </w:rPr>
            </w:pPr>
            <w:r>
              <w:rPr>
                <w:rFonts w:ascii="Times New Roman" w:cs="Times New Roman" w:eastAsia="Times New Roman" w:hAnsi="Times New Roman"/>
                <w:sz w:val="10"/>
                <w:szCs w:val="10"/>
                <w:color w:val="auto"/>
                <w:w w:val="96"/>
              </w:rPr>
              <w:t>03/15/2027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12.16%</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SOFR+700</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42,457</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58,075</w:t>
            </w:r>
          </w:p>
        </w:tc>
        <w:tc>
          <w:tcPr>
            <w:tcW w:w="240" w:type="dxa"/>
            <w:vAlign w:val="bottom"/>
          </w:tcPr>
          <w:p>
            <w:pPr>
              <w:spacing w:after="0"/>
              <w:rPr>
                <w:sz w:val="10"/>
                <w:szCs w:val="1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56,950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2300" w:type="dxa"/>
            <w:vAlign w:val="bottom"/>
            <w:shd w:val="clear" w:color="auto" w:fill="CCECFF"/>
          </w:tcPr>
          <w:p>
            <w:pPr>
              <w:spacing w:after="0"/>
              <w:rPr>
                <w:sz w:val="10"/>
                <w:szCs w:val="10"/>
                <w:color w:val="auto"/>
              </w:rPr>
            </w:pPr>
          </w:p>
        </w:tc>
        <w:tc>
          <w:tcPr>
            <w:tcW w:w="11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(PIK 5.47%)</w:t>
            </w: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JF Holdings Corp.</w:t>
            </w:r>
          </w:p>
        </w:tc>
        <w:tc>
          <w:tcPr>
            <w:tcW w:w="1080" w:type="dxa"/>
            <w:vAlign w:val="bottom"/>
            <w:shd w:val="clear" w:color="auto" w:fill="CCECFF"/>
          </w:tcPr>
          <w:p>
            <w:pPr>
              <w:jc w:val="center"/>
              <w:ind w:right="272"/>
              <w:spacing w:after="0"/>
              <w:rPr>
                <w:sz w:val="20"/>
                <w:szCs w:val="20"/>
                <w:color w:val="auto"/>
              </w:rPr>
            </w:pPr>
            <w:r>
              <w:rPr>
                <w:rFonts w:ascii="Times New Roman" w:cs="Times New Roman" w:eastAsia="Times New Roman" w:hAnsi="Times New Roman"/>
                <w:sz w:val="10"/>
                <w:szCs w:val="10"/>
                <w:color w:val="auto"/>
                <w:w w:val="96"/>
              </w:rPr>
              <w:t>07/31/2026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7"/>
              </w:rPr>
              <w:t>11.30%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3M SOFR+605</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49,625</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49,114</w:t>
            </w:r>
          </w:p>
        </w:tc>
        <w:tc>
          <w:tcPr>
            <w:tcW w:w="2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49,129</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3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31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080" w:type="dxa"/>
            <w:vAlign w:val="bottom"/>
            <w:shd w:val="clear" w:color="auto" w:fill="CCECFF"/>
          </w:tcPr>
          <w:p>
            <w:pPr>
              <w:spacing w:after="0"/>
              <w:rPr>
                <w:sz w:val="10"/>
                <w:szCs w:val="10"/>
                <w:color w:val="auto"/>
              </w:rPr>
            </w:pPr>
          </w:p>
        </w:tc>
        <w:tc>
          <w:tcPr>
            <w:tcW w:w="2300" w:type="dxa"/>
            <w:vAlign w:val="bottom"/>
            <w:shd w:val="clear" w:color="auto" w:fill="CCECFF"/>
          </w:tcPr>
          <w:p>
            <w:pPr>
              <w:spacing w:after="0"/>
              <w:rPr>
                <w:sz w:val="10"/>
                <w:szCs w:val="10"/>
                <w:color w:val="auto"/>
              </w:rPr>
            </w:pPr>
          </w:p>
        </w:tc>
        <w:tc>
          <w:tcPr>
            <w:tcW w:w="11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107,189</w:t>
            </w:r>
          </w:p>
        </w:tc>
        <w:tc>
          <w:tcPr>
            <w:tcW w:w="2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106,079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Subordinated Debt - 28.0% of Net Assets</w:t>
            </w:r>
          </w:p>
        </w:tc>
        <w:tc>
          <w:tcPr>
            <w:tcW w:w="10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Flock Financial, LLC </w:t>
            </w:r>
            <w:r>
              <w:rPr>
                <w:rFonts w:ascii="Times New Roman" w:cs="Times New Roman" w:eastAsia="Times New Roman" w:hAnsi="Times New Roman"/>
                <w:sz w:val="12"/>
                <w:szCs w:val="12"/>
                <w:color w:val="auto"/>
                <w:vertAlign w:val="superscript"/>
              </w:rPr>
              <w:t>(12)</w:t>
            </w:r>
          </w:p>
        </w:tc>
        <w:tc>
          <w:tcPr>
            <w:tcW w:w="1080" w:type="dxa"/>
            <w:vAlign w:val="bottom"/>
            <w:shd w:val="clear" w:color="auto" w:fill="CCECFF"/>
          </w:tcPr>
          <w:p>
            <w:pPr>
              <w:jc w:val="center"/>
              <w:ind w:right="272"/>
              <w:spacing w:after="0"/>
              <w:rPr>
                <w:sz w:val="20"/>
                <w:szCs w:val="20"/>
                <w:color w:val="auto"/>
              </w:rPr>
            </w:pPr>
            <w:r>
              <w:rPr>
                <w:rFonts w:ascii="Times New Roman" w:cs="Times New Roman" w:eastAsia="Times New Roman" w:hAnsi="Times New Roman"/>
                <w:sz w:val="10"/>
                <w:szCs w:val="10"/>
                <w:color w:val="auto"/>
                <w:w w:val="96"/>
              </w:rPr>
              <w:t>10/19/2027</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7"/>
              </w:rPr>
              <w:t>14.50%</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22,208</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22,208</w:t>
            </w:r>
          </w:p>
        </w:tc>
        <w:tc>
          <w:tcPr>
            <w:tcW w:w="2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22,208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2300" w:type="dxa"/>
            <w:vAlign w:val="bottom"/>
            <w:shd w:val="clear" w:color="auto" w:fill="CCECFF"/>
          </w:tcPr>
          <w:p>
            <w:pPr>
              <w:spacing w:after="0"/>
              <w:rPr>
                <w:sz w:val="10"/>
                <w:szCs w:val="10"/>
                <w:color w:val="auto"/>
              </w:rPr>
            </w:pPr>
          </w:p>
        </w:tc>
        <w:tc>
          <w:tcPr>
            <w:tcW w:w="1100" w:type="dxa"/>
            <w:vAlign w:val="bottom"/>
            <w:shd w:val="clear" w:color="auto" w:fill="CCECFF"/>
          </w:tcPr>
          <w:p>
            <w:pPr>
              <w:jc w:val="center"/>
              <w:ind w:left="272"/>
              <w:spacing w:after="0"/>
              <w:rPr>
                <w:sz w:val="20"/>
                <w:szCs w:val="20"/>
                <w:color w:val="auto"/>
              </w:rPr>
            </w:pPr>
            <w:r>
              <w:rPr>
                <w:rFonts w:ascii="Times New Roman" w:cs="Times New Roman" w:eastAsia="Times New Roman" w:hAnsi="Times New Roman"/>
                <w:sz w:val="10"/>
                <w:szCs w:val="10"/>
                <w:color w:val="auto"/>
                <w:w w:val="96"/>
              </w:rPr>
              <w:t>(PIK 14.50%)</w:t>
            </w:r>
          </w:p>
        </w:tc>
        <w:tc>
          <w:tcPr>
            <w:tcW w:w="8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2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PennantPark Senior Loan Fund, LLC </w:t>
            </w:r>
            <w:r>
              <w:rPr>
                <w:rFonts w:ascii="Times New Roman" w:cs="Times New Roman" w:eastAsia="Times New Roman" w:hAnsi="Times New Roman"/>
                <w:sz w:val="12"/>
                <w:szCs w:val="12"/>
                <w:color w:val="auto"/>
                <w:vertAlign w:val="superscript"/>
              </w:rPr>
              <w:t>(12)</w:t>
            </w:r>
          </w:p>
        </w:tc>
        <w:tc>
          <w:tcPr>
            <w:tcW w:w="1080" w:type="dxa"/>
            <w:vAlign w:val="bottom"/>
          </w:tcPr>
          <w:p>
            <w:pPr>
              <w:jc w:val="center"/>
              <w:ind w:right="272"/>
              <w:spacing w:after="0"/>
              <w:rPr>
                <w:sz w:val="20"/>
                <w:szCs w:val="20"/>
                <w:color w:val="auto"/>
              </w:rPr>
            </w:pPr>
            <w:r>
              <w:rPr>
                <w:rFonts w:ascii="Times New Roman" w:cs="Times New Roman" w:eastAsia="Times New Roman" w:hAnsi="Times New Roman"/>
                <w:sz w:val="10"/>
                <w:szCs w:val="10"/>
                <w:color w:val="auto"/>
                <w:w w:val="96"/>
              </w:rPr>
              <w:t>07/31/2027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7"/>
              </w:rPr>
              <w:t>13.25%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3M SOFR+800</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115,886</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115,886</w:t>
            </w:r>
          </w:p>
        </w:tc>
        <w:tc>
          <w:tcPr>
            <w:tcW w:w="240" w:type="dxa"/>
            <w:vAlign w:val="bottom"/>
          </w:tcPr>
          <w:p>
            <w:pPr>
              <w:spacing w:after="0"/>
              <w:rPr>
                <w:sz w:val="10"/>
                <w:szCs w:val="1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115,886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Subordinated Debt</w:t>
            </w:r>
          </w:p>
        </w:tc>
        <w:tc>
          <w:tcPr>
            <w:tcW w:w="1080" w:type="dxa"/>
            <w:vAlign w:val="bottom"/>
            <w:shd w:val="clear" w:color="auto" w:fill="CCECFF"/>
          </w:tcPr>
          <w:p>
            <w:pPr>
              <w:spacing w:after="0"/>
              <w:rPr>
                <w:sz w:val="10"/>
                <w:szCs w:val="10"/>
                <w:color w:val="auto"/>
              </w:rPr>
            </w:pPr>
          </w:p>
        </w:tc>
        <w:tc>
          <w:tcPr>
            <w:tcW w:w="2300" w:type="dxa"/>
            <w:vAlign w:val="bottom"/>
            <w:shd w:val="clear" w:color="auto" w:fill="CCECFF"/>
          </w:tcPr>
          <w:p>
            <w:pPr>
              <w:spacing w:after="0"/>
              <w:rPr>
                <w:sz w:val="10"/>
                <w:szCs w:val="10"/>
                <w:color w:val="auto"/>
              </w:rPr>
            </w:pPr>
          </w:p>
        </w:tc>
        <w:tc>
          <w:tcPr>
            <w:tcW w:w="11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138,094</w:t>
            </w:r>
          </w:p>
        </w:tc>
        <w:tc>
          <w:tcPr>
            <w:tcW w:w="2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138,094</w:t>
            </w:r>
          </w:p>
        </w:tc>
        <w:tc>
          <w:tcPr>
            <w:tcW w:w="0" w:type="dxa"/>
            <w:vAlign w:val="bottom"/>
          </w:tcPr>
          <w:p>
            <w:pPr>
              <w:spacing w:after="0"/>
              <w:rPr>
                <w:sz w:val="1"/>
                <w:szCs w:val="1"/>
                <w:color w:val="auto"/>
              </w:rPr>
            </w:pPr>
          </w:p>
        </w:tc>
      </w:tr>
      <w:tr>
        <w:trPr>
          <w:trHeight w:val="120"/>
        </w:trPr>
        <w:tc>
          <w:tcPr>
            <w:tcW w:w="312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Preferred Equity - 5.4% of Net Assets </w:t>
            </w:r>
            <w:r>
              <w:rPr>
                <w:rFonts w:ascii="Times New Roman" w:cs="Times New Roman" w:eastAsia="Times New Roman" w:hAnsi="Times New Roman"/>
                <w:sz w:val="12"/>
                <w:szCs w:val="12"/>
                <w:color w:val="auto"/>
                <w:vertAlign w:val="superscript"/>
              </w:rPr>
              <w:t>(6)</w:t>
            </w:r>
          </w:p>
        </w:tc>
        <w:tc>
          <w:tcPr>
            <w:tcW w:w="10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Flock Financial Class A Preferred Equity </w:t>
            </w:r>
            <w:r>
              <w:rPr>
                <w:rFonts w:ascii="Times New Roman" w:cs="Times New Roman" w:eastAsia="Times New Roman" w:hAnsi="Times New Roman"/>
                <w:sz w:val="12"/>
                <w:szCs w:val="12"/>
                <w:color w:val="auto"/>
                <w:vertAlign w:val="superscript"/>
              </w:rPr>
              <w:t>(12)</w:t>
            </w:r>
          </w:p>
        </w:tc>
        <w:tc>
          <w:tcPr>
            <w:tcW w:w="1080" w:type="dxa"/>
            <w:vAlign w:val="bottom"/>
            <w:shd w:val="clear" w:color="auto" w:fill="CCECFF"/>
          </w:tcPr>
          <w:p>
            <w:pPr>
              <w:spacing w:after="0"/>
              <w:rPr>
                <w:sz w:val="10"/>
                <w:szCs w:val="10"/>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2,047,727</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7,313</w:t>
            </w:r>
          </w:p>
        </w:tc>
        <w:tc>
          <w:tcPr>
            <w:tcW w:w="2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7,313</w:t>
            </w:r>
          </w:p>
        </w:tc>
        <w:tc>
          <w:tcPr>
            <w:tcW w:w="0" w:type="dxa"/>
            <w:vAlign w:val="bottom"/>
          </w:tcPr>
          <w:p>
            <w:pPr>
              <w:spacing w:after="0"/>
              <w:rPr>
                <w:sz w:val="1"/>
                <w:szCs w:val="1"/>
                <w:color w:val="auto"/>
              </w:rPr>
            </w:pPr>
          </w:p>
        </w:tc>
      </w:tr>
      <w:tr>
        <w:trPr>
          <w:trHeight w:val="120"/>
        </w:trPr>
        <w:tc>
          <w:tcPr>
            <w:tcW w:w="312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Flock Financial Class B Preferred Equity </w:t>
            </w:r>
            <w:r>
              <w:rPr>
                <w:rFonts w:ascii="Times New Roman" w:cs="Times New Roman" w:eastAsia="Times New Roman" w:hAnsi="Times New Roman"/>
                <w:sz w:val="12"/>
                <w:szCs w:val="12"/>
                <w:color w:val="auto"/>
                <w:vertAlign w:val="superscript"/>
              </w:rPr>
              <w:t>(12)</w:t>
            </w:r>
          </w:p>
        </w:tc>
        <w:tc>
          <w:tcPr>
            <w:tcW w:w="1080" w:type="dxa"/>
            <w:vAlign w:val="bottom"/>
          </w:tcPr>
          <w:p>
            <w:pPr>
              <w:spacing w:after="0"/>
              <w:rPr>
                <w:sz w:val="10"/>
                <w:szCs w:val="10"/>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10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5,409,091</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19,318</w:t>
            </w:r>
          </w:p>
        </w:tc>
        <w:tc>
          <w:tcPr>
            <w:tcW w:w="240" w:type="dxa"/>
            <w:vAlign w:val="bottom"/>
          </w:tcPr>
          <w:p>
            <w:pPr>
              <w:spacing w:after="0"/>
              <w:rPr>
                <w:sz w:val="10"/>
                <w:szCs w:val="1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19,318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Preferred Equity</w:t>
            </w:r>
          </w:p>
        </w:tc>
        <w:tc>
          <w:tcPr>
            <w:tcW w:w="1080" w:type="dxa"/>
            <w:vAlign w:val="bottom"/>
            <w:shd w:val="clear" w:color="auto" w:fill="CCECFF"/>
          </w:tcPr>
          <w:p>
            <w:pPr>
              <w:spacing w:after="0"/>
              <w:rPr>
                <w:sz w:val="10"/>
                <w:szCs w:val="10"/>
                <w:color w:val="auto"/>
              </w:rPr>
            </w:pPr>
          </w:p>
        </w:tc>
        <w:tc>
          <w:tcPr>
            <w:tcW w:w="2300" w:type="dxa"/>
            <w:vAlign w:val="bottom"/>
            <w:shd w:val="clear" w:color="auto" w:fill="CCECFF"/>
          </w:tcPr>
          <w:p>
            <w:pPr>
              <w:spacing w:after="0"/>
              <w:rPr>
                <w:sz w:val="10"/>
                <w:szCs w:val="10"/>
                <w:color w:val="auto"/>
              </w:rPr>
            </w:pPr>
          </w:p>
        </w:tc>
        <w:tc>
          <w:tcPr>
            <w:tcW w:w="11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26,631</w:t>
            </w:r>
          </w:p>
        </w:tc>
        <w:tc>
          <w:tcPr>
            <w:tcW w:w="2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26,631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tcPr>
          <w:p>
            <w:pPr>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Common Equity - 23.0% of Net Assets </w:t>
            </w:r>
            <w:r>
              <w:rPr>
                <w:rFonts w:ascii="Times New Roman" w:cs="Times New Roman" w:eastAsia="Times New Roman" w:hAnsi="Times New Roman"/>
                <w:sz w:val="12"/>
                <w:szCs w:val="12"/>
                <w:b w:val="1"/>
                <w:bCs w:val="1"/>
                <w:color w:val="auto"/>
                <w:vertAlign w:val="superscript"/>
              </w:rPr>
              <w:t>(6)</w:t>
            </w:r>
          </w:p>
        </w:tc>
        <w:tc>
          <w:tcPr>
            <w:tcW w:w="10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AKW Holdings Limited - Common Equity </w:t>
            </w:r>
            <w:r>
              <w:rPr>
                <w:rFonts w:ascii="Times New Roman" w:cs="Times New Roman" w:eastAsia="Times New Roman" w:hAnsi="Times New Roman"/>
                <w:sz w:val="12"/>
                <w:szCs w:val="12"/>
                <w:color w:val="auto"/>
                <w:vertAlign w:val="superscript"/>
              </w:rPr>
              <w:t>(9), (12)</w:t>
            </w:r>
          </w:p>
        </w:tc>
        <w:tc>
          <w:tcPr>
            <w:tcW w:w="1080" w:type="dxa"/>
            <w:vAlign w:val="bottom"/>
            <w:shd w:val="clear" w:color="auto" w:fill="CCECFF"/>
          </w:tcPr>
          <w:p>
            <w:pPr>
              <w:spacing w:after="0"/>
              <w:rPr>
                <w:sz w:val="10"/>
                <w:szCs w:val="10"/>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950</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132</w:t>
            </w:r>
          </w:p>
        </w:tc>
        <w:tc>
          <w:tcPr>
            <w:tcW w:w="2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3,848</w:t>
            </w:r>
          </w:p>
        </w:tc>
        <w:tc>
          <w:tcPr>
            <w:tcW w:w="0" w:type="dxa"/>
            <w:vAlign w:val="bottom"/>
          </w:tcPr>
          <w:p>
            <w:pPr>
              <w:spacing w:after="0"/>
              <w:rPr>
                <w:sz w:val="1"/>
                <w:szCs w:val="1"/>
                <w:color w:val="auto"/>
              </w:rPr>
            </w:pPr>
          </w:p>
        </w:tc>
      </w:tr>
      <w:tr>
        <w:trPr>
          <w:trHeight w:val="120"/>
        </w:trPr>
        <w:tc>
          <w:tcPr>
            <w:tcW w:w="31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JF Intermediate, LLC</w:t>
            </w:r>
          </w:p>
        </w:tc>
        <w:tc>
          <w:tcPr>
            <w:tcW w:w="1080" w:type="dxa"/>
            <w:vAlign w:val="bottom"/>
          </w:tcPr>
          <w:p>
            <w:pPr>
              <w:spacing w:after="0"/>
              <w:rPr>
                <w:sz w:val="10"/>
                <w:szCs w:val="10"/>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10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43,918</w:t>
            </w: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4,488</w:t>
            </w:r>
          </w:p>
        </w:tc>
        <w:tc>
          <w:tcPr>
            <w:tcW w:w="240" w:type="dxa"/>
            <w:vAlign w:val="bottom"/>
          </w:tcPr>
          <w:p>
            <w:pPr>
              <w:spacing w:after="0"/>
              <w:rPr>
                <w:sz w:val="10"/>
                <w:szCs w:val="1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41,729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0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2300" w:type="dxa"/>
            <w:vAlign w:val="bottom"/>
            <w:shd w:val="clear" w:color="auto" w:fill="CCECFF"/>
          </w:tcPr>
          <w:p>
            <w:pPr>
              <w:spacing w:after="0"/>
              <w:rPr>
                <w:sz w:val="10"/>
                <w:szCs w:val="10"/>
                <w:color w:val="auto"/>
              </w:rPr>
            </w:pPr>
          </w:p>
        </w:tc>
        <w:tc>
          <w:tcPr>
            <w:tcW w:w="11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67,373,31</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PennantPark Senior Loan Fund, LLC </w:t>
            </w:r>
            <w:r>
              <w:rPr>
                <w:rFonts w:ascii="Times New Roman" w:cs="Times New Roman" w:eastAsia="Times New Roman" w:hAnsi="Times New Roman"/>
                <w:sz w:val="12"/>
                <w:szCs w:val="12"/>
                <w:color w:val="auto"/>
                <w:vertAlign w:val="superscript"/>
              </w:rPr>
              <w:t>(12)</w:t>
            </w:r>
          </w:p>
        </w:tc>
        <w:tc>
          <w:tcPr>
            <w:tcW w:w="1080" w:type="dxa"/>
            <w:vAlign w:val="bottom"/>
            <w:shd w:val="clear" w:color="auto" w:fill="CCECFF"/>
          </w:tcPr>
          <w:p>
            <w:pPr>
              <w:spacing w:after="0"/>
              <w:rPr>
                <w:sz w:val="10"/>
                <w:szCs w:val="10"/>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1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w:t>
            </w: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67,436</w:t>
            </w:r>
          </w:p>
        </w:tc>
        <w:tc>
          <w:tcPr>
            <w:tcW w:w="2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67,923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Common Equity</w:t>
            </w:r>
          </w:p>
        </w:tc>
        <w:tc>
          <w:tcPr>
            <w:tcW w:w="10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72,056</w:t>
            </w:r>
          </w:p>
        </w:tc>
        <w:tc>
          <w:tcPr>
            <w:tcW w:w="240" w:type="dxa"/>
            <w:vAlign w:val="bottom"/>
          </w:tcPr>
          <w:p>
            <w:pPr>
              <w:spacing w:after="0"/>
              <w:rPr>
                <w:sz w:val="10"/>
                <w:szCs w:val="1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113,500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Investments in Controlled, Affiliated Portfolio Companies</w:t>
            </w:r>
          </w:p>
        </w:tc>
        <w:tc>
          <w:tcPr>
            <w:tcW w:w="1080" w:type="dxa"/>
            <w:vAlign w:val="bottom"/>
            <w:shd w:val="clear" w:color="auto" w:fill="CCECFF"/>
          </w:tcPr>
          <w:p>
            <w:pPr>
              <w:spacing w:after="0"/>
              <w:rPr>
                <w:sz w:val="10"/>
                <w:szCs w:val="10"/>
                <w:color w:val="auto"/>
              </w:rPr>
            </w:pPr>
          </w:p>
        </w:tc>
        <w:tc>
          <w:tcPr>
            <w:tcW w:w="2300" w:type="dxa"/>
            <w:vAlign w:val="bottom"/>
            <w:shd w:val="clear" w:color="auto" w:fill="CCECFF"/>
          </w:tcPr>
          <w:p>
            <w:pPr>
              <w:spacing w:after="0"/>
              <w:rPr>
                <w:sz w:val="10"/>
                <w:szCs w:val="10"/>
                <w:color w:val="auto"/>
              </w:rPr>
            </w:pPr>
          </w:p>
        </w:tc>
        <w:tc>
          <w:tcPr>
            <w:tcW w:w="11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343,970</w:t>
            </w:r>
          </w:p>
        </w:tc>
        <w:tc>
          <w:tcPr>
            <w:tcW w:w="2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384,304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7"/>
              </w:rPr>
              <w:t>1,316,87</w:t>
            </w: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2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Total Investments - 268.9% of Net Assets </w:t>
            </w:r>
            <w:r>
              <w:rPr>
                <w:rFonts w:ascii="Times New Roman" w:cs="Times New Roman" w:eastAsia="Times New Roman" w:hAnsi="Times New Roman"/>
                <w:sz w:val="12"/>
                <w:szCs w:val="12"/>
                <w:color w:val="auto"/>
                <w:vertAlign w:val="superscript"/>
              </w:rPr>
              <w:t>(13), (14)</w:t>
            </w:r>
          </w:p>
        </w:tc>
        <w:tc>
          <w:tcPr>
            <w:tcW w:w="10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w:t>
            </w:r>
          </w:p>
        </w:tc>
        <w:tc>
          <w:tcPr>
            <w:tcW w:w="240" w:type="dxa"/>
            <w:vAlign w:val="bottom"/>
          </w:tcPr>
          <w:p>
            <w:pPr>
              <w:spacing w:after="0"/>
              <w:rPr>
                <w:sz w:val="10"/>
                <w:szCs w:val="1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1,328,050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Cash and Cash Equivalents - 10.1% of Net Assets</w:t>
            </w:r>
          </w:p>
        </w:tc>
        <w:tc>
          <w:tcPr>
            <w:tcW w:w="1080" w:type="dxa"/>
            <w:vAlign w:val="bottom"/>
            <w:shd w:val="clear" w:color="auto" w:fill="CCECFF"/>
          </w:tcPr>
          <w:p>
            <w:pPr>
              <w:spacing w:after="0"/>
              <w:rPr>
                <w:sz w:val="10"/>
                <w:szCs w:val="10"/>
                <w:color w:val="auto"/>
              </w:rPr>
            </w:pPr>
          </w:p>
        </w:tc>
        <w:tc>
          <w:tcPr>
            <w:tcW w:w="2300" w:type="dxa"/>
            <w:vAlign w:val="bottom"/>
            <w:shd w:val="clear" w:color="auto" w:fill="CCECFF"/>
          </w:tcPr>
          <w:p>
            <w:pPr>
              <w:spacing w:after="0"/>
              <w:rPr>
                <w:sz w:val="10"/>
                <w:szCs w:val="10"/>
                <w:color w:val="auto"/>
              </w:rPr>
            </w:pPr>
          </w:p>
        </w:tc>
        <w:tc>
          <w:tcPr>
            <w:tcW w:w="11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BlackRock Federal FD Institutional 81 (Money Market Fund)</w:t>
            </w:r>
          </w:p>
        </w:tc>
        <w:tc>
          <w:tcPr>
            <w:tcW w:w="10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rPr>
              <w:t>5.03%</w:t>
            </w: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38,769</w:t>
            </w:r>
          </w:p>
        </w:tc>
        <w:tc>
          <w:tcPr>
            <w:tcW w:w="240" w:type="dxa"/>
            <w:vAlign w:val="bottom"/>
          </w:tcPr>
          <w:p>
            <w:pPr>
              <w:spacing w:after="0"/>
              <w:rPr>
                <w:sz w:val="10"/>
                <w:szCs w:val="1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38,769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Non-Money Market Cash</w:t>
            </w:r>
          </w:p>
        </w:tc>
        <w:tc>
          <w:tcPr>
            <w:tcW w:w="1080" w:type="dxa"/>
            <w:vAlign w:val="bottom"/>
            <w:shd w:val="clear" w:color="auto" w:fill="CCECFF"/>
          </w:tcPr>
          <w:p>
            <w:pPr>
              <w:spacing w:after="0"/>
              <w:rPr>
                <w:sz w:val="10"/>
                <w:szCs w:val="10"/>
                <w:color w:val="auto"/>
              </w:rPr>
            </w:pPr>
          </w:p>
        </w:tc>
        <w:tc>
          <w:tcPr>
            <w:tcW w:w="2300" w:type="dxa"/>
            <w:vAlign w:val="bottom"/>
            <w:shd w:val="clear" w:color="auto" w:fill="CCECFF"/>
          </w:tcPr>
          <w:p>
            <w:pPr>
              <w:spacing w:after="0"/>
              <w:rPr>
                <w:sz w:val="10"/>
                <w:szCs w:val="10"/>
                <w:color w:val="auto"/>
              </w:rPr>
            </w:pPr>
          </w:p>
        </w:tc>
        <w:tc>
          <w:tcPr>
            <w:tcW w:w="11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11,064</w:t>
            </w:r>
          </w:p>
        </w:tc>
        <w:tc>
          <w:tcPr>
            <w:tcW w:w="2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11,092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10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49,833</w:t>
            </w:r>
          </w:p>
        </w:tc>
        <w:tc>
          <w:tcPr>
            <w:tcW w:w="240" w:type="dxa"/>
            <w:vAlign w:val="bottom"/>
          </w:tcPr>
          <w:p>
            <w:pPr>
              <w:spacing w:after="0"/>
              <w:rPr>
                <w:sz w:val="10"/>
                <w:szCs w:val="1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49,861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0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 - 279.0%</w:t>
            </w:r>
          </w:p>
        </w:tc>
        <w:tc>
          <w:tcPr>
            <w:tcW w:w="1080" w:type="dxa"/>
            <w:vAlign w:val="bottom"/>
            <w:shd w:val="clear" w:color="auto" w:fill="CCECFF"/>
          </w:tcPr>
          <w:p>
            <w:pPr>
              <w:spacing w:after="0"/>
              <w:rPr>
                <w:sz w:val="10"/>
                <w:szCs w:val="10"/>
                <w:color w:val="auto"/>
              </w:rPr>
            </w:pPr>
          </w:p>
        </w:tc>
        <w:tc>
          <w:tcPr>
            <w:tcW w:w="2300" w:type="dxa"/>
            <w:vAlign w:val="bottom"/>
            <w:shd w:val="clear" w:color="auto" w:fill="CCECFF"/>
          </w:tcPr>
          <w:p>
            <w:pPr>
              <w:spacing w:after="0"/>
              <w:rPr>
                <w:sz w:val="10"/>
                <w:szCs w:val="10"/>
                <w:color w:val="auto"/>
              </w:rPr>
            </w:pPr>
          </w:p>
        </w:tc>
        <w:tc>
          <w:tcPr>
            <w:tcW w:w="11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7"/>
              </w:rPr>
              <w:t>1,366,70</w:t>
            </w:r>
          </w:p>
        </w:tc>
        <w:tc>
          <w:tcPr>
            <w:tcW w:w="24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vMerge w:val="continue"/>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2300" w:type="dxa"/>
            <w:vAlign w:val="bottom"/>
            <w:shd w:val="clear" w:color="auto" w:fill="CCECFF"/>
          </w:tcPr>
          <w:p>
            <w:pPr>
              <w:spacing w:after="0"/>
              <w:rPr>
                <w:sz w:val="10"/>
                <w:szCs w:val="10"/>
                <w:color w:val="auto"/>
              </w:rPr>
            </w:pPr>
          </w:p>
        </w:tc>
        <w:tc>
          <w:tcPr>
            <w:tcW w:w="11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w:t>
            </w:r>
          </w:p>
        </w:tc>
        <w:tc>
          <w:tcPr>
            <w:tcW w:w="2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1,377,911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(179.0)%</w:t>
            </w:r>
          </w:p>
        </w:tc>
        <w:tc>
          <w:tcPr>
            <w:tcW w:w="10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(884,003)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Net Assets - 100%</w:t>
            </w:r>
          </w:p>
        </w:tc>
        <w:tc>
          <w:tcPr>
            <w:tcW w:w="1080" w:type="dxa"/>
            <w:vAlign w:val="bottom"/>
            <w:shd w:val="clear" w:color="auto" w:fill="CCECFF"/>
          </w:tcPr>
          <w:p>
            <w:pPr>
              <w:spacing w:after="0"/>
              <w:rPr>
                <w:sz w:val="10"/>
                <w:szCs w:val="10"/>
                <w:color w:val="auto"/>
              </w:rPr>
            </w:pPr>
          </w:p>
        </w:tc>
        <w:tc>
          <w:tcPr>
            <w:tcW w:w="2300" w:type="dxa"/>
            <w:vAlign w:val="bottom"/>
            <w:shd w:val="clear" w:color="auto" w:fill="CCECFF"/>
          </w:tcPr>
          <w:p>
            <w:pPr>
              <w:spacing w:after="0"/>
              <w:rPr>
                <w:sz w:val="10"/>
                <w:szCs w:val="10"/>
                <w:color w:val="auto"/>
              </w:rPr>
            </w:pPr>
          </w:p>
        </w:tc>
        <w:tc>
          <w:tcPr>
            <w:tcW w:w="110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493,908</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right="60"/>
        <w:spacing w:after="0" w:line="273" w:lineRule="auto"/>
        <w:rPr>
          <w:sz w:val="20"/>
          <w:szCs w:val="20"/>
          <w:color w:val="auto"/>
        </w:rPr>
      </w:pPr>
      <w:r>
        <w:rPr>
          <w:rFonts w:ascii="Times New Roman" w:cs="Times New Roman" w:eastAsia="Times New Roman" w:hAnsi="Times New Roman"/>
          <w:sz w:val="11"/>
          <w:szCs w:val="11"/>
          <w:color w:val="auto"/>
        </w:rPr>
        <w:t>(1)The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73" w:lineRule="auto"/>
        <w:rPr>
          <w:sz w:val="20"/>
          <w:szCs w:val="20"/>
          <w:color w:val="auto"/>
        </w:rPr>
      </w:pPr>
      <w:r>
        <w:rPr>
          <w:rFonts w:ascii="Times New Roman" w:cs="Times New Roman" w:eastAsia="Times New Roman" w:hAnsi="Times New Roman"/>
          <w:sz w:val="11"/>
          <w:szCs w:val="11"/>
          <w:color w:val="auto"/>
        </w:rPr>
        <w:t>(2)The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rPr>
          <w:sz w:val="20"/>
          <w:szCs w:val="20"/>
          <w:color w:val="auto"/>
        </w:rPr>
      </w:pPr>
      <w:r>
        <w:rPr>
          <w:rFonts w:ascii="Times New Roman" w:cs="Times New Roman" w:eastAsia="Times New Roman" w:hAnsi="Times New Roman"/>
          <w:sz w:val="11"/>
          <w:szCs w:val="11"/>
          <w:color w:val="auto"/>
        </w:rPr>
        <w:t>(3)Valued based on our accounting policy (See Note 2).</w:t>
      </w:r>
    </w:p>
    <w:p>
      <w:pPr>
        <w:spacing w:after="0" w:line="3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1"/>
          <w:szCs w:val="11"/>
          <w:color w:val="auto"/>
        </w:rPr>
        <w:t>(4)Represents floating rate instruments that accrue interest at a predetermined spread relative to an index, typically the applicable Secured Overnight Financing Rate, or “SOFR”, or Prime rate, or “P, or Sterling Overnight Index Average, or “SONIA.” The spread may change based on the type of rate used. The terms in the Schedule of Investments disclose the actual interest rate in effect as of the reporting period. SOFR loans are typically indexed to a 30-day, 90-day or 180-daySOFR rates (1-month S, 3-month S, or 6-month S, respectively) at the borrower’s option. SONIA loans are typically indexed daily for GBP loans with a quarterly frequency payment. All securities are subject to a SOFR or Prime rate floor where a spread is provided, unless noted. The spread provided includes payment-in-kind ("PIK") interest and other fee rates, if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(5)The security was valued by using the pricing service which utilize broker-supplied prices.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(6)Non-income producing securities.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(7)Partial non-accrual PIK securities.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(8)Represents the purchase of a security with delayed settlement or a revolving line of credit that is currently an unfunded investment. This security does not earn a basis point spread above an index while it is unfunded.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(9)Non-U.S. company or principal place of business is located in The Isle of Man. Total cost, fair value, and percentage of Net Assets for the Isle of Man was $58.2 million, $60.8 million, and 12.3%.</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(10)Investment is held through our Taxable Subsidiary (See Note 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(11)Non-accrual security.</w:t>
      </w:r>
    </w:p>
    <w:p>
      <w:pPr>
        <w:spacing w:after="0" w:line="30"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1"/>
          <w:szCs w:val="11"/>
          <w:color w:val="auto"/>
        </w:rPr>
        <w:t>(12)The investment is treated as a non-qualifying asset under Section 55(a) of the 1940 Act. Under the 1940 Act, we may not acquire any non-qualifying asset unless, at the time the acquisition is made, qualifying assets represent at least 70% of our total assets. As of September 30, 2024, qualifying assets represent 78% of the Company’s total assets and non-qualifying assets represent 22% of the Company’s total assets.</w:t>
      </w:r>
    </w:p>
    <w:p>
      <w:pPr>
        <w:spacing w:after="0"/>
        <w:rPr>
          <w:sz w:val="20"/>
          <w:szCs w:val="20"/>
          <w:color w:val="auto"/>
        </w:rPr>
      </w:pPr>
      <w:r>
        <w:rPr>
          <w:rFonts w:ascii="Times New Roman" w:cs="Times New Roman" w:eastAsia="Times New Roman" w:hAnsi="Times New Roman"/>
          <w:sz w:val="11"/>
          <w:szCs w:val="11"/>
          <w:color w:val="auto"/>
        </w:rPr>
        <w:t xml:space="preserve">(13)All investments are in US Companies unless noted otherwise. </w:t>
      </w:r>
      <w:r>
        <w:rPr>
          <w:rFonts w:ascii="Times New Roman" w:cs="Times New Roman" w:eastAsia="Times New Roman" w:hAnsi="Times New Roman"/>
          <w:sz w:val="9"/>
          <w:szCs w:val="9"/>
          <w:color w:val="auto"/>
        </w:rPr>
        <w:t>Total cost, fair value, and percentage of Net Assets for the U.S. Companies were $1,258.7 million, $1,281.7 million, and 259.5%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(14)All of our investments are not registered under the 1933 Act and have restrictions on resale.</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 ORGANIZATION</w:t>
      </w:r>
    </w:p>
    <w:p>
      <w:pPr>
        <w:spacing w:after="0" w:line="129" w:lineRule="exact"/>
        <w:rPr>
          <w:sz w:val="20"/>
          <w:szCs w:val="20"/>
          <w:color w:val="auto"/>
        </w:rPr>
      </w:pPr>
    </w:p>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PennantPark Investment Corporation was organized as a Maryland corporation in January 2007. We are a closed-end, externally managed, non-diversified investment company that has elected to be treated as a BDC under the 1940 Act. Our investment objective is to generate both current income and capital appreciation while seeking to preserve capital through debt and equity investments. We invest primarily in U.S. middle-market companies in the form of first lien secured debt, second lien secured debt, subordinated debt and, to a lesser extent, equity investments. On April 24, 2007, we closed our initial public offering. On April 14, 2022, listing and trading of the Company's common stock commenced on the New York Stock Exchange after the Company voluntarily withdrew the principal listing of its common stock from the Nasdaq Stock Market LLC effective at market close on April 13, 2022. Our common stock trades on the New York Stock Exchange under the symbol “PNNT.”</w:t>
      </w:r>
    </w:p>
    <w:p>
      <w:pPr>
        <w:spacing w:after="0" w:line="96"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We execute our investment strategy directly and through our wholly owned subsidiaries, our unconsolidated joint venture and unconsolidated limited partnership. The term “subsidiary” means entities that primarily engage in investment activities in securities or other assets and are wholly owned by us. The Company does not intend to create or acquire primary control of any entity which primarily engages in investment activities of securities or other assets other than entities wholly owned by the Company. We comply with the provisions of Section 18 of the 1940 Act governing capital structure and leverage on an aggregate basis with our subsidiaries. Our subsidiaries comply with the provisions of Section 17 of the 1940 Act related to affiliated transactions and custody. To the extent that the Company forms a subsidiary advised by an investment adviser other than the Investment Adviser, the investment adviser to such subsidiaries will comply with the provisions of the1940 Act relating to investment advisory contracts, including but not limited to, Section 15, as if it were an investment adviser to the Company under Section 2(a)(20) of the 1940 Act.</w:t>
      </w:r>
    </w:p>
    <w:p>
      <w:pPr>
        <w:spacing w:after="0" w:line="96"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We have entered into an investment management agreement, (the "Investment Management Agreement"), with PennantPark Investment Advisors, LLC (the "Investment Adviser"), an external adviser that manages our day-to-day operations. We have also entered into an administration agreement, (the "Administration Agreement"), with PennantPark Investment Administrator LLC (the "Administrator"), which provides the administrative services necessary for us to operate. PennantPark Investment, through the Administrator, also provided similar services to SBIC II under a separate administration agreement.</w:t>
      </w:r>
    </w:p>
    <w:p>
      <w:pPr>
        <w:spacing w:after="0" w:line="127" w:lineRule="exact"/>
        <w:rPr>
          <w:sz w:val="20"/>
          <w:szCs w:val="20"/>
          <w:color w:val="auto"/>
        </w:rPr>
      </w:pPr>
    </w:p>
    <w:p>
      <w:pPr>
        <w:ind w:right="140" w:firstLine="420"/>
        <w:spacing w:after="0" w:line="262" w:lineRule="auto"/>
        <w:rPr>
          <w:sz w:val="20"/>
          <w:szCs w:val="20"/>
          <w:color w:val="auto"/>
        </w:rPr>
      </w:pPr>
      <w:r>
        <w:rPr>
          <w:rFonts w:ascii="Times New Roman" w:cs="Times New Roman" w:eastAsia="Times New Roman" w:hAnsi="Times New Roman"/>
          <w:sz w:val="13"/>
          <w:szCs w:val="13"/>
          <w:color w:val="auto"/>
        </w:rPr>
        <w:t>On July 31, 2020, we and certain entities and managed accounts of the private credit investment manager of Pantheon Ventures (UK) LLP (“Pantheon”) entered into a limited liability company agreement to co-manage PSLF, a newly- formed unconsolidated joint venture. In connection with this transaction, we contributed in-kind our formerly wholly-owned subsidiary, Funding I. As a result of this transaction, Funding I became a wholly-owned subsidiary of PSLF and has been deconsolidated from our financial statements. PSLF invests primarily in middle-market and other corporate debt securities consistent with our strategy. PSLF was formed as a Delaware limited liability company. See Note 4.</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 April 2021, we issued $150.0 million in aggregate principal amount of our 2026 Notes at a public offering price per note of 99.4%. Interest on the 2026 Notes is</w:t>
      </w:r>
    </w:p>
    <w:p>
      <w:pPr>
        <w:spacing w:after="0" w:line="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3"/>
          <w:szCs w:val="13"/>
          <w:color w:val="auto"/>
        </w:rPr>
        <w:t>paid semi-annually on May 1 and November 1 of each year, at a rate of 4.50% per year, commencing November 1, 2021. The effective interest rate is 4.62%.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34" w:lineRule="exact"/>
        <w:rPr>
          <w:sz w:val="20"/>
          <w:szCs w:val="20"/>
          <w:color w:val="auto"/>
        </w:rPr>
      </w:pPr>
    </w:p>
    <w:p>
      <w:pPr>
        <w:ind w:right="80" w:firstLine="420"/>
        <w:spacing w:after="0" w:line="257" w:lineRule="auto"/>
        <w:rPr>
          <w:sz w:val="20"/>
          <w:szCs w:val="20"/>
          <w:color w:val="auto"/>
        </w:rPr>
      </w:pPr>
      <w:r>
        <w:rPr>
          <w:rFonts w:ascii="Times New Roman" w:cs="Times New Roman" w:eastAsia="Times New Roman" w:hAnsi="Times New Roman"/>
          <w:sz w:val="13"/>
          <w:szCs w:val="13"/>
          <w:color w:val="auto"/>
        </w:rPr>
        <w:t>In October 2021, we issued $ 165.0 million in aggregate principal amount of our 2026 Notes-2 at a public offering price per note of 99.4%. Interest on the 2026 Notes is paid semi-annually on May 1 and November 1 of each year, at a rate of 4.00% per year, commencing May 1, 2022. The effective interest rate is 4.12%. The 2026 Notes-2 mature on November 1, 2026 and may be redeemed in whole or in part at our option subject to a make-whole premium if redeemed more than three months prior to maturity. The 2026 Notes-2 are general, unsecured obligations and rank equal in right of payment with all of our existing and future senior unsecured indebtedness. The 2026 Notes -2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132" w:lineRule="exact"/>
        <w:rPr>
          <w:sz w:val="20"/>
          <w:szCs w:val="20"/>
          <w:color w:val="auto"/>
        </w:rPr>
      </w:pPr>
    </w:p>
    <w:p>
      <w:pPr>
        <w:ind w:right="260" w:firstLine="420"/>
        <w:spacing w:after="0" w:line="259" w:lineRule="auto"/>
        <w:rPr>
          <w:sz w:val="20"/>
          <w:szCs w:val="20"/>
          <w:color w:val="auto"/>
        </w:rPr>
      </w:pPr>
      <w:r>
        <w:rPr>
          <w:rFonts w:ascii="Times New Roman" w:cs="Times New Roman" w:eastAsia="Times New Roman" w:hAnsi="Times New Roman"/>
          <w:sz w:val="13"/>
          <w:szCs w:val="13"/>
          <w:color w:val="auto"/>
        </w:rPr>
        <w:t>On November 22, 2021, we formed PNNT Investment Holdings II, LLC, a Delaware limited liability company (“Holdings II”), as a wholly owned subsidiary. On December 31, 2022, we contributed 100% of our interests in PNNT Investment Holdings, LLC (“Holdings”) to Holdings II . Effective as of January 1, 2024, Holdings II made an election to be treated as a corporation for U.S. federal income tax purposes. On January 3, 2024, we purchased 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 January 2022, we funded PennantPark-TSO Senior Loan Fund II LP, ("PTSF II"), an unconsolidated limited partnership, organized as a Delaware limited liability partnership. We sold</w:t>
      </w:r>
    </w:p>
    <w:p>
      <w:pPr>
        <w:spacing w:after="0" w:line="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$82.3 million in investments to a wholly-owned subsidiary of PTSF II in exchange for cash in the amount of $75.7 million and an $6.6 million equity interest in PTSF II representing 23.1% of the total outstanding Class A Units of PTSF II. We recognized $0.2 million of realized gain upon the formation of PTSF II. As of September 30, 2025, our capital commitment of $15.0 million is 100% funded and we hold 23.1% of the total outstanding Class A Units of PTSF II and a 4.99% voting interest in the general partner which manages PTSF II.</w:t>
      </w:r>
    </w:p>
    <w:p>
      <w:pPr>
        <w:spacing w:after="0" w:line="94" w:lineRule="exact"/>
        <w:rPr>
          <w:sz w:val="20"/>
          <w:szCs w:val="20"/>
          <w:color w:val="auto"/>
        </w:rPr>
      </w:pPr>
    </w:p>
    <w:p>
      <w:pPr>
        <w:ind w:right="40" w:firstLine="420"/>
        <w:spacing w:after="0" w:line="286" w:lineRule="auto"/>
        <w:rPr>
          <w:sz w:val="20"/>
          <w:szCs w:val="20"/>
          <w:color w:val="auto"/>
        </w:rPr>
      </w:pPr>
      <w:r>
        <w:rPr>
          <w:rFonts w:ascii="Times New Roman" w:cs="Times New Roman" w:eastAsia="Times New Roman" w:hAnsi="Times New Roman"/>
          <w:sz w:val="13"/>
          <w:szCs w:val="13"/>
          <w:color w:val="auto"/>
        </w:rPr>
        <w:t>We are operated by a person who has claimed an exclusion from the definition of the term “commodity pool operator” under the Commodity Exchange Act and the Investment Adviser intends to continue to affirm the exclusion on an annual basis, and therefore, is not subject to registration or regulation as a commodity pool operator under the Commodity Exchange Act.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 SIGNIFICANT ACCOUNTING POLICIES</w:t>
      </w:r>
    </w:p>
    <w:p>
      <w:pPr>
        <w:spacing w:after="0" w:line="129" w:lineRule="exact"/>
        <w:rPr>
          <w:sz w:val="20"/>
          <w:szCs w:val="20"/>
          <w:color w:val="auto"/>
        </w:rPr>
      </w:pPr>
    </w:p>
    <w:p>
      <w:pPr>
        <w:ind w:right="40" w:firstLine="420"/>
        <w:spacing w:after="0" w:line="256" w:lineRule="auto"/>
        <w:rPr>
          <w:sz w:val="20"/>
          <w:szCs w:val="20"/>
          <w:color w:val="auto"/>
        </w:rPr>
      </w:pPr>
      <w:r>
        <w:rPr>
          <w:rFonts w:ascii="Times New Roman" w:cs="Times New Roman" w:eastAsia="Times New Roman" w:hAnsi="Times New Roman"/>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and any other parameters used in determining these estimates and assumptions could cause actual results to differ from such estimates and assumptions. We may reclassify certain prior period amounts to conform to the current period presentation. We have eliminated all intercompany balances and transactions in consolidation.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2" w:right="660"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293" w:lineRule="exact"/>
        <w:rPr>
          <w:sz w:val="20"/>
          <w:szCs w:val="20"/>
          <w:color w:val="auto"/>
        </w:rPr>
      </w:pPr>
    </w:p>
    <w:p>
      <w:pPr>
        <w:ind w:right="60" w:firstLine="420"/>
        <w:spacing w:after="0" w:line="268" w:lineRule="auto"/>
        <w:rPr>
          <w:sz w:val="20"/>
          <w:szCs w:val="20"/>
          <w:color w:val="auto"/>
        </w:rPr>
      </w:pPr>
      <w:r>
        <w:rPr>
          <w:rFonts w:ascii="Times New Roman" w:cs="Times New Roman" w:eastAsia="Times New Roman" w:hAnsi="Times New Roman"/>
          <w:sz w:val="13"/>
          <w:szCs w:val="13"/>
          <w:color w:val="auto"/>
        </w:rPr>
        <w:t>Our Consolidated Financial Statements are prepared in accordance with GAAP, consistent with ASC Topic 946, Financial Services – Investment Companies, and pursuant to the requirements for reporting on Form 10-K/Q and Articles 6, 10 and 12 of Regulation S- X, as appropriate. In accordance with Article 6-09 of Regulation S-X, we have provided a Consolidated Statement of Changes in Net Assets in lieu of a Consolidated Statement of Changes in Stockholders’ Equity.</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(a)Investment Valuations</w:t>
      </w:r>
    </w:p>
    <w:p>
      <w:pPr>
        <w:spacing w:after="0" w:line="131"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96"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540" w:right="240"/>
        <w:spacing w:after="0" w:line="286" w:lineRule="auto"/>
        <w:rPr>
          <w:sz w:val="20"/>
          <w:szCs w:val="20"/>
          <w:color w:val="auto"/>
        </w:rPr>
      </w:pPr>
      <w:r>
        <w:rPr>
          <w:rFonts w:ascii="Times New Roman" w:cs="Times New Roman" w:eastAsia="Times New Roman" w:hAnsi="Times New Roman"/>
          <w:sz w:val="13"/>
          <w:szCs w:val="13"/>
          <w:color w:val="auto"/>
        </w:rPr>
        <w:t>(1)Our quarterly valuation process begins with each portfolio company or investment being initially valued by the investment professionals of the Investment Adviser responsible for the portfolio investment;</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(2)Preliminary valuation conclusions are then documented and discussed with the management of the Investment Adviser;</w:t>
      </w:r>
    </w:p>
    <w:p>
      <w:pPr>
        <w:spacing w:after="0" w:line="127" w:lineRule="exact"/>
        <w:rPr>
          <w:sz w:val="20"/>
          <w:szCs w:val="20"/>
          <w:color w:val="auto"/>
        </w:rPr>
      </w:pPr>
    </w:p>
    <w:p>
      <w:pPr>
        <w:ind w:left="540" w:right="80"/>
        <w:spacing w:after="0" w:line="268" w:lineRule="auto"/>
        <w:rPr>
          <w:sz w:val="20"/>
          <w:szCs w:val="20"/>
          <w:color w:val="auto"/>
        </w:rPr>
      </w:pPr>
      <w:r>
        <w:rPr>
          <w:rFonts w:ascii="Times New Roman" w:cs="Times New Roman" w:eastAsia="Times New Roman" w:hAnsi="Times New Roman"/>
          <w:sz w:val="13"/>
          <w:szCs w:val="13"/>
          <w:color w:val="auto"/>
        </w:rPr>
        <w:t>(3)Our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87" w:lineRule="exact"/>
        <w:rPr>
          <w:sz w:val="20"/>
          <w:szCs w:val="20"/>
          <w:color w:val="auto"/>
        </w:rPr>
      </w:pPr>
    </w:p>
    <w:p>
      <w:pPr>
        <w:ind w:left="540" w:right="40"/>
        <w:spacing w:after="0" w:line="277" w:lineRule="auto"/>
        <w:rPr>
          <w:sz w:val="20"/>
          <w:szCs w:val="20"/>
          <w:color w:val="auto"/>
        </w:rPr>
      </w:pPr>
      <w:r>
        <w:rPr>
          <w:rFonts w:ascii="Times New Roman" w:cs="Times New Roman" w:eastAsia="Times New Roman" w:hAnsi="Times New Roman"/>
          <w:sz w:val="13"/>
          <w:szCs w:val="13"/>
          <w:color w:val="auto"/>
        </w:rPr>
        <w:t>(4)The audit committee of our board of directors reviews the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243" w:lineRule="exact"/>
        <w:rPr>
          <w:sz w:val="20"/>
          <w:szCs w:val="20"/>
          <w:color w:val="auto"/>
        </w:rPr>
      </w:pPr>
    </w:p>
    <w:p>
      <w:pPr>
        <w:ind w:left="540" w:right="480"/>
        <w:spacing w:after="0" w:line="286" w:lineRule="auto"/>
        <w:rPr>
          <w:sz w:val="20"/>
          <w:szCs w:val="20"/>
          <w:color w:val="auto"/>
        </w:rPr>
      </w:pPr>
      <w:r>
        <w:rPr>
          <w:rFonts w:ascii="Times New Roman" w:cs="Times New Roman" w:eastAsia="Times New Roman" w:hAnsi="Times New Roman"/>
          <w:sz w:val="13"/>
          <w:szCs w:val="13"/>
          <w:color w:val="auto"/>
        </w:rPr>
        <w:t>(5)Our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76" w:lineRule="exact"/>
        <w:rPr>
          <w:sz w:val="20"/>
          <w:szCs w:val="20"/>
          <w:color w:val="auto"/>
        </w:rPr>
      </w:pPr>
    </w:p>
    <w:p>
      <w:pPr>
        <w:ind w:right="300" w:firstLine="420"/>
        <w:spacing w:after="0" w:line="262" w:lineRule="auto"/>
        <w:rPr>
          <w:sz w:val="20"/>
          <w:szCs w:val="20"/>
          <w:color w:val="auto"/>
        </w:rPr>
      </w:pPr>
      <w:r>
        <w:rPr>
          <w:rFonts w:ascii="Times New Roman" w:cs="Times New Roman" w:eastAsia="Times New Roman" w:hAnsi="Times New Roman"/>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(b)Security Transactions, Revenue Recognition, and Realized/Unrealized Gains or Losses</w:t>
      </w:r>
    </w:p>
    <w:p>
      <w:pPr>
        <w:spacing w:after="0" w:line="131"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and the Truist Credit Facility during the reporting period, including the reversal of previously recorded unrealized appreciation or depreciation, when gains or losses are realized.</w:t>
      </w:r>
    </w:p>
    <w:p>
      <w:pPr>
        <w:spacing w:after="0" w:line="91" w:lineRule="exact"/>
        <w:rPr>
          <w:sz w:val="20"/>
          <w:szCs w:val="20"/>
          <w:color w:val="auto"/>
        </w:rPr>
      </w:pPr>
    </w:p>
    <w:p>
      <w:pPr>
        <w:ind w:right="100" w:firstLine="420"/>
        <w:spacing w:after="0" w:line="256" w:lineRule="auto"/>
        <w:rPr>
          <w:sz w:val="20"/>
          <w:szCs w:val="20"/>
          <w:color w:val="auto"/>
        </w:rPr>
      </w:pPr>
      <w:r>
        <w:rPr>
          <w:rFonts w:ascii="Times New Roman" w:cs="Times New Roman" w:eastAsia="Times New Roman" w:hAnsi="Times New Roman"/>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96"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Loans are placed on non-accrual status when principal or interest payments are past due 30 days or more and/or if there is reasonable doubt that principal or interest will be collected. Accrued interest is generally reversed when a loan is placed on non- 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September 30, 2025,we had four portfolio companies on non-accrual, representing 1.3% and 0.1% of our overall portfolio on a cost and fair value basis, respectively. As of September 30, 2024, we had two portfolio companies on non-accrual representing 4.1% and 2.3% percent of our overall portfolio on a cost and fair value basis, respectively.</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(c)Income Taxes</w:t>
      </w:r>
    </w:p>
    <w:p>
      <w:pPr>
        <w:spacing w:after="0" w:line="131" w:lineRule="exact"/>
        <w:rPr>
          <w:sz w:val="20"/>
          <w:szCs w:val="20"/>
          <w:color w:val="auto"/>
        </w:rPr>
      </w:pPr>
    </w:p>
    <w:p>
      <w:pPr>
        <w:ind w:right="100" w:firstLine="420"/>
        <w:spacing w:after="0" w:line="257" w:lineRule="auto"/>
        <w:rPr>
          <w:sz w:val="20"/>
          <w:szCs w:val="20"/>
          <w:color w:val="auto"/>
        </w:rPr>
      </w:pPr>
      <w:r>
        <w:rPr>
          <w:rFonts w:ascii="Times New Roman" w:cs="Times New Roman" w:eastAsia="Times New Roman" w:hAnsi="Times New Roman"/>
          <w:sz w:val="13"/>
          <w:szCs w:val="13"/>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any material federal income taxes. However, we may choose to retain a portion of our calendar year income, which may result in the imposition of an excise tax. Additionally, certain of the Company’s consolidated subsidiaries are subject to federal, state and local income taxes. For the years ended September 30, 2025, 2024, and 2023, we recorded a provision for taxes on net investment income of $2.6 million, $2.6 million and $4.3 million, respectively, which pertains to U.S. federal excise tax.</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293" w:lineRule="exact"/>
        <w:rPr>
          <w:sz w:val="20"/>
          <w:szCs w:val="20"/>
          <w:color w:val="auto"/>
        </w:rPr>
      </w:pPr>
    </w:p>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32" w:lineRule="exact"/>
        <w:rPr>
          <w:sz w:val="20"/>
          <w:szCs w:val="20"/>
          <w:color w:val="auto"/>
        </w:rPr>
      </w:pPr>
    </w:p>
    <w:p>
      <w:pPr>
        <w:ind w:right="260" w:firstLine="420"/>
        <w:spacing w:after="0" w:line="259" w:lineRule="auto"/>
        <w:rPr>
          <w:sz w:val="20"/>
          <w:szCs w:val="20"/>
          <w:color w:val="auto"/>
        </w:rPr>
      </w:pPr>
      <w:r>
        <w:rPr>
          <w:rFonts w:ascii="Times New Roman" w:cs="Times New Roman" w:eastAsia="Times New Roman" w:hAnsi="Times New Roman"/>
          <w:sz w:val="13"/>
          <w:szCs w:val="13"/>
          <w:color w:val="auto"/>
        </w:rPr>
        <w:t>On November 22, 2021, we formed PNNT Investment Holdings II, LLC, a Delaware limited liability company (“Holdings II”), as a wholly owned subsidiary. On December 31, 2022, we contributed 100% of our interests in PNNT Investment Holdings, LLC (“Holdings”) to Holdings II . Effective as of January 1, 2024, Holdings II made an election to be treated as a corporation for U.S. federal income tax purposes. On January 3, 2024, we purchased 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w:t>
      </w:r>
    </w:p>
    <w:p>
      <w:pPr>
        <w:spacing w:after="0" w:line="94" w:lineRule="exact"/>
        <w:rPr>
          <w:sz w:val="20"/>
          <w:szCs w:val="20"/>
          <w:color w:val="auto"/>
        </w:rPr>
      </w:pPr>
    </w:p>
    <w:p>
      <w:pPr>
        <w:ind w:right="100" w:firstLine="420"/>
        <w:spacing w:after="0" w:line="257" w:lineRule="auto"/>
        <w:rPr>
          <w:sz w:val="20"/>
          <w:szCs w:val="20"/>
          <w:color w:val="auto"/>
        </w:rPr>
      </w:pPr>
      <w:r>
        <w:rPr>
          <w:rFonts w:ascii="Times New Roman" w:cs="Times New Roman" w:eastAsia="Times New Roman" w:hAnsi="Times New Roman"/>
          <w:sz w:val="13"/>
          <w:szCs w:val="13"/>
          <w:color w:val="auto"/>
        </w:rPr>
        <w:t>For the years ended September 30, 2025, 2024 and 2023 the Company recognized a provision for taxes of less than $0.1 million, $0.2 million, and $(5.0) million, respectively, on net realized gain on investments by the Taxable Subsidiary. For the years ended September 30, 2025, 2024 and 2023 the Company recognized a provision for taxes of zero, $(0.7) million, and $1.6 million, respectively, on net unrealized gain on investments by the Taxable Subsidiary. The provision for taxes on net realized and unrealized gains on investments is the result of netting (i) the expected tax liability on the gains from the sales of investments which were realized and unrealized during fiscal year ending September 30, 2025 and (ii) the expected tax benefit resulting from the use of loss carryforwards to offset such gains. For the year ended September 30, 2025, 2024 and 2023 the Company recognized a provision for taxes less than $0.1 million, $(0.5) million, and $(3.4) million, respectively, on net realized and unrealized gains on investments by the Taxable Subsidiary.</w:t>
      </w:r>
    </w:p>
    <w:p>
      <w:pPr>
        <w:spacing w:after="0" w:line="96" w:lineRule="exact"/>
        <w:rPr>
          <w:sz w:val="20"/>
          <w:szCs w:val="20"/>
          <w:color w:val="auto"/>
        </w:rPr>
      </w:pPr>
    </w:p>
    <w:p>
      <w:pPr>
        <w:ind w:right="240" w:firstLine="420"/>
        <w:spacing w:after="0" w:line="286" w:lineRule="auto"/>
        <w:rPr>
          <w:sz w:val="20"/>
          <w:szCs w:val="20"/>
          <w:color w:val="auto"/>
        </w:rPr>
      </w:pPr>
      <w:r>
        <w:rPr>
          <w:rFonts w:ascii="Times New Roman" w:cs="Times New Roman" w:eastAsia="Times New Roman" w:hAnsi="Times New Roman"/>
          <w:sz w:val="13"/>
          <w:szCs w:val="13"/>
          <w:color w:val="auto"/>
        </w:rPr>
        <w:t>During the year ended September 30, 2025, 2024 and 2023 the Company paid $0.2 million, zero, and zero million respectively, in federal taxes on realized gains on the sale of investments held by the Taxable Subsidiary. The state and local tax liability of zero as of September 30, 2025 is included under accrued other expenses in the consolidated statement of assets and liabilities.</w:t>
      </w:r>
    </w:p>
    <w:p>
      <w:pPr>
        <w:spacing w:after="0" w:line="76" w:lineRule="exact"/>
        <w:rPr>
          <w:sz w:val="20"/>
          <w:szCs w:val="20"/>
          <w:color w:val="auto"/>
        </w:rPr>
      </w:pPr>
    </w:p>
    <w:p>
      <w:pPr>
        <w:ind w:right="220" w:firstLine="420"/>
        <w:spacing w:after="0" w:line="268" w:lineRule="auto"/>
        <w:rPr>
          <w:sz w:val="20"/>
          <w:szCs w:val="20"/>
          <w:color w:val="auto"/>
        </w:rPr>
      </w:pPr>
      <w:r>
        <w:rPr>
          <w:rFonts w:ascii="Times New Roman" w:cs="Times New Roman" w:eastAsia="Times New Roman" w:hAnsi="Times New Roman"/>
          <w:sz w:val="13"/>
          <w:szCs w:val="13"/>
          <w:color w:val="auto"/>
        </w:rPr>
        <w:t>Because U.S.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(d)Distributions and Capital Transactions</w:t>
      </w:r>
    </w:p>
    <w:p>
      <w:pPr>
        <w:spacing w:after="0" w:line="131"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Distributions to common stockholders are recorded on the ex-dividend date. The amount to be paid, if any, as a distribution is determined by our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87" w:lineRule="exact"/>
        <w:rPr>
          <w:sz w:val="20"/>
          <w:szCs w:val="20"/>
          <w:color w:val="auto"/>
        </w:rPr>
      </w:pPr>
    </w:p>
    <w:p>
      <w:pPr>
        <w:ind w:right="200" w:firstLine="420"/>
        <w:spacing w:after="0" w:line="286" w:lineRule="auto"/>
        <w:rPr>
          <w:sz w:val="20"/>
          <w:szCs w:val="20"/>
          <w:color w:val="auto"/>
        </w:rPr>
      </w:pPr>
      <w:r>
        <w:rPr>
          <w:rFonts w:ascii="Times New Roman" w:cs="Times New Roman" w:eastAsia="Times New Roman" w:hAnsi="Times New Roman"/>
          <w:sz w:val="13"/>
          <w:szCs w:val="13"/>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76"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On June 4, 2024, we entered into equity distribution agreements with Truist Securities, Inc. and Keefe, Bruyette &amp; Woods, Inc. (together, the "Equity Distribution Agreements"), as sales agents (each a "Sales Agent" and together, the "Sales Agents") in connection with the sale of shares of our common stock, with an aggregate offering price of up to $100 million under an at-the-market offering ("ATM Program").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offerings made hereunder will not be less than our current NAV per share. Any such payments made by the Investment Adviser will not be subject to reimbursement by us.</w:t>
      </w:r>
    </w:p>
    <w:p>
      <w:pPr>
        <w:spacing w:after="0" w:line="256" w:lineRule="exact"/>
        <w:rPr>
          <w:sz w:val="20"/>
          <w:szCs w:val="20"/>
          <w:color w:val="auto"/>
        </w:rPr>
      </w:pPr>
    </w:p>
    <w:p>
      <w:pPr>
        <w:ind w:right="160" w:firstLine="420"/>
        <w:spacing w:after="0" w:line="262" w:lineRule="auto"/>
        <w:rPr>
          <w:sz w:val="20"/>
          <w:szCs w:val="20"/>
          <w:color w:val="auto"/>
        </w:rPr>
      </w:pPr>
      <w:r>
        <w:rPr>
          <w:rFonts w:ascii="Times New Roman" w:cs="Times New Roman" w:eastAsia="Times New Roman" w:hAnsi="Times New Roman"/>
          <w:sz w:val="13"/>
          <w:szCs w:val="13"/>
          <w:color w:val="auto"/>
        </w:rPr>
        <w:t>During the year ended September 30, 2024, we issued 71,594 shares of common stock through the ATM Program at an average price of $ 7.72 per share, raising $0.6 million of net proceeds after commissions to the sales agents and inclusive of proceeds from the Investment Adviser to ensure that all shares were sold at or above NAV, respectively. In connection with the share issuance, we expensed $0.3 million of deferred offering costs incurred related to establishing the ATM Program to additional paid in capital. On April 28, 2025, our registration statement pursuant to which shares were issued under the ATM Program expired.</w:t>
      </w:r>
    </w:p>
    <w:p>
      <w:pPr>
        <w:spacing w:after="0" w:line="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(e)Foreign Currency Translation</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books and records are maintained in U.S. dollars. Any foreign currency amounts are translated into U.S. dollars on the following basis:</w:t>
      </w:r>
    </w:p>
    <w:p>
      <w:pPr>
        <w:spacing w:after="0" w:line="127" w:lineRule="exact"/>
        <w:rPr>
          <w:sz w:val="20"/>
          <w:szCs w:val="20"/>
          <w:color w:val="auto"/>
        </w:rPr>
      </w:pPr>
    </w:p>
    <w:p>
      <w:pPr>
        <w:ind w:left="640" w:hanging="142"/>
        <w:spacing w:after="0"/>
        <w:tabs>
          <w:tab w:leader="none" w:pos="6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Fair value of investment securities, other assets and liabilities – at the exchange rates prevailing at the end of the applicable period; and</w:t>
      </w:r>
    </w:p>
    <w:p>
      <w:pPr>
        <w:spacing w:after="0" w:line="126" w:lineRule="exact"/>
        <w:rPr>
          <w:rFonts w:ascii="Times New Roman" w:cs="Times New Roman" w:eastAsia="Times New Roman" w:hAnsi="Times New Roman"/>
          <w:sz w:val="13"/>
          <w:szCs w:val="13"/>
          <w:color w:val="auto"/>
        </w:rPr>
      </w:pPr>
    </w:p>
    <w:p>
      <w:pPr>
        <w:ind w:left="640" w:hanging="142"/>
        <w:spacing w:after="0"/>
        <w:tabs>
          <w:tab w:leader="none" w:pos="6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Purchases and sales of investment securities, income and expenses – at the exchange rates prevailing on the respective dates of such transactions.</w:t>
      </w:r>
    </w:p>
    <w:p>
      <w:pPr>
        <w:spacing w:after="0" w:line="127" w:lineRule="exact"/>
        <w:rPr>
          <w:sz w:val="20"/>
          <w:szCs w:val="20"/>
          <w:color w:val="auto"/>
        </w:rPr>
      </w:pPr>
    </w:p>
    <w:p>
      <w:pPr>
        <w:jc w:val="both"/>
        <w:ind w:right="200" w:firstLine="420"/>
        <w:spacing w:after="0" w:line="268" w:lineRule="auto"/>
        <w:rPr>
          <w:sz w:val="20"/>
          <w:szCs w:val="20"/>
          <w:color w:val="auto"/>
        </w:rPr>
      </w:pPr>
      <w:r>
        <w:rPr>
          <w:rFonts w:ascii="Times New Roman" w:cs="Times New Roman" w:eastAsia="Times New Roman" w:hAnsi="Times New Roman"/>
          <w:sz w:val="13"/>
          <w:szCs w:val="13"/>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87" w:lineRule="exact"/>
        <w:rPr>
          <w:sz w:val="20"/>
          <w:szCs w:val="20"/>
          <w:color w:val="auto"/>
        </w:rPr>
      </w:pPr>
    </w:p>
    <w:p>
      <w:pPr>
        <w:ind w:right="160" w:firstLine="420"/>
        <w:spacing w:after="0" w:line="268" w:lineRule="auto"/>
        <w:rPr>
          <w:sz w:val="20"/>
          <w:szCs w:val="20"/>
          <w:color w:val="auto"/>
        </w:rPr>
      </w:pPr>
      <w:r>
        <w:rPr>
          <w:rFonts w:ascii="Times New Roman" w:cs="Times New Roman" w:eastAsia="Times New Roman" w:hAnsi="Times New Roman"/>
          <w:sz w:val="13"/>
          <w:szCs w:val="13"/>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2" w:right="660" w:bottom="1440" w:gutter="0" w:footer="0" w:header="0"/>
        </w:sectPr>
      </w:pPr>
    </w:p>
    <w:bookmarkStart w:id="33" w:name="page34"/>
    <w:bookmarkEnd w:id="33"/>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(f) Consolidation</w:t>
      </w:r>
    </w:p>
    <w:p>
      <w:pPr>
        <w:spacing w:after="0" w:line="131" w:lineRule="exact"/>
        <w:rPr>
          <w:sz w:val="20"/>
          <w:szCs w:val="20"/>
          <w:color w:val="auto"/>
        </w:rPr>
      </w:pPr>
    </w:p>
    <w:p>
      <w:pPr>
        <w:ind w:right="160" w:firstLine="420"/>
        <w:spacing w:after="0" w:line="268" w:lineRule="auto"/>
        <w:rPr>
          <w:sz w:val="20"/>
          <w:szCs w:val="20"/>
          <w:color w:val="auto"/>
        </w:rPr>
      </w:pPr>
      <w:r>
        <w:rPr>
          <w:rFonts w:ascii="Times New Roman" w:cs="Times New Roman" w:eastAsia="Times New Roman" w:hAnsi="Times New Roman"/>
          <w:sz w:val="13"/>
          <w:szCs w:val="13"/>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Subsidiary in our Consolidated Financial Statements. We do not consolidate our non-controlling interests in PSLF or PTSF II. See further description of our investment in PSLF in Note 4.</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(g) Asset Transfers and Servicing</w:t>
      </w:r>
    </w:p>
    <w:p>
      <w:pPr>
        <w:spacing w:after="0" w:line="131" w:lineRule="exact"/>
        <w:rPr>
          <w:sz w:val="20"/>
          <w:szCs w:val="20"/>
          <w:color w:val="auto"/>
        </w:rPr>
      </w:pPr>
    </w:p>
    <w:p>
      <w:pPr>
        <w:ind w:firstLine="420"/>
        <w:spacing w:after="0" w:line="286" w:lineRule="auto"/>
        <w:rPr>
          <w:sz w:val="20"/>
          <w:szCs w:val="20"/>
          <w:color w:val="auto"/>
        </w:rPr>
      </w:pPr>
      <w:r>
        <w:rPr>
          <w:rFonts w:ascii="Times New Roman" w:cs="Times New Roman" w:eastAsia="Times New Roman" w:hAnsi="Times New Roman"/>
          <w:sz w:val="13"/>
          <w:szCs w:val="13"/>
          <w:color w:val="auto"/>
        </w:rPr>
        <w:t>Asset transfers that do not meet ASC Topic 860, Transfers and Servicing, requirements for sale accounting treatment are reflected in the Consolidated Statements of Assets and Liabilities and the Consolidated Schedules of Investments as investments.</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(h) Segment Reporting</w:t>
      </w:r>
    </w:p>
    <w:p>
      <w:pPr>
        <w:spacing w:after="0" w:line="167"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In accordance with ASC Topic 280 – Segment Reporting, the Company has determined that it has a single reporting segment and operating unit structure. As a result, the Company’s segment accounting policies are the same as described herein and the Company does not have any intra-segment sales and transfers of assets. See Note 14 for additional information on the Company’s segment accounting policies.</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(i) Recent Accounting Pronouncements</w:t>
      </w:r>
    </w:p>
    <w:p>
      <w:pPr>
        <w:spacing w:after="0" w:line="131"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FASB approved an (optional) two year extension to December 31, 2024, for transitioning away from LIBOR. The Company has adopted the ASU 2020-04, the effect of which was not material to the consolidated financial statements.</w:t>
      </w:r>
    </w:p>
    <w:p>
      <w:pPr>
        <w:spacing w:after="0" w:line="130" w:lineRule="exact"/>
        <w:rPr>
          <w:sz w:val="20"/>
          <w:szCs w:val="20"/>
          <w:color w:val="auto"/>
        </w:rPr>
      </w:pPr>
    </w:p>
    <w:p>
      <w:pPr>
        <w:jc w:val="both"/>
        <w:ind w:right="80" w:firstLine="420"/>
        <w:spacing w:after="0" w:line="257" w:lineRule="auto"/>
        <w:rPr>
          <w:sz w:val="20"/>
          <w:szCs w:val="20"/>
          <w:color w:val="auto"/>
        </w:rPr>
      </w:pPr>
      <w:r>
        <w:rPr>
          <w:rFonts w:ascii="Times New Roman" w:cs="Times New Roman" w:eastAsia="Times New Roman" w:hAnsi="Times New Roman"/>
          <w:sz w:val="13"/>
          <w:szCs w:val="13"/>
          <w:color w:val="auto"/>
        </w:rPr>
        <w:t>In June 2022, the FASB issued Accounting Standards Update No. 2022-03, or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has adopted of this new accounting standard, the effect was not material to the consolidated financial statements.</w:t>
      </w:r>
    </w:p>
    <w:p>
      <w:pPr>
        <w:spacing w:after="0" w:line="132" w:lineRule="exact"/>
        <w:rPr>
          <w:sz w:val="20"/>
          <w:szCs w:val="20"/>
          <w:color w:val="auto"/>
        </w:rPr>
      </w:pPr>
    </w:p>
    <w:p>
      <w:pPr>
        <w:ind w:right="60" w:firstLine="420"/>
        <w:spacing w:after="0" w:line="256" w:lineRule="auto"/>
        <w:rPr>
          <w:sz w:val="20"/>
          <w:szCs w:val="20"/>
          <w:color w:val="auto"/>
        </w:rPr>
      </w:pPr>
      <w:r>
        <w:rPr>
          <w:rFonts w:ascii="Times New Roman" w:cs="Times New Roman" w:eastAsia="Times New Roman" w:hAnsi="Times New Roman"/>
          <w:sz w:val="13"/>
          <w:szCs w:val="13"/>
          <w:color w:val="auto"/>
        </w:rPr>
        <w:t>In November 2023, the Financial Accounting Standards Board (FASB) issues ASU 2023-07, Segment Reporting (Topic 280), Improvements to Reportable Segment Disclosures to improve reportable segment disclosure requirements through enhanced disclosures about significant segment expenses. ASU 2023-07 expands public entities' segment disclosure by requiring disclosure of significant segment expenses that are regularly provided to the chief operating decision maker (the “CODM”) and included within each reported measure of segment profit or loss, an amount and description of its composition for other segment items and interim disclosure of a reportable segment's profit or loss and assets. All disclosure requirements of ASU 2023-07 are required for entities with a single reportable segment. ASU 2023- 07 is effective for fiscal years beginning after December 15, 2023, and interim periods for our fiscal years beginning December 15, 2024, and should be applied on a retrospective basis to all periods presented, noting early adoption is permitted. The Company has adopted ASU 2023.07 effective September 30, 2025 and concluded that the application of this guidance did not have a material impact on its consolidated financial statements. See Note 14 for more information on the effects of the adoption of ASU 2023.07.</w:t>
      </w:r>
    </w:p>
    <w:p>
      <w:pPr>
        <w:spacing w:after="0" w:line="132" w:lineRule="exact"/>
        <w:rPr>
          <w:sz w:val="20"/>
          <w:szCs w:val="20"/>
          <w:color w:val="auto"/>
        </w:rPr>
      </w:pPr>
    </w:p>
    <w:p>
      <w:pPr>
        <w:jc w:val="both"/>
        <w:ind w:right="360" w:firstLine="420"/>
        <w:spacing w:after="0" w:line="268" w:lineRule="auto"/>
        <w:rPr>
          <w:sz w:val="20"/>
          <w:szCs w:val="20"/>
          <w:color w:val="auto"/>
        </w:rPr>
      </w:pPr>
      <w:r>
        <w:rPr>
          <w:rFonts w:ascii="Times New Roman" w:cs="Times New Roman" w:eastAsia="Times New Roman" w:hAnsi="Times New Roman"/>
          <w:sz w:val="13"/>
          <w:szCs w:val="13"/>
          <w:color w:val="auto"/>
        </w:rPr>
        <w:t>In December 2023, the FASB issued ASU 2023 - 09 "Improvements to Income Tax Disclosures" ("ASU 2023 - 09"). ASU 2023 - 09 intends to improve the transparency of income tax disclosures. ASU 2023 - 09 is effective for fiscal years beginning after December 15, 2024 and is to be adopted on a prospective basis with the option to apply retrospectively. We are currently assessing the impact of this guidance, however, we do not expect a material impact to our financial statements.</w:t>
      </w:r>
    </w:p>
    <w:p>
      <w:pPr>
        <w:spacing w:after="0" w:line="397" w:lineRule="exact"/>
        <w:rPr>
          <w:sz w:val="20"/>
          <w:szCs w:val="20"/>
          <w:color w:val="auto"/>
        </w:rPr>
      </w:pPr>
    </w:p>
    <w:p>
      <w:pPr>
        <w:ind w:left="140" w:hanging="134"/>
        <w:spacing w:after="0"/>
        <w:tabs>
          <w:tab w:leader="none" w:pos="14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AGREEMENTS AND RELATED PARTY TRANSACTIONS</w:t>
      </w:r>
    </w:p>
    <w:p>
      <w:pPr>
        <w:spacing w:after="0" w:line="160" w:lineRule="exact"/>
        <w:rPr>
          <w:rFonts w:ascii="Times New Roman" w:cs="Times New Roman" w:eastAsia="Times New Roman" w:hAnsi="Times New Roman"/>
          <w:sz w:val="13"/>
          <w:szCs w:val="13"/>
          <w:b w:val="1"/>
          <w:bCs w:val="1"/>
          <w:color w:val="auto"/>
        </w:rPr>
      </w:pPr>
    </w:p>
    <w:p>
      <w:pPr>
        <w:ind w:left="660" w:hanging="186"/>
        <w:spacing w:after="0"/>
        <w:tabs>
          <w:tab w:leader="none" w:pos="660" w:val="left"/>
        </w:tabs>
        <w:numPr>
          <w:ilvl w:val="1"/>
          <w:numId w:val="3"/>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Investment Management Agreement</w:t>
      </w:r>
    </w:p>
    <w:p>
      <w:pPr>
        <w:spacing w:after="0" w:line="167"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The Investment Management Agreement with the Investment Adviser was reapproved by our board of directors, including a majority of our directors who are not interested persons of us or the Investment Adviser, in May 2025. Under the Investment Management Agreement, the Investment Adviser, subject to the overall supervision of our board of directors, manages the day-to -day operations of and provides investment advisory services to us. SBIC II’s investment management agreement had no effect on the management or incentive fees that we pay to the Investment Adviser on a consolidated basis. For providing these services, the Investment Adviser receives a fee from us, consisting of two components— a base management fee and an incentive fee or, collectively, Management Fees.</w:t>
      </w:r>
    </w:p>
    <w:p>
      <w:pPr>
        <w:spacing w:after="0" w:line="3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132" w:right="740"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i w:val="1"/>
          <w:iCs w:val="1"/>
          <w:color w:val="auto"/>
        </w:rPr>
        <w:t>Base Management Fee</w:t>
      </w:r>
    </w:p>
    <w:p>
      <w:pPr>
        <w:spacing w:after="0" w:line="167" w:lineRule="exact"/>
        <w:rPr>
          <w:sz w:val="20"/>
          <w:szCs w:val="20"/>
          <w:color w:val="auto"/>
        </w:rPr>
      </w:pPr>
    </w:p>
    <w:p>
      <w:pPr>
        <w:ind w:right="20" w:firstLine="420"/>
        <w:spacing w:after="0" w:line="254" w:lineRule="auto"/>
        <w:rPr>
          <w:sz w:val="20"/>
          <w:szCs w:val="20"/>
          <w:color w:val="auto"/>
        </w:rPr>
      </w:pPr>
      <w:r>
        <w:rPr>
          <w:rFonts w:ascii="Times New Roman" w:cs="Times New Roman" w:eastAsia="Times New Roman" w:hAnsi="Times New Roman"/>
          <w:sz w:val="13"/>
          <w:szCs w:val="13"/>
          <w:color w:val="auto"/>
        </w:rPr>
        <w:t>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requirements under the 1940 Act to the Company, our board of directors also approved an amendment to the Investment Management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For the years ended September 30, 2025, 2024, and 2023, the Investment Adviser earned base management fees of $16.2 million, $16.7 million, and $16.5 million, respectively, from us.</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i w:val="1"/>
          <w:iCs w:val="1"/>
          <w:color w:val="auto"/>
        </w:rPr>
        <w:t>Incentive Fee</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incentive fee has two parts, as follows:</w:t>
      </w:r>
    </w:p>
    <w:p>
      <w:pPr>
        <w:spacing w:after="0" w:line="163" w:lineRule="exact"/>
        <w:rPr>
          <w:sz w:val="20"/>
          <w:szCs w:val="20"/>
          <w:color w:val="auto"/>
        </w:rPr>
      </w:pPr>
    </w:p>
    <w:p>
      <w:pPr>
        <w:ind w:right="100" w:firstLine="420"/>
        <w:spacing w:after="0" w:line="253" w:lineRule="auto"/>
        <w:rPr>
          <w:sz w:val="20"/>
          <w:szCs w:val="20"/>
          <w:color w:val="auto"/>
        </w:rPr>
      </w:pPr>
      <w:r>
        <w:rPr>
          <w:rFonts w:ascii="Times New Roman" w:cs="Times New Roman" w:eastAsia="Times New Roman" w:hAnsi="Times New Roman"/>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w:t>
      </w:r>
    </w:p>
    <w:p>
      <w:pPr>
        <w:spacing w:after="0" w:line="138" w:lineRule="exact"/>
        <w:rPr>
          <w:sz w:val="20"/>
          <w:szCs w:val="20"/>
          <w:color w:val="auto"/>
        </w:rPr>
      </w:pPr>
    </w:p>
    <w:p>
      <w:pPr>
        <w:ind w:right="380" w:firstLine="420"/>
        <w:spacing w:after="0" w:line="286" w:lineRule="auto"/>
        <w:rPr>
          <w:sz w:val="20"/>
          <w:szCs w:val="20"/>
          <w:color w:val="auto"/>
        </w:rPr>
      </w:pPr>
      <w:r>
        <w:rPr>
          <w:rFonts w:ascii="Times New Roman" w:cs="Times New Roman" w:eastAsia="Times New Roman" w:hAnsi="Times New Roman"/>
          <w:sz w:val="13"/>
          <w:szCs w:val="13"/>
          <w:color w:val="auto"/>
        </w:rPr>
        <w:t>For the years ended September 30, 2025, 2024, and 2023, the Investment Adviser earned $9.8 million, $12.7 million, and $13.9 million, respectively, in incentive fees on net investment income from us.</w:t>
      </w:r>
    </w:p>
    <w:p>
      <w:pPr>
        <w:spacing w:after="0" w:line="112"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2025, 2024, and 2023, the Investment Adviser did not accrue an incentive fee on capital gains as calculated under the Investment Management Agreement (as described above).</w:t>
      </w:r>
    </w:p>
    <w:p>
      <w:pPr>
        <w:spacing w:after="0" w:line="130"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less the aggregate amount of actual capital gains related to incentive fees paid in all prior years, if any. If such amount is negative, then there is no accrual for such year. There can be no assurance that such unrealized capital appreciation will be realized in the future. For the years ended September 30, 2025, 2024, and 2023, the Investment Adviser did not accrue an incentive fee on capital gains as calculated under GAAP.</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i w:val="1"/>
          <w:iCs w:val="1"/>
          <w:color w:val="auto"/>
        </w:rPr>
        <w:t>(b) Administration Agreement</w:t>
      </w:r>
    </w:p>
    <w:p>
      <w:pPr>
        <w:spacing w:after="0" w:line="131"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The Administration Agreement with the Administrator was reapproved by our board of directors, including a majority of our directors who are not interested persons of us, in May 2025. Under the Administration Agreement, the Administrator provides administrative services and office facilities to us. The Administrator had provided similar services to SBIC II under its administration agreement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Corporate Counsel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years ended September 30, 2025, 2024, and 2023, we recorded $1.4 million, $1.2 million and $1.3 million, respectively, for services described above.</w:t>
      </w:r>
    </w:p>
    <w:p>
      <w:pPr>
        <w:spacing w:after="0" w:line="96" w:lineRule="exact"/>
        <w:rPr>
          <w:sz w:val="20"/>
          <w:szCs w:val="20"/>
          <w:color w:val="auto"/>
        </w:rPr>
      </w:pPr>
    </w:p>
    <w:p>
      <w:pPr>
        <w:ind w:right="180" w:firstLine="420"/>
        <w:spacing w:after="0" w:line="262" w:lineRule="auto"/>
        <w:rPr>
          <w:sz w:val="20"/>
          <w:szCs w:val="20"/>
          <w:color w:val="auto"/>
        </w:rPr>
      </w:pPr>
      <w:r>
        <w:rPr>
          <w:rFonts w:ascii="Times New Roman" w:cs="Times New Roman" w:eastAsia="Times New Roman" w:hAnsi="Times New Roman"/>
          <w:sz w:val="13"/>
          <w:szCs w:val="13"/>
          <w:color w:val="auto"/>
        </w:rPr>
        <w:t>Under the Administration Agreement, the Administrator may be reimbursed by the Company for the costs and expenses to be borne by the Company set forth above include the costs and expenses allocable with respect to the provision of in-house legal, tax, or other professional advice and/or services to the Company, including performing due diligence on its prospective portfolio companies as deemed appropriate by the Administrator, where such in-house personnel perform services that would be paid by the Company if outside service providers provided the same services, subject to the Board's oversight.</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2" w:right="660"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2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i w:val="1"/>
          <w:iCs w:val="1"/>
          <w:color w:val="auto"/>
        </w:rPr>
        <w:t>(c) Other Related Party Transactions</w:t>
      </w:r>
    </w:p>
    <w:p>
      <w:pPr>
        <w:spacing w:after="0" w:line="131" w:lineRule="exact"/>
        <w:rPr>
          <w:sz w:val="20"/>
          <w:szCs w:val="20"/>
          <w:color w:val="auto"/>
        </w:rPr>
      </w:pPr>
    </w:p>
    <w:p>
      <w:pPr>
        <w:ind w:right="160" w:firstLine="420"/>
        <w:spacing w:after="0" w:line="268" w:lineRule="auto"/>
        <w:rPr>
          <w:sz w:val="20"/>
          <w:szCs w:val="20"/>
          <w:color w:val="auto"/>
        </w:rPr>
      </w:pPr>
      <w:r>
        <w:rPr>
          <w:rFonts w:ascii="Times New Roman" w:cs="Times New Roman" w:eastAsia="Times New Roman" w:hAnsi="Times New Roman"/>
          <w:sz w:val="13"/>
          <w:szCs w:val="13"/>
          <w:color w:val="auto"/>
        </w:rPr>
        <w:t>The Company, the Investment Adviser and certain other affiliates have been granted an order for exemptive relief by the SEC for the Company to co- invest with other funds managed by the Investment Adviser. If we co-invest with other affiliated funds, our Investment Adviser would not receive compensation except to the extent permitted by the exemptive order and applicable law, including the limitations set forth in Section 57(k) of the 1940 Act.</w:t>
      </w:r>
    </w:p>
    <w:p>
      <w:pPr>
        <w:spacing w:after="0" w:line="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There were no transactions subject to Rule 17a-7 under the 1940 Act during each of the years ended September 30, 2025, 2024, and 2023.</w:t>
      </w:r>
    </w:p>
    <w:p>
      <w:pPr>
        <w:spacing w:after="0" w:line="127" w:lineRule="exact"/>
        <w:rPr>
          <w:sz w:val="20"/>
          <w:szCs w:val="20"/>
          <w:color w:val="auto"/>
        </w:rPr>
      </w:pPr>
    </w:p>
    <w:p>
      <w:pPr>
        <w:ind w:right="120" w:firstLine="420"/>
        <w:spacing w:after="0" w:line="286" w:lineRule="auto"/>
        <w:rPr>
          <w:sz w:val="20"/>
          <w:szCs w:val="20"/>
          <w:color w:val="auto"/>
        </w:rPr>
      </w:pPr>
      <w:r>
        <w:rPr>
          <w:rFonts w:ascii="Times New Roman" w:cs="Times New Roman" w:eastAsia="Times New Roman" w:hAnsi="Times New Roman"/>
          <w:sz w:val="13"/>
          <w:szCs w:val="13"/>
          <w:color w:val="auto"/>
        </w:rPr>
        <w:t>For the years ended September 30, 2025, 2024, and 2023, we sold $462.8 million, $308.8 million, and $127.8 million in investments to PSLF at fair value, respectively, and recognized $0.9 million, $0.2 million and $(0.2) million of net realized gain (loss), respectively.</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For the years ended September 30, 2025, 2024, and 2023, we sold zero in investments to PTSF II at fair value, respectively, and recognized zero of net realized gains, respectively.</w:t>
      </w:r>
    </w:p>
    <w:p>
      <w:pPr>
        <w:spacing w:after="0" w:line="127" w:lineRule="exact"/>
        <w:rPr>
          <w:sz w:val="20"/>
          <w:szCs w:val="20"/>
          <w:color w:val="auto"/>
        </w:rPr>
      </w:pPr>
    </w:p>
    <w:p>
      <w:pPr>
        <w:ind w:right="32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2025, 2024, and 2023 PNNT had a payable to PSLF and PTSF II of less than zero, $0.1 million and $4.1 million, respectively, presented as a due to affiliates on the consolidated statement of assets and liabilities. These amounts are related to cash owed to PSLF and PTSF II from PNNT in connection with trades between the funds.</w:t>
      </w:r>
    </w:p>
    <w:p>
      <w:pPr>
        <w:spacing w:after="0" w:line="76" w:lineRule="exact"/>
        <w:rPr>
          <w:sz w:val="20"/>
          <w:szCs w:val="20"/>
          <w:color w:val="auto"/>
        </w:rPr>
      </w:pPr>
    </w:p>
    <w:p>
      <w:pPr>
        <w:ind w:right="66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2025, 2024, and 2023, PNNT had a receivable from Administrator of 0.2 million, $0.2 million and zero, respectively, presented as a due from affiliates on the consolidated statement of assets and liabilities. These amounts are related to agency fees collected on behalf of the Company and trades between the funds.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4. INVESTMENTS</w:t>
      </w:r>
    </w:p>
    <w:p>
      <w:pPr>
        <w:spacing w:after="0" w:line="129" w:lineRule="exact"/>
        <w:rPr>
          <w:sz w:val="20"/>
          <w:szCs w:val="20"/>
          <w:color w:val="auto"/>
        </w:rPr>
      </w:pPr>
    </w:p>
    <w:p>
      <w:pPr>
        <w:ind w:right="80" w:firstLine="420"/>
        <w:spacing w:after="0" w:line="268" w:lineRule="auto"/>
        <w:rPr>
          <w:sz w:val="20"/>
          <w:szCs w:val="20"/>
          <w:color w:val="auto"/>
        </w:rPr>
      </w:pPr>
      <w:r>
        <w:rPr>
          <w:rFonts w:ascii="Times New Roman" w:cs="Times New Roman" w:eastAsia="Times New Roman" w:hAnsi="Times New Roman"/>
          <w:sz w:val="13"/>
          <w:szCs w:val="13"/>
          <w:color w:val="auto"/>
        </w:rPr>
        <w:t>Purchases of investments, including PIK interest, for the years ended September 30, 2025, 2024, and 2023 totaled $754.3 million, $784.2 million, and $ 279.9 million, respectively (excluding U.S. Government Securities). Sales and repayments of investments for years ended September 30, 2025, 2024, and 2023 totaled $810.4 million, $555.4 million, and $418.6 million, respectively (excluding U.S. Government Securities).</w:t>
      </w:r>
    </w:p>
    <w:p>
      <w:pPr>
        <w:spacing w:after="0" w:line="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Investments and cash and cash equivalents consisted of the following ($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20" w:type="dxa"/>
            <w:vAlign w:val="bottom"/>
            <w:gridSpan w:val="6"/>
          </w:tcPr>
          <w:p>
            <w:pPr>
              <w:jc w:val="right"/>
              <w:ind w:right="108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20" w:type="dxa"/>
            <w:vAlign w:val="bottom"/>
            <w:gridSpan w:val="5"/>
          </w:tcPr>
          <w:p>
            <w:pPr>
              <w:jc w:val="right"/>
              <w:ind w:right="1060"/>
              <w:spacing w:after="0"/>
              <w:rPr>
                <w:sz w:val="20"/>
                <w:szCs w:val="20"/>
                <w:color w:val="auto"/>
              </w:rPr>
            </w:pPr>
            <w:r>
              <w:rPr>
                <w:rFonts w:ascii="Times New Roman" w:cs="Times New Roman" w:eastAsia="Times New Roman" w:hAnsi="Times New Roman"/>
                <w:sz w:val="13"/>
                <w:szCs w:val="13"/>
                <w:b w:val="1"/>
                <w:bCs w:val="1"/>
                <w:color w:val="auto"/>
              </w:rPr>
              <w:t>September 30, 2024</w:t>
            </w:r>
          </w:p>
        </w:tc>
      </w:tr>
      <w:tr>
        <w:trPr>
          <w:trHeight w:val="170"/>
        </w:trPr>
        <w:tc>
          <w:tcPr>
            <w:tcW w:w="4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xml:space="preserve">Investment Classification </w:t>
            </w:r>
            <w:r>
              <w:rPr>
                <w:rFonts w:ascii="Times New Roman" w:cs="Times New Roman" w:eastAsia="Times New Roman" w:hAnsi="Times New Roman"/>
                <w:sz w:val="13"/>
                <w:szCs w:val="13"/>
                <w:color w:val="auto"/>
              </w:rPr>
              <w:t>($ in thousands)</w:t>
            </w:r>
          </w:p>
        </w:tc>
        <w:tc>
          <w:tcPr>
            <w:tcW w:w="320" w:type="dxa"/>
            <w:vAlign w:val="bottom"/>
          </w:tcPr>
          <w:p>
            <w:pPr>
              <w:spacing w:after="0"/>
              <w:rPr>
                <w:sz w:val="14"/>
                <w:szCs w:val="14"/>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4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56"/>
        </w:trPr>
        <w:tc>
          <w:tcPr>
            <w:tcW w:w="41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First lien</w:t>
            </w:r>
          </w:p>
        </w:tc>
        <w:tc>
          <w:tcPr>
            <w:tcW w:w="320" w:type="dxa"/>
            <w:vAlign w:val="bottom"/>
            <w:shd w:val="clear" w:color="auto" w:fill="CCECFF"/>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606,949</w:t>
            </w:r>
          </w:p>
        </w:tc>
        <w:tc>
          <w:tcPr>
            <w:tcW w:w="1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582,373</w:t>
            </w:r>
          </w:p>
        </w:tc>
        <w:tc>
          <w:tcPr>
            <w:tcW w:w="120" w:type="dxa"/>
            <w:vAlign w:val="bottom"/>
            <w:shd w:val="clear" w:color="auto" w:fill="CCECFF"/>
          </w:tcPr>
          <w:p>
            <w:pPr>
              <w:spacing w:after="0"/>
              <w:rPr>
                <w:sz w:val="13"/>
                <w:szCs w:val="13"/>
                <w:color w:val="auto"/>
              </w:rPr>
            </w:pPr>
          </w:p>
        </w:tc>
        <w:tc>
          <w:tcPr>
            <w:tcW w:w="4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700,390</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667,926</w:t>
            </w:r>
          </w:p>
        </w:tc>
        <w:tc>
          <w:tcPr>
            <w:tcW w:w="100" w:type="dxa"/>
            <w:vAlign w:val="bottom"/>
            <w:shd w:val="clear" w:color="auto" w:fill="CCECFF"/>
          </w:tcPr>
          <w:p>
            <w:pPr>
              <w:spacing w:after="0"/>
              <w:rPr>
                <w:sz w:val="13"/>
                <w:szCs w:val="13"/>
                <w:color w:val="auto"/>
              </w:rPr>
            </w:pPr>
          </w:p>
        </w:tc>
      </w:tr>
      <w:tr>
        <w:trPr>
          <w:trHeight w:val="156"/>
        </w:trPr>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U.S. Government Securities</w:t>
            </w: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124,809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124,788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99,652</w:t>
            </w:r>
          </w:p>
        </w:tc>
        <w:tc>
          <w:tcPr>
            <w:tcW w:w="240" w:type="dxa"/>
            <w:vAlign w:val="bottom"/>
          </w:tcPr>
          <w:p>
            <w:pPr>
              <w:spacing w:after="0"/>
              <w:rPr>
                <w:sz w:val="13"/>
                <w:szCs w:val="13"/>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99,632</w:t>
            </w:r>
          </w:p>
        </w:tc>
      </w:tr>
      <w:tr>
        <w:trPr>
          <w:trHeight w:val="156"/>
        </w:trPr>
        <w:tc>
          <w:tcPr>
            <w:tcW w:w="41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Second lien</w:t>
            </w:r>
          </w:p>
        </w:tc>
        <w:tc>
          <w:tcPr>
            <w:tcW w:w="320" w:type="dxa"/>
            <w:vAlign w:val="bottom"/>
            <w:shd w:val="clear" w:color="auto" w:fill="CCECFF"/>
          </w:tcPr>
          <w:p>
            <w:pPr>
              <w:spacing w:after="0"/>
              <w:rPr>
                <w:sz w:val="13"/>
                <w:szCs w:val="13"/>
                <w:color w:val="auto"/>
              </w:rPr>
            </w:pPr>
          </w:p>
        </w:tc>
        <w:tc>
          <w:tcPr>
            <w:tcW w:w="12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18,619</w:t>
            </w:r>
          </w:p>
        </w:tc>
        <w:tc>
          <w:tcPr>
            <w:tcW w:w="1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2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18,161</w:t>
            </w:r>
          </w:p>
        </w:tc>
        <w:tc>
          <w:tcPr>
            <w:tcW w:w="12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3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68,470</w:t>
            </w:r>
          </w:p>
        </w:tc>
        <w:tc>
          <w:tcPr>
            <w:tcW w:w="240" w:type="dxa"/>
            <w:vAlign w:val="bottom"/>
            <w:shd w:val="clear" w:color="auto" w:fill="CCECFF"/>
          </w:tcPr>
          <w:p>
            <w:pPr>
              <w:spacing w:after="0"/>
              <w:rPr>
                <w:sz w:val="13"/>
                <w:szCs w:val="13"/>
                <w:color w:val="auto"/>
              </w:rPr>
            </w:pPr>
          </w:p>
        </w:tc>
        <w:tc>
          <w:tcPr>
            <w:tcW w:w="12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67,180</w:t>
            </w:r>
          </w:p>
        </w:tc>
      </w:tr>
      <w:tr>
        <w:trPr>
          <w:trHeight w:val="156"/>
        </w:trPr>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Subordinated debt / corporate notes</w:t>
            </w:r>
          </w:p>
        </w:tc>
        <w:tc>
          <w:tcPr>
            <w:tcW w:w="32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60,575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60,933</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65,865</w:t>
            </w:r>
          </w:p>
        </w:tc>
        <w:tc>
          <w:tcPr>
            <w:tcW w:w="240" w:type="dxa"/>
            <w:vAlign w:val="bottom"/>
          </w:tcPr>
          <w:p>
            <w:pPr>
              <w:spacing w:after="0"/>
              <w:rPr>
                <w:sz w:val="13"/>
                <w:szCs w:val="13"/>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65,804</w:t>
            </w:r>
          </w:p>
        </w:tc>
      </w:tr>
      <w:tr>
        <w:trPr>
          <w:trHeight w:val="156"/>
        </w:trPr>
        <w:tc>
          <w:tcPr>
            <w:tcW w:w="41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Subordinated notes in PSLF</w:t>
            </w:r>
          </w:p>
        </w:tc>
        <w:tc>
          <w:tcPr>
            <w:tcW w:w="320" w:type="dxa"/>
            <w:vAlign w:val="bottom"/>
            <w:shd w:val="clear" w:color="auto" w:fill="CCECFF"/>
          </w:tcPr>
          <w:p>
            <w:pPr>
              <w:spacing w:after="0"/>
              <w:rPr>
                <w:sz w:val="13"/>
                <w:szCs w:val="13"/>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140,287</w:t>
            </w:r>
          </w:p>
        </w:tc>
        <w:tc>
          <w:tcPr>
            <w:tcW w:w="1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140,287</w:t>
            </w:r>
          </w:p>
        </w:tc>
        <w:tc>
          <w:tcPr>
            <w:tcW w:w="1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115,886</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115,886</w:t>
            </w:r>
          </w:p>
        </w:tc>
        <w:tc>
          <w:tcPr>
            <w:tcW w:w="100" w:type="dxa"/>
            <w:vAlign w:val="bottom"/>
            <w:shd w:val="clear" w:color="auto" w:fill="CCECFF"/>
          </w:tcPr>
          <w:p>
            <w:pPr>
              <w:spacing w:after="0"/>
              <w:rPr>
                <w:sz w:val="13"/>
                <w:szCs w:val="13"/>
                <w:color w:val="auto"/>
              </w:rPr>
            </w:pPr>
          </w:p>
        </w:tc>
      </w:tr>
      <w:tr>
        <w:trPr>
          <w:trHeight w:val="156"/>
        </w:trPr>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Equity</w:t>
            </w: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203,291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293,218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199,173</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243,699</w:t>
            </w:r>
          </w:p>
        </w:tc>
        <w:tc>
          <w:tcPr>
            <w:tcW w:w="100" w:type="dxa"/>
            <w:vAlign w:val="bottom"/>
          </w:tcPr>
          <w:p>
            <w:pPr>
              <w:spacing w:after="0"/>
              <w:rPr>
                <w:sz w:val="13"/>
                <w:szCs w:val="13"/>
                <w:color w:val="auto"/>
              </w:rPr>
            </w:pPr>
          </w:p>
        </w:tc>
      </w:tr>
      <w:tr>
        <w:trPr>
          <w:trHeight w:val="156"/>
        </w:trPr>
        <w:tc>
          <w:tcPr>
            <w:tcW w:w="41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Equity in PSLF</w:t>
            </w:r>
          </w:p>
        </w:tc>
        <w:tc>
          <w:tcPr>
            <w:tcW w:w="320" w:type="dxa"/>
            <w:vAlign w:val="bottom"/>
            <w:shd w:val="clear" w:color="auto" w:fill="CCECFF"/>
          </w:tcPr>
          <w:p>
            <w:pPr>
              <w:spacing w:after="0"/>
              <w:rPr>
                <w:sz w:val="13"/>
                <w:szCs w:val="13"/>
                <w:color w:val="auto"/>
              </w:rPr>
            </w:pPr>
          </w:p>
        </w:tc>
        <w:tc>
          <w:tcPr>
            <w:tcW w:w="12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82,358</w:t>
            </w:r>
          </w:p>
        </w:tc>
        <w:tc>
          <w:tcPr>
            <w:tcW w:w="1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2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67,513</w:t>
            </w:r>
          </w:p>
        </w:tc>
        <w:tc>
          <w:tcPr>
            <w:tcW w:w="12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3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67,436</w:t>
            </w:r>
          </w:p>
        </w:tc>
        <w:tc>
          <w:tcPr>
            <w:tcW w:w="240" w:type="dxa"/>
            <w:vAlign w:val="bottom"/>
            <w:shd w:val="clear" w:color="auto" w:fill="CCECFF"/>
          </w:tcPr>
          <w:p>
            <w:pPr>
              <w:spacing w:after="0"/>
              <w:rPr>
                <w:sz w:val="13"/>
                <w:szCs w:val="13"/>
                <w:color w:val="auto"/>
              </w:rPr>
            </w:pPr>
          </w:p>
        </w:tc>
        <w:tc>
          <w:tcPr>
            <w:tcW w:w="12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67,923</w:t>
            </w:r>
          </w:p>
        </w:tc>
      </w:tr>
      <w:tr>
        <w:trPr>
          <w:trHeight w:val="156"/>
        </w:trPr>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Total investments</w:t>
            </w: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1,236,888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1,287,273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1,316,872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1,328,050</w:t>
            </w:r>
          </w:p>
        </w:tc>
        <w:tc>
          <w:tcPr>
            <w:tcW w:w="100" w:type="dxa"/>
            <w:vAlign w:val="bottom"/>
          </w:tcPr>
          <w:p>
            <w:pPr>
              <w:spacing w:after="0"/>
              <w:rPr>
                <w:sz w:val="13"/>
                <w:szCs w:val="13"/>
                <w:color w:val="auto"/>
              </w:rPr>
            </w:pPr>
          </w:p>
        </w:tc>
      </w:tr>
      <w:tr>
        <w:trPr>
          <w:trHeight w:val="156"/>
        </w:trPr>
        <w:tc>
          <w:tcPr>
            <w:tcW w:w="41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20" w:type="dxa"/>
            <w:vAlign w:val="bottom"/>
            <w:shd w:val="clear" w:color="auto" w:fill="CCECFF"/>
          </w:tcPr>
          <w:p>
            <w:pPr>
              <w:spacing w:after="0"/>
              <w:rPr>
                <w:sz w:val="13"/>
                <w:szCs w:val="13"/>
                <w:color w:val="auto"/>
              </w:rPr>
            </w:pPr>
          </w:p>
        </w:tc>
        <w:tc>
          <w:tcPr>
            <w:tcW w:w="12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51,739</w:t>
            </w:r>
          </w:p>
        </w:tc>
        <w:tc>
          <w:tcPr>
            <w:tcW w:w="1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2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51,783</w:t>
            </w:r>
          </w:p>
        </w:tc>
        <w:tc>
          <w:tcPr>
            <w:tcW w:w="12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3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49,833</w:t>
            </w:r>
          </w:p>
        </w:tc>
        <w:tc>
          <w:tcPr>
            <w:tcW w:w="240" w:type="dxa"/>
            <w:vAlign w:val="bottom"/>
            <w:shd w:val="clear" w:color="auto" w:fill="CCECFF"/>
          </w:tcPr>
          <w:p>
            <w:pPr>
              <w:spacing w:after="0"/>
              <w:rPr>
                <w:sz w:val="13"/>
                <w:szCs w:val="13"/>
                <w:color w:val="auto"/>
              </w:rPr>
            </w:pPr>
          </w:p>
        </w:tc>
        <w:tc>
          <w:tcPr>
            <w:tcW w:w="12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49,861</w:t>
            </w:r>
          </w:p>
        </w:tc>
      </w:tr>
      <w:tr>
        <w:trPr>
          <w:trHeight w:val="156"/>
        </w:trPr>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320" w:type="dxa"/>
            <w:vAlign w:val="bottom"/>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1,288,627</w:t>
            </w:r>
          </w:p>
        </w:tc>
        <w:tc>
          <w:tcPr>
            <w:tcW w:w="120" w:type="dxa"/>
            <w:vAlign w:val="bottom"/>
          </w:tcPr>
          <w:p>
            <w:pPr>
              <w:spacing w:after="0"/>
              <w:rPr>
                <w:sz w:val="13"/>
                <w:szCs w:val="13"/>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1,339,056</w:t>
            </w:r>
          </w:p>
        </w:tc>
        <w:tc>
          <w:tcPr>
            <w:tcW w:w="120" w:type="dxa"/>
            <w:vAlign w:val="bottom"/>
          </w:tcPr>
          <w:p>
            <w:pPr>
              <w:spacing w:after="0"/>
              <w:rPr>
                <w:sz w:val="13"/>
                <w:szCs w:val="13"/>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1,366,705</w:t>
            </w:r>
          </w:p>
        </w:tc>
        <w:tc>
          <w:tcPr>
            <w:tcW w:w="240" w:type="dxa"/>
            <w:vAlign w:val="bottom"/>
          </w:tcPr>
          <w:p>
            <w:pPr>
              <w:spacing w:after="0"/>
              <w:rPr>
                <w:sz w:val="13"/>
                <w:szCs w:val="13"/>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1,377,911</w:t>
            </w:r>
          </w:p>
        </w:tc>
        <w:tc>
          <w:tcPr>
            <w:tcW w:w="100" w:type="dxa"/>
            <w:vAlign w:val="bottom"/>
          </w:tcPr>
          <w:p>
            <w:pPr>
              <w:spacing w:after="0"/>
              <w:rPr>
                <w:sz w:val="13"/>
                <w:szCs w:val="13"/>
                <w:color w:val="auto"/>
              </w:rPr>
            </w:pPr>
          </w:p>
        </w:tc>
      </w:tr>
      <w:tr>
        <w:trPr>
          <w:trHeight w:val="20"/>
        </w:trPr>
        <w:tc>
          <w:tcPr>
            <w:tcW w:w="4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4"/>
        </w:trPr>
        <w:tc>
          <w:tcPr>
            <w:tcW w:w="4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36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0"/>
        </w:trPr>
        <w:tc>
          <w:tcPr>
            <w:tcW w:w="416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16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1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table below describes investments by industry classification and enumerates the percentage, by fair value, of the total portfolio assets (excluding cash) in such industries as of:</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 xml:space="preserve">September 30, 2025 </w:t>
            </w:r>
            <w:r>
              <w:rPr>
                <w:rFonts w:ascii="Times New Roman" w:cs="Times New Roman" w:eastAsia="Times New Roman" w:hAnsi="Times New Roman"/>
                <w:sz w:val="16"/>
                <w:szCs w:val="16"/>
                <w:b w:val="1"/>
                <w:bCs w:val="1"/>
                <w:color w:val="auto"/>
                <w:vertAlign w:val="superscript"/>
              </w:rPr>
              <w:t>(1)</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 xml:space="preserve">September 30, 2024 </w:t>
            </w:r>
            <w:r>
              <w:rPr>
                <w:rFonts w:ascii="Times New Roman" w:cs="Times New Roman" w:eastAsia="Times New Roman" w:hAnsi="Times New Roman"/>
                <w:sz w:val="16"/>
                <w:szCs w:val="16"/>
                <w:b w:val="1"/>
                <w:bCs w:val="1"/>
                <w:color w:val="auto"/>
                <w:vertAlign w:val="superscript"/>
              </w:rPr>
              <w:t>(1)</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56"/>
        </w:trPr>
        <w:tc>
          <w:tcPr>
            <w:tcW w:w="2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Net Asset Value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Net Asset Value</w:t>
            </w:r>
          </w:p>
        </w:tc>
      </w:tr>
      <w:tr>
        <w:trPr>
          <w:trHeight w:val="186"/>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Industry Classification</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4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Cost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20" w:type="dxa"/>
            <w:vAlign w:val="bottom"/>
          </w:tcPr>
          <w:p>
            <w:pPr>
              <w:spacing w:after="0"/>
              <w:rPr>
                <w:sz w:val="16"/>
                <w:szCs w:val="16"/>
                <w:color w:val="auto"/>
              </w:rPr>
            </w:pPr>
          </w:p>
        </w:tc>
      </w:tr>
      <w:tr>
        <w:trPr>
          <w:trHeight w:val="156"/>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Business Services</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195,614</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184,452</w:t>
            </w:r>
          </w:p>
        </w:tc>
        <w:tc>
          <w:tcPr>
            <w:tcW w:w="10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40%</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205,232</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184,233</w:t>
            </w:r>
          </w:p>
        </w:tc>
        <w:tc>
          <w:tcPr>
            <w:tcW w:w="100" w:type="dxa"/>
            <w:vAlign w:val="bottom"/>
          </w:tcPr>
          <w:p>
            <w:pPr>
              <w:spacing w:after="0"/>
              <w:rPr>
                <w:sz w:val="13"/>
                <w:szCs w:val="13"/>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16%</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37%</w:t>
            </w:r>
          </w:p>
        </w:tc>
      </w:tr>
      <w:tr>
        <w:trPr>
          <w:trHeight w:val="156"/>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Healthcare, Education and Childcare</w:t>
            </w:r>
          </w:p>
        </w:tc>
        <w:tc>
          <w:tcPr>
            <w:tcW w:w="1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128,969</w:t>
            </w: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168,000</w:t>
            </w:r>
          </w:p>
        </w:tc>
        <w:tc>
          <w:tcPr>
            <w:tcW w:w="10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16%</w:t>
            </w:r>
          </w:p>
        </w:tc>
        <w:tc>
          <w:tcPr>
            <w:tcW w:w="10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124,430</w:t>
            </w: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127,574</w:t>
            </w:r>
          </w:p>
        </w:tc>
        <w:tc>
          <w:tcPr>
            <w:tcW w:w="10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11%</w:t>
            </w:r>
          </w:p>
        </w:tc>
        <w:tc>
          <w:tcPr>
            <w:tcW w:w="10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26%</w:t>
            </w:r>
          </w:p>
        </w:tc>
      </w:tr>
      <w:tr>
        <w:trPr>
          <w:trHeight w:val="156"/>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Distribution</w:t>
            </w:r>
          </w:p>
        </w:tc>
        <w:tc>
          <w:tcPr>
            <w:tcW w:w="1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57,352</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130,850</w:t>
            </w:r>
          </w:p>
        </w:tc>
        <w:tc>
          <w:tcPr>
            <w:tcW w:w="10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120,378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165,304</w:t>
            </w:r>
          </w:p>
        </w:tc>
        <w:tc>
          <w:tcPr>
            <w:tcW w:w="100" w:type="dxa"/>
            <w:vAlign w:val="bottom"/>
          </w:tcPr>
          <w:p>
            <w:pPr>
              <w:spacing w:after="0"/>
              <w:rPr>
                <w:sz w:val="13"/>
                <w:szCs w:val="13"/>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33%</w:t>
            </w:r>
          </w:p>
        </w:tc>
      </w:tr>
      <w:tr>
        <w:trPr>
          <w:trHeight w:val="156"/>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Short-Term U.S. Government Securities</w:t>
            </w:r>
          </w:p>
        </w:tc>
        <w:tc>
          <w:tcPr>
            <w:tcW w:w="1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124,809</w:t>
            </w: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124,788</w:t>
            </w:r>
          </w:p>
        </w:tc>
        <w:tc>
          <w:tcPr>
            <w:tcW w:w="10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12%</w:t>
            </w:r>
          </w:p>
        </w:tc>
        <w:tc>
          <w:tcPr>
            <w:tcW w:w="10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7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99,652</w:t>
            </w: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99,632</w:t>
            </w:r>
          </w:p>
        </w:tc>
        <w:tc>
          <w:tcPr>
            <w:tcW w:w="11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8%</w:t>
            </w:r>
          </w:p>
        </w:tc>
        <w:tc>
          <w:tcPr>
            <w:tcW w:w="10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20%</w:t>
            </w:r>
          </w:p>
        </w:tc>
      </w:tr>
      <w:tr>
        <w:trPr>
          <w:trHeight w:val="156"/>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Financial Services</w:t>
            </w:r>
          </w:p>
        </w:tc>
        <w:tc>
          <w:tcPr>
            <w:tcW w:w="1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70,403</w:t>
            </w: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68,959</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69,915</w:t>
            </w:r>
          </w:p>
        </w:tc>
        <w:tc>
          <w:tcPr>
            <w:tcW w:w="10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71,527</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w:t>
            </w:r>
          </w:p>
        </w:tc>
      </w:tr>
      <w:tr>
        <w:trPr>
          <w:trHeight w:val="156"/>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Consumer Products</w:t>
            </w:r>
          </w:p>
        </w:tc>
        <w:tc>
          <w:tcPr>
            <w:tcW w:w="1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53,746</w:t>
            </w:r>
          </w:p>
        </w:tc>
        <w:tc>
          <w:tcPr>
            <w:tcW w:w="10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49,414</w:t>
            </w:r>
          </w:p>
        </w:tc>
        <w:tc>
          <w:tcPr>
            <w:tcW w:w="10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5%</w:t>
            </w:r>
          </w:p>
        </w:tc>
        <w:tc>
          <w:tcPr>
            <w:tcW w:w="10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7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89,773</w:t>
            </w: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89,743</w:t>
            </w:r>
          </w:p>
        </w:tc>
        <w:tc>
          <w:tcPr>
            <w:tcW w:w="11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8%</w:t>
            </w:r>
          </w:p>
        </w:tc>
        <w:tc>
          <w:tcPr>
            <w:tcW w:w="10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18%</w:t>
            </w:r>
          </w:p>
        </w:tc>
      </w:tr>
      <w:tr>
        <w:trPr>
          <w:trHeight w:val="156"/>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Aerospace and Defense</w:t>
            </w:r>
          </w:p>
        </w:tc>
        <w:tc>
          <w:tcPr>
            <w:tcW w:w="1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39,513</w:t>
            </w: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47,113</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53,472</w:t>
            </w:r>
          </w:p>
        </w:tc>
        <w:tc>
          <w:tcPr>
            <w:tcW w:w="10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54,017</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w:t>
            </w:r>
          </w:p>
        </w:tc>
      </w:tr>
      <w:tr>
        <w:trPr>
          <w:trHeight w:val="156"/>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Manufacturing/Basic Industry</w:t>
            </w:r>
          </w:p>
        </w:tc>
        <w:tc>
          <w:tcPr>
            <w:tcW w:w="1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42,601</w:t>
            </w:r>
          </w:p>
        </w:tc>
        <w:tc>
          <w:tcPr>
            <w:tcW w:w="10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43,067</w:t>
            </w:r>
          </w:p>
        </w:tc>
        <w:tc>
          <w:tcPr>
            <w:tcW w:w="10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4%</w:t>
            </w:r>
          </w:p>
        </w:tc>
        <w:tc>
          <w:tcPr>
            <w:tcW w:w="10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7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12,686</w:t>
            </w: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12,713</w:t>
            </w:r>
          </w:p>
        </w:tc>
        <w:tc>
          <w:tcPr>
            <w:tcW w:w="11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10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r>
      <w:tr>
        <w:trPr>
          <w:trHeight w:val="156"/>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Environmental Services</w:t>
            </w:r>
          </w:p>
        </w:tc>
        <w:tc>
          <w:tcPr>
            <w:tcW w:w="1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61,588</w:t>
            </w: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31,238</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51,402</w:t>
            </w:r>
          </w:p>
        </w:tc>
        <w:tc>
          <w:tcPr>
            <w:tcW w:w="10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44,290</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w:t>
            </w:r>
          </w:p>
        </w:tc>
      </w:tr>
      <w:tr>
        <w:trPr>
          <w:trHeight w:val="156"/>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Auto Sector</w:t>
            </w:r>
          </w:p>
        </w:tc>
        <w:tc>
          <w:tcPr>
            <w:tcW w:w="1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26,621</w:t>
            </w:r>
          </w:p>
        </w:tc>
        <w:tc>
          <w:tcPr>
            <w:tcW w:w="10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27,826</w:t>
            </w:r>
          </w:p>
        </w:tc>
        <w:tc>
          <w:tcPr>
            <w:tcW w:w="10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w:t>
            </w:r>
          </w:p>
        </w:tc>
        <w:tc>
          <w:tcPr>
            <w:tcW w:w="10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7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39,449</w:t>
            </w: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40,752</w:t>
            </w:r>
          </w:p>
        </w:tc>
        <w:tc>
          <w:tcPr>
            <w:tcW w:w="11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4%</w:t>
            </w:r>
          </w:p>
        </w:tc>
        <w:tc>
          <w:tcPr>
            <w:tcW w:w="10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8%</w:t>
            </w:r>
          </w:p>
        </w:tc>
      </w:tr>
      <w:tr>
        <w:trPr>
          <w:trHeight w:val="156"/>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Gaming</w:t>
            </w:r>
          </w:p>
        </w:tc>
        <w:tc>
          <w:tcPr>
            <w:tcW w:w="1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22,853</w:t>
            </w: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23,151</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w:t>
            </w:r>
          </w:p>
        </w:tc>
      </w:tr>
      <w:tr>
        <w:trPr>
          <w:trHeight w:val="156"/>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Consumer Services</w:t>
            </w:r>
          </w:p>
        </w:tc>
        <w:tc>
          <w:tcPr>
            <w:tcW w:w="1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19,067</w:t>
            </w:r>
          </w:p>
        </w:tc>
        <w:tc>
          <w:tcPr>
            <w:tcW w:w="10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19,319</w:t>
            </w:r>
          </w:p>
        </w:tc>
        <w:tc>
          <w:tcPr>
            <w:tcW w:w="10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w:t>
            </w:r>
          </w:p>
        </w:tc>
        <w:tc>
          <w:tcPr>
            <w:tcW w:w="10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8,700</w:t>
            </w: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8,449</w:t>
            </w:r>
          </w:p>
        </w:tc>
        <w:tc>
          <w:tcPr>
            <w:tcW w:w="10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10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r>
      <w:tr>
        <w:trPr>
          <w:trHeight w:val="156"/>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Personal, Food and Miscellaneous Services</w:t>
            </w:r>
          </w:p>
        </w:tc>
        <w:tc>
          <w:tcPr>
            <w:tcW w:w="1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16,207</w:t>
            </w: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18,769</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17,203</w:t>
            </w:r>
          </w:p>
        </w:tc>
        <w:tc>
          <w:tcPr>
            <w:tcW w:w="10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18,850</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w:t>
            </w:r>
          </w:p>
        </w:tc>
      </w:tr>
      <w:tr>
        <w:trPr>
          <w:trHeight w:val="156"/>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Media</w:t>
            </w:r>
          </w:p>
        </w:tc>
        <w:tc>
          <w:tcPr>
            <w:tcW w:w="1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17,477</w:t>
            </w:r>
          </w:p>
        </w:tc>
        <w:tc>
          <w:tcPr>
            <w:tcW w:w="10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17,434</w:t>
            </w:r>
          </w:p>
        </w:tc>
        <w:tc>
          <w:tcPr>
            <w:tcW w:w="10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w:t>
            </w:r>
          </w:p>
        </w:tc>
        <w:tc>
          <w:tcPr>
            <w:tcW w:w="10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7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31,964</w:t>
            </w: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32,130</w:t>
            </w:r>
          </w:p>
        </w:tc>
        <w:tc>
          <w:tcPr>
            <w:tcW w:w="11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c>
          <w:tcPr>
            <w:tcW w:w="10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7%</w:t>
            </w:r>
          </w:p>
        </w:tc>
      </w:tr>
      <w:tr>
        <w:trPr>
          <w:trHeight w:val="156"/>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Diversified Conglomerate Service</w:t>
            </w:r>
          </w:p>
        </w:tc>
        <w:tc>
          <w:tcPr>
            <w:tcW w:w="1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17,268</w:t>
            </w: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16,416</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10,091</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9,834</w:t>
            </w:r>
          </w:p>
        </w:tc>
        <w:tc>
          <w:tcPr>
            <w:tcW w:w="100" w:type="dxa"/>
            <w:vAlign w:val="bottom"/>
          </w:tcPr>
          <w:p>
            <w:pPr>
              <w:spacing w:after="0"/>
              <w:rPr>
                <w:sz w:val="13"/>
                <w:szCs w:val="13"/>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r>
      <w:tr>
        <w:trPr>
          <w:trHeight w:val="156"/>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Telecommunications</w:t>
            </w:r>
          </w:p>
        </w:tc>
        <w:tc>
          <w:tcPr>
            <w:tcW w:w="1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22,305</w:t>
            </w:r>
          </w:p>
        </w:tc>
        <w:tc>
          <w:tcPr>
            <w:tcW w:w="10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13,695</w:t>
            </w:r>
          </w:p>
        </w:tc>
        <w:tc>
          <w:tcPr>
            <w:tcW w:w="10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10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7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35,986</w:t>
            </w: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34,045</w:t>
            </w:r>
          </w:p>
        </w:tc>
        <w:tc>
          <w:tcPr>
            <w:tcW w:w="11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c>
          <w:tcPr>
            <w:tcW w:w="10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7%</w:t>
            </w:r>
          </w:p>
        </w:tc>
      </w:tr>
      <w:tr>
        <w:trPr>
          <w:trHeight w:val="156"/>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Buildings and Real Estate</w:t>
            </w:r>
          </w:p>
        </w:tc>
        <w:tc>
          <w:tcPr>
            <w:tcW w:w="1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12,546</w:t>
            </w: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12,495</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12,515</w:t>
            </w:r>
          </w:p>
        </w:tc>
        <w:tc>
          <w:tcPr>
            <w:tcW w:w="10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12,442</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r>
      <w:tr>
        <w:trPr>
          <w:trHeight w:val="156"/>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Chemicals, Plastics and Rubber</w:t>
            </w:r>
          </w:p>
        </w:tc>
        <w:tc>
          <w:tcPr>
            <w:tcW w:w="1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15,237</w:t>
            </w:r>
          </w:p>
        </w:tc>
        <w:tc>
          <w:tcPr>
            <w:tcW w:w="10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12,240</w:t>
            </w:r>
          </w:p>
        </w:tc>
        <w:tc>
          <w:tcPr>
            <w:tcW w:w="10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10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7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32,255</w:t>
            </w: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31,598</w:t>
            </w:r>
          </w:p>
        </w:tc>
        <w:tc>
          <w:tcPr>
            <w:tcW w:w="11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c>
          <w:tcPr>
            <w:tcW w:w="10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6%</w:t>
            </w:r>
          </w:p>
        </w:tc>
      </w:tr>
      <w:tr>
        <w:trPr>
          <w:trHeight w:val="156"/>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Event Services</w:t>
            </w:r>
          </w:p>
        </w:tc>
        <w:tc>
          <w:tcPr>
            <w:tcW w:w="1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11,823</w:t>
            </w: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12,073</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w:t>
            </w:r>
          </w:p>
        </w:tc>
      </w:tr>
      <w:tr>
        <w:trPr>
          <w:trHeight w:val="144"/>
        </w:trPr>
        <w:tc>
          <w:tcPr>
            <w:tcW w:w="2440" w:type="dxa"/>
            <w:vAlign w:val="bottom"/>
            <w:shd w:val="clear" w:color="auto" w:fill="CCECFF"/>
          </w:tcPr>
          <w:p>
            <w:pPr>
              <w:spacing w:after="0" w:line="144" w:lineRule="exact"/>
              <w:rPr>
                <w:sz w:val="20"/>
                <w:szCs w:val="20"/>
                <w:color w:val="auto"/>
              </w:rPr>
            </w:pPr>
            <w:r>
              <w:rPr>
                <w:rFonts w:ascii="Times New Roman" w:cs="Times New Roman" w:eastAsia="Times New Roman" w:hAnsi="Times New Roman"/>
                <w:sz w:val="13"/>
                <w:szCs w:val="13"/>
                <w:color w:val="auto"/>
              </w:rPr>
              <w:t>Home and Office Furnishings, Housewares</w:t>
            </w:r>
          </w:p>
        </w:tc>
        <w:tc>
          <w:tcPr>
            <w:tcW w:w="1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68"/>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and Durable Consumer Products</w:t>
            </w:r>
          </w:p>
        </w:tc>
        <w:tc>
          <w:tcPr>
            <w:tcW w:w="18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9,258</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9,723</w:t>
            </w:r>
          </w:p>
        </w:tc>
        <w:tc>
          <w:tcPr>
            <w:tcW w:w="1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10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9,663</w:t>
            </w:r>
          </w:p>
        </w:tc>
        <w:tc>
          <w:tcPr>
            <w:tcW w:w="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9,663</w:t>
            </w:r>
          </w:p>
        </w:tc>
        <w:tc>
          <w:tcPr>
            <w:tcW w:w="10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10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r>
      <w:tr>
        <w:trPr>
          <w:trHeight w:val="156"/>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Electronics</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5,485</w:t>
            </w:r>
          </w:p>
        </w:tc>
        <w:tc>
          <w:tcPr>
            <w:tcW w:w="10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14,887</w:t>
            </w:r>
          </w:p>
        </w:tc>
        <w:tc>
          <w:tcPr>
            <w:tcW w:w="10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19,633</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w:t>
            </w:r>
          </w:p>
        </w:tc>
      </w:tr>
      <w:tr>
        <w:trPr>
          <w:trHeight w:val="156"/>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Consulting Services</w:t>
            </w:r>
          </w:p>
        </w:tc>
        <w:tc>
          <w:tcPr>
            <w:tcW w:w="1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5,970</w:t>
            </w: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5,966</w:t>
            </w:r>
          </w:p>
        </w:tc>
        <w:tc>
          <w:tcPr>
            <w:tcW w:w="10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10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0%</w:t>
            </w:r>
          </w:p>
        </w:tc>
        <w:tc>
          <w:tcPr>
            <w:tcW w:w="10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0%</w:t>
            </w:r>
          </w:p>
        </w:tc>
      </w:tr>
      <w:tr>
        <w:trPr>
          <w:trHeight w:val="156"/>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All Other</w:t>
            </w:r>
          </w:p>
        </w:tc>
        <w:tc>
          <w:tcPr>
            <w:tcW w:w="1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40,509</w:t>
            </w: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37,000</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93,898</w:t>
            </w:r>
          </w:p>
        </w:tc>
        <w:tc>
          <w:tcPr>
            <w:tcW w:w="10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77,812</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16%</w:t>
            </w:r>
          </w:p>
        </w:tc>
      </w:tr>
      <w:tr>
        <w:trPr>
          <w:trHeight w:val="176"/>
        </w:trPr>
        <w:tc>
          <w:tcPr>
            <w:tcW w:w="2440" w:type="dxa"/>
            <w:vAlign w:val="bottom"/>
            <w:shd w:val="clear" w:color="auto" w:fill="CCECFF"/>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shd w:val="clear" w:color="auto" w:fill="CCEC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1,014,243</w:t>
            </w:r>
          </w:p>
        </w:tc>
        <w:tc>
          <w:tcPr>
            <w:tcW w:w="100" w:type="dxa"/>
            <w:vAlign w:val="bottom"/>
            <w:shd w:val="clear" w:color="auto" w:fill="CCECFF"/>
          </w:tcPr>
          <w:p>
            <w:pPr>
              <w:spacing w:after="0"/>
              <w:rPr>
                <w:sz w:val="15"/>
                <w:szCs w:val="15"/>
                <w:color w:val="auto"/>
              </w:rPr>
            </w:pP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1,079,473</w:t>
            </w:r>
          </w:p>
        </w:tc>
        <w:tc>
          <w:tcPr>
            <w:tcW w:w="100" w:type="dxa"/>
            <w:vAlign w:val="bottom"/>
            <w:shd w:val="clear" w:color="auto" w:fill="CCECFF"/>
          </w:tcPr>
          <w:p>
            <w:pPr>
              <w:spacing w:after="0"/>
              <w:rPr>
                <w:sz w:val="15"/>
                <w:szCs w:val="15"/>
                <w:color w:val="auto"/>
              </w:rPr>
            </w:pPr>
          </w:p>
        </w:tc>
        <w:tc>
          <w:tcPr>
            <w:tcW w:w="1080" w:type="dxa"/>
            <w:vAlign w:val="bottom"/>
            <w:gridSpan w:val="2"/>
            <w:shd w:val="clear" w:color="auto" w:fill="CCECFF"/>
          </w:tcPr>
          <w:p>
            <w:pPr>
              <w:jc w:val="right"/>
              <w:spacing w:after="0" w:line="136" w:lineRule="exact"/>
              <w:rPr>
                <w:sz w:val="20"/>
                <w:szCs w:val="20"/>
                <w:color w:val="auto"/>
              </w:rPr>
            </w:pPr>
            <w:r>
              <w:rPr>
                <w:rFonts w:ascii="Times New Roman" w:cs="Times New Roman" w:eastAsia="Times New Roman" w:hAnsi="Times New Roman"/>
                <w:sz w:val="9"/>
                <w:szCs w:val="9"/>
                <w:b w:val="1"/>
                <w:bCs w:val="1"/>
                <w:color w:val="auto"/>
              </w:rPr>
              <w:t>100</w:t>
            </w:r>
            <w:r>
              <w:rPr>
                <w:rFonts w:ascii="Times New Roman" w:cs="Times New Roman" w:eastAsia="Times New Roman" w:hAnsi="Times New Roman"/>
                <w:sz w:val="15"/>
                <w:szCs w:val="15"/>
                <w:b w:val="1"/>
                <w:bCs w:val="1"/>
                <w:color w:val="auto"/>
                <w:vertAlign w:val="subscript"/>
              </w:rPr>
              <w:t>%</w:t>
            </w:r>
          </w:p>
        </w:tc>
        <w:tc>
          <w:tcPr>
            <w:tcW w:w="1040" w:type="dxa"/>
            <w:vAlign w:val="bottom"/>
            <w:gridSpan w:val="2"/>
            <w:shd w:val="clear" w:color="auto" w:fill="CCECFF"/>
          </w:tcPr>
          <w:p>
            <w:pPr>
              <w:jc w:val="right"/>
              <w:spacing w:after="0" w:line="136" w:lineRule="exact"/>
              <w:rPr>
                <w:sz w:val="20"/>
                <w:szCs w:val="20"/>
                <w:color w:val="auto"/>
              </w:rPr>
            </w:pPr>
            <w:r>
              <w:rPr>
                <w:rFonts w:ascii="Times New Roman" w:cs="Times New Roman" w:eastAsia="Times New Roman" w:hAnsi="Times New Roman"/>
                <w:sz w:val="9"/>
                <w:szCs w:val="9"/>
                <w:b w:val="1"/>
                <w:bCs w:val="1"/>
                <w:color w:val="auto"/>
              </w:rPr>
              <w:t>234</w:t>
            </w:r>
            <w:r>
              <w:rPr>
                <w:rFonts w:ascii="Times New Roman" w:cs="Times New Roman" w:eastAsia="Times New Roman" w:hAnsi="Times New Roman"/>
                <w:sz w:val="15"/>
                <w:szCs w:val="15"/>
                <w:b w:val="1"/>
                <w:bCs w:val="1"/>
                <w:color w:val="auto"/>
                <w:vertAlign w:val="subscript"/>
              </w:rPr>
              <w:t>%</w:t>
            </w:r>
          </w:p>
        </w:tc>
        <w:tc>
          <w:tcPr>
            <w:tcW w:w="280" w:type="dxa"/>
            <w:vAlign w:val="bottom"/>
            <w:gridSpan w:val="2"/>
            <w:shd w:val="clear" w:color="auto" w:fill="CCECFF"/>
          </w:tcPr>
          <w:p>
            <w:pPr>
              <w:jc w:val="right"/>
              <w:ind w:right="12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1,133,551</w:t>
            </w:r>
          </w:p>
        </w:tc>
        <w:tc>
          <w:tcPr>
            <w:tcW w:w="80" w:type="dxa"/>
            <w:vAlign w:val="bottom"/>
            <w:shd w:val="clear" w:color="auto" w:fill="CCECFF"/>
          </w:tcPr>
          <w:p>
            <w:pPr>
              <w:spacing w:after="0"/>
              <w:rPr>
                <w:sz w:val="15"/>
                <w:szCs w:val="15"/>
                <w:color w:val="auto"/>
              </w:rPr>
            </w:pPr>
          </w:p>
        </w:tc>
        <w:tc>
          <w:tcPr>
            <w:tcW w:w="100" w:type="dxa"/>
            <w:vAlign w:val="bottom"/>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1,144,241</w:t>
            </w:r>
          </w:p>
        </w:tc>
        <w:tc>
          <w:tcPr>
            <w:tcW w:w="1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spacing w:after="0" w:line="136" w:lineRule="exact"/>
              <w:rPr>
                <w:sz w:val="20"/>
                <w:szCs w:val="20"/>
                <w:color w:val="auto"/>
              </w:rPr>
            </w:pPr>
            <w:r>
              <w:rPr>
                <w:rFonts w:ascii="Times New Roman" w:cs="Times New Roman" w:eastAsia="Times New Roman" w:hAnsi="Times New Roman"/>
                <w:sz w:val="9"/>
                <w:szCs w:val="9"/>
                <w:b w:val="1"/>
                <w:bCs w:val="1"/>
                <w:color w:val="auto"/>
              </w:rPr>
              <w:t>100</w:t>
            </w:r>
            <w:r>
              <w:rPr>
                <w:rFonts w:ascii="Times New Roman" w:cs="Times New Roman" w:eastAsia="Times New Roman" w:hAnsi="Times New Roman"/>
                <w:sz w:val="15"/>
                <w:szCs w:val="15"/>
                <w:b w:val="1"/>
                <w:bCs w:val="1"/>
                <w:color w:val="auto"/>
                <w:vertAlign w:val="subscript"/>
              </w:rPr>
              <w:t>%</w:t>
            </w:r>
          </w:p>
        </w:tc>
        <w:tc>
          <w:tcPr>
            <w:tcW w:w="1020" w:type="dxa"/>
            <w:vAlign w:val="bottom"/>
            <w:gridSpan w:val="2"/>
            <w:shd w:val="clear" w:color="auto" w:fill="CCECFF"/>
          </w:tcPr>
          <w:p>
            <w:pPr>
              <w:jc w:val="right"/>
              <w:spacing w:after="0" w:line="136" w:lineRule="exact"/>
              <w:rPr>
                <w:sz w:val="20"/>
                <w:szCs w:val="20"/>
                <w:color w:val="auto"/>
              </w:rPr>
            </w:pPr>
            <w:r>
              <w:rPr>
                <w:rFonts w:ascii="Times New Roman" w:cs="Times New Roman" w:eastAsia="Times New Roman" w:hAnsi="Times New Roman"/>
                <w:sz w:val="9"/>
                <w:szCs w:val="9"/>
                <w:b w:val="1"/>
                <w:bCs w:val="1"/>
                <w:color w:val="auto"/>
              </w:rPr>
              <w:t>232</w:t>
            </w:r>
            <w:r>
              <w:rPr>
                <w:rFonts w:ascii="Times New Roman" w:cs="Times New Roman" w:eastAsia="Times New Roman" w:hAnsi="Times New Roman"/>
                <w:sz w:val="15"/>
                <w:szCs w:val="15"/>
                <w:b w:val="1"/>
                <w:bCs w:val="1"/>
                <w:color w:val="auto"/>
                <w:vertAlign w:val="subscript"/>
              </w:rPr>
              <w:t>%</w:t>
            </w:r>
          </w:p>
        </w:tc>
      </w:tr>
      <w:tr>
        <w:trPr>
          <w:trHeight w:val="20"/>
        </w:trPr>
        <w:tc>
          <w:tcPr>
            <w:tcW w:w="244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Excludes investments in PSLF.</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p>
      <w:pPr>
        <w:spacing w:after="0" w:line="153" w:lineRule="exact"/>
        <w:rPr>
          <w:sz w:val="20"/>
          <w:szCs w:val="20"/>
          <w:color w:val="auto"/>
        </w:rPr>
      </w:pPr>
    </w:p>
    <w:p>
      <w:pPr>
        <w:ind w:right="100" w:firstLine="420"/>
        <w:spacing w:after="0" w:line="255" w:lineRule="auto"/>
        <w:rPr>
          <w:sz w:val="20"/>
          <w:szCs w:val="20"/>
          <w:color w:val="auto"/>
        </w:rPr>
      </w:pPr>
      <w:r>
        <w:rPr>
          <w:rFonts w:ascii="Times New Roman" w:cs="Times New Roman" w:eastAsia="Times New Roman" w:hAnsi="Times New Roman"/>
          <w:sz w:val="13"/>
          <w:szCs w:val="13"/>
          <w:color w:val="auto"/>
        </w:rPr>
        <w:t>In July 2020, we and Pantheon formed PSLF, an unconsolidated joint venture. PSLF invests primarily in middle-market and other corporate debt securities consistent with our strategy. PSLF was formed as a Delaware limited liability company. As of September 30, 2025 and 2024 PSLF had total assets of $1,315.4 million and $1,073.4 million, respectively. PSLF’s portfolio consisted of debt investments in 109 and 102 portfolio companies as of September 30, 2025 and 2024, respectively. As of September 30, 2025, we and Pantheon had remaining commitments to fund first lien secured debt of $8.2 million and $11.7 million, respectively, and equity interests of $5.0 million and $7.1 million, respectively, in PSLF. As of September 30, 2024, we and Pantheon had remaining commitments to fund first lien secured debt of $32.6 million and $46.5 million, respectively, and equity interest of $19.9 million and $28.5 million respectively. As of September 30, 2025, at fair value, the largest investment in a single portfolio company in PSLF was $24.8 million and the five largest investments totaled $121.4 million. As of September 30, 2024 at fair value, the largest investment in a single portfolio company in PSLF was $25.1 million and the five largest investments totaled $109.9 million. PSLF invests in portfolio companies in the same industries in which we may directly invest.</w:t>
      </w:r>
    </w:p>
    <w:p>
      <w:pPr>
        <w:spacing w:after="0" w:line="98"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We provide capital to PSLF in the form of subordinated notes and equity interests. As of September 30, 2025, we and Pantheon owned 55.8% and 44.2%, respectively, of each of the outstanding subordinated notes and equity interests of PSLF. As of September 30, 2024, we and Pantheon owned 60.5% and 39.5%, respectively, of each of the outstanding subordinated notes and equity interests of PSLF. As of September 30, 2025, our investment in PSLF consisted of subordinated notes of $140.3 million and $115.9 million, respectively, and equity interests of $ 82.4 million and $67.4 million, respectively. In October 2024, the Company made a capital contribution of approximately $26.3 million of assets at their most recent fair market value as of the date of the transaction.</w:t>
      </w:r>
    </w:p>
    <w:p>
      <w:pPr>
        <w:spacing w:after="0" w:line="94"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We and Pantheon each appointed two members to PSLF’s four-person Member Designees’ Committee, or the Member Designees’ Committee. All material decisions with respect to PSLF, including those involving its investment portfolio, require unanimous approval of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and Pantheon.</w:t>
      </w:r>
    </w:p>
    <w:p>
      <w:pPr>
        <w:spacing w:after="0" w:line="96" w:lineRule="exact"/>
        <w:rPr>
          <w:sz w:val="20"/>
          <w:szCs w:val="20"/>
          <w:color w:val="auto"/>
        </w:rPr>
      </w:pPr>
    </w:p>
    <w:p>
      <w:pPr>
        <w:jc w:val="both"/>
        <w:ind w:right="260" w:firstLine="420"/>
        <w:spacing w:after="0" w:line="268" w:lineRule="auto"/>
        <w:rPr>
          <w:sz w:val="20"/>
          <w:szCs w:val="20"/>
          <w:color w:val="auto"/>
        </w:rPr>
      </w:pPr>
      <w:r>
        <w:rPr>
          <w:rFonts w:ascii="Times New Roman" w:cs="Times New Roman" w:eastAsia="Times New Roman" w:hAnsi="Times New Roman"/>
          <w:sz w:val="13"/>
          <w:szCs w:val="13"/>
          <w:color w:val="auto"/>
        </w:rPr>
        <w:t>Additionally, PSLF, through its wholly- owned subsidiary, or PSLF Subsidiary, has entered into a $400.0 million (increased from $325.0 million in August 2024) senior secured revolving credit facility, or the PSLF Credit Facility, with BNP Paribas, which bears interest at SOFR (or an alternative risk-free interest rate index) plus 225 basis points during the investment period and is subject to leverage and borrowing base restrictions.</w:t>
      </w:r>
    </w:p>
    <w:p>
      <w:pPr>
        <w:spacing w:after="0" w:line="87" w:lineRule="exact"/>
        <w:rPr>
          <w:sz w:val="20"/>
          <w:szCs w:val="20"/>
          <w:color w:val="auto"/>
        </w:rPr>
      </w:pPr>
    </w:p>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In March 2022, PSLF completed a $304.0 million debt securitization in the form of a collateralized loan obligation, or the “2034 Asset-Backed Debt”. The 2034 Asset-Backed Debt is secured by a diversified portfolio of PennantPark CLO IV, LLC., a wholly- owned and consolidated subsidiary of PSLF, consisting primarily of middle market loans and participation interests in middle market loans. The 2034 Asset-Backed Debt is scheduled to mature in April 2034. On the closing date of the transaction, in consideration of PSLF’s transfer to PennantPark CLO IV, LLC. of the initial closing date loan portfolio, which included loans distributed to PSLF by certain of its wholly owned subsidiaries and us, PennantPark CLO IV, LLC. transferred to PSLF 100% of the Preferred Shares of PennantPark CLO IV, LLC. and 100% of the Subordinated Notes issued by PennantPark CLO IV, LLC. As of September 30, 2025 and 2024, there was $246.0 million of external 2034 Asset-Backed Debt.</w:t>
      </w:r>
    </w:p>
    <w:p>
      <w:pPr>
        <w:spacing w:after="0" w:line="96" w:lineRule="exact"/>
        <w:rPr>
          <w:sz w:val="20"/>
          <w:szCs w:val="20"/>
          <w:color w:val="auto"/>
        </w:rPr>
      </w:pPr>
    </w:p>
    <w:p>
      <w:pPr>
        <w:ind w:right="60" w:firstLine="420"/>
        <w:spacing w:after="0" w:line="254" w:lineRule="auto"/>
        <w:rPr>
          <w:sz w:val="20"/>
          <w:szCs w:val="20"/>
          <w:color w:val="auto"/>
        </w:rPr>
      </w:pPr>
      <w:r>
        <w:rPr>
          <w:rFonts w:ascii="Times New Roman" w:cs="Times New Roman" w:eastAsia="Times New Roman" w:hAnsi="Times New Roman"/>
          <w:sz w:val="13"/>
          <w:szCs w:val="13"/>
          <w:color w:val="auto"/>
        </w:rPr>
        <w:t>On July 26, 2023, CLO VII completed a $300 million debt securitization in the form of a collateralized loan obligation (the "2035 Debt Securitization" or "2035 Asset-Backed Debt"). The 2035 Asset-Backed Debt is secured by a diversified portfolio consisting primarily of middle market loans. The 2035 Debt Securitization was executed through a private placement of: (i) $151.0 million Class A -1a Notes maturing 2035, which bear interest at the three -month SOFR plus 2.7%, (ii) $20.0 million Class A-1b Loans 2035, which bear interest at 6.5%, (iii) $12.0 million Class A- 2 Senior Secured Floating Rate Notes due 2035, which bear interest at the three-month SOFR plus 3.2%, (iv) $21.0 million Class B Senior Secured Floating Rate Notes due 2035, which bear interest at the three -month SOFR plus 4.1%, (v) $24.0 million Class C Secured Deferrable Floating Rate Notes due 2035, which bear interest at the three-month SOFR plus 4.7%, (vi) $18.0 million Class D Secured Deferrable Floating Rate Notes due 2035, which bear interest at the three- month SOFR plus 7.0%. As of September 30, 2025 and 2024 there was $246.0 million of external 2035 Asset-Backed Debt. On July 21, 2025, CLO VII closed a partial refinancing of the 2035 Debt Securitization where the $21.0 million Class B (B-R) Senior Secured Floating Rate Notes interest rate was decreased to SOFR plus 2.0%, the $24.0 million Class C (C- R) Secured Deferrable Floating Rate Notes interest rate was decreased to SOFR plus 2.3% and the $18.0 million Class D (D-R) Secured Deferrable Floating Rate Notes interest rate was decreased to SOFR plus 3.4%.</w:t>
      </w:r>
    </w:p>
    <w:p>
      <w:pPr>
        <w:spacing w:after="0" w:line="101" w:lineRule="exact"/>
        <w:rPr>
          <w:sz w:val="20"/>
          <w:szCs w:val="20"/>
          <w:color w:val="auto"/>
        </w:rPr>
      </w:pPr>
    </w:p>
    <w:p>
      <w:pPr>
        <w:ind w:right="80" w:firstLine="420"/>
        <w:spacing w:after="0" w:line="256" w:lineRule="auto"/>
        <w:rPr>
          <w:sz w:val="20"/>
          <w:szCs w:val="20"/>
          <w:color w:val="auto"/>
        </w:rPr>
      </w:pPr>
      <w:r>
        <w:rPr>
          <w:rFonts w:ascii="Times New Roman" w:cs="Times New Roman" w:eastAsia="Times New Roman" w:hAnsi="Times New Roman"/>
          <w:sz w:val="13"/>
          <w:szCs w:val="13"/>
          <w:color w:val="auto"/>
        </w:rPr>
        <w:t>On December 23, 2024, PennantPark CLO X, LLC ("CLO X”) completed a $400.5 million debt securitization in the form of a collateralized loan obligation (the "2037 Debt Securitization" or"2037 Asset-Backed Debt"). The 2037 Asset-Backed Debt is secured by a diversified portfolio consisting primarily of middle market loans. The 2037 Debt Securitization was executed through a private placement of: (i) $158.0 million Class A-1 Notes maturing 2037, which bear interest at the three-month SOFR plus 1.59%, (ii) $30.0 million Class A- 1A Loans maturing 2037, which bear interest at the three-month SOFR plus 1.59%, (iii) $40.0 million Class A-1W Loans maturing 2037, which bear interest at the three-month SOFR plus 1.59%, (iv) $16.0 million Class A-2W Loans due2037, which bear interest at the three-month SOFR plus 1.75%, (v) $28.0 million Class B Notes due 2037, which bear interest at the three -month SOFR plus 1.85%, (vi) $32.0 million Class C Notes due 2037, which bear interest at the three- month SOFR plus 2.40%., (vii) $24.0 million Class D Notes due 2037, which bear interest at the three-month SOFR plus 3.85%. As of September 30, 2025, there was $328.0 million of external 2037 Asset-Backed Debt.</w:t>
      </w:r>
    </w:p>
    <w:p>
      <w:pPr>
        <w:spacing w:after="0" w:line="96"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On August 28, 2024, PSLF and Pantheon entered into an amendment (the “Amendment”) to PSLF’s limited liability company agreement (the “LLC Agreement”). The Amendment amended the term of PSLF, which would have otherwise expired on January 31, 2025, to be indefinite, subject to the other terms of dissolution, wind down and termination in the LLC Agreement. The Amendment also modified the LLC Agreement to permit any member of PSLF (each, a “Member”) to request to redeem its interests in PSLF (in minimum tranches of 25% of the interests then-owned by such Member) at any time. Under the Amendment, PSLF is required to use commercially reasonable efforts to redeem any such Member’s interests within 18 months and, in any event, within three years from the date of such redemption request, subject to customary limitations with respect to the liquidity of PSLF and the requirement that the Company’s proportionate share or ownership of PSLF not exceed 87.5%. It is contemplated that any such redemption would be funded by either principal proceeds from repayments of investments in underlying portfolio companies of PSLF or the proceeds of any new Member’s investment into PSLF.</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60" w:type="dxa"/>
            <w:vAlign w:val="bottom"/>
            <w:gridSpan w:val="3"/>
          </w:tcPr>
          <w:p>
            <w:pPr>
              <w:ind w:left="420"/>
              <w:spacing w:after="0"/>
              <w:rPr>
                <w:sz w:val="20"/>
                <w:szCs w:val="20"/>
                <w:color w:val="auto"/>
              </w:rPr>
            </w:pPr>
            <w:r>
              <w:rPr>
                <w:rFonts w:ascii="Times New Roman" w:cs="Times New Roman" w:eastAsia="Times New Roman" w:hAnsi="Times New Roman"/>
                <w:sz w:val="13"/>
                <w:szCs w:val="13"/>
                <w:color w:val="auto"/>
              </w:rPr>
              <w:t>Below is a summary of PSLF’s portfolio at fair value ($ in thousands):</w:t>
            </w:r>
          </w:p>
        </w:tc>
        <w:tc>
          <w:tcPr>
            <w:tcW w:w="1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240" w:type="dxa"/>
            <w:vAlign w:val="bottom"/>
          </w:tcPr>
          <w:p>
            <w:pPr>
              <w:spacing w:after="0"/>
              <w:rPr>
                <w:sz w:val="20"/>
                <w:szCs w:val="20"/>
                <w:color w:val="auto"/>
              </w:rPr>
            </w:pPr>
            <w:r>
              <w:rPr>
                <w:rFonts w:ascii="Times New Roman" w:cs="Times New Roman" w:eastAsia="Times New Roman" w:hAnsi="Times New Roman"/>
                <w:sz w:val="13"/>
                <w:szCs w:val="13"/>
                <w:color w:val="auto"/>
              </w:rPr>
              <w:t>($ in thousands)</w:t>
            </w: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w w:val="99"/>
              </w:rPr>
              <w:t>September 30, 2025</w:t>
            </w:r>
          </w:p>
        </w:tc>
        <w:tc>
          <w:tcPr>
            <w:tcW w:w="140" w:type="dxa"/>
            <w:vAlign w:val="bottom"/>
          </w:tcPr>
          <w:p>
            <w:pPr>
              <w:spacing w:after="0"/>
              <w:rPr>
                <w:sz w:val="24"/>
                <w:szCs w:val="24"/>
                <w:color w:val="auto"/>
              </w:rPr>
            </w:pPr>
          </w:p>
        </w:tc>
        <w:tc>
          <w:tcPr>
            <w:tcW w:w="1700" w:type="dxa"/>
            <w:vAlign w:val="bottom"/>
            <w:gridSpan w:val="4"/>
          </w:tcPr>
          <w:p>
            <w:pPr>
              <w:ind w:left="30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0" w:type="dxa"/>
            <w:vAlign w:val="bottom"/>
          </w:tcPr>
          <w:p>
            <w:pPr>
              <w:spacing w:after="0"/>
              <w:rPr>
                <w:sz w:val="1"/>
                <w:szCs w:val="1"/>
                <w:color w:val="auto"/>
              </w:rPr>
            </w:pPr>
          </w:p>
        </w:tc>
      </w:tr>
      <w:tr>
        <w:trPr>
          <w:trHeight w:val="156"/>
        </w:trPr>
        <w:tc>
          <w:tcPr>
            <w:tcW w:w="22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Total investments</w:t>
            </w:r>
          </w:p>
        </w:tc>
        <w:tc>
          <w:tcPr>
            <w:tcW w:w="9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148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94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1,265,901</w:t>
            </w:r>
          </w:p>
        </w:tc>
        <w:tc>
          <w:tcPr>
            <w:tcW w:w="140" w:type="dxa"/>
            <w:vAlign w:val="bottom"/>
            <w:shd w:val="clear" w:color="auto" w:fill="CCECFF"/>
          </w:tcPr>
          <w:p>
            <w:pPr>
              <w:spacing w:after="0"/>
              <w:rPr>
                <w:sz w:val="13"/>
                <w:szCs w:val="13"/>
                <w:color w:val="auto"/>
              </w:rPr>
            </w:pPr>
          </w:p>
        </w:tc>
        <w:tc>
          <w:tcPr>
            <w:tcW w:w="560" w:type="dxa"/>
            <w:vAlign w:val="bottom"/>
            <w:shd w:val="clear" w:color="auto" w:fill="CCECFF"/>
          </w:tcPr>
          <w:p>
            <w:pPr>
              <w:jc w:val="right"/>
              <w:ind w:right="33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3"/>
                <w:szCs w:val="13"/>
                <w:color w:val="auto"/>
              </w:rPr>
            </w:pPr>
          </w:p>
        </w:tc>
        <w:tc>
          <w:tcPr>
            <w:tcW w:w="9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3"/>
                <w:szCs w:val="13"/>
                <w:color w:val="auto"/>
              </w:rPr>
              <w:t>1,031,225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Weighted average cost yield on income producing investments</w:t>
            </w:r>
          </w:p>
        </w:tc>
        <w:tc>
          <w:tcPr>
            <w:tcW w:w="1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4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10.1%</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Number of portfolio companies in PSLF</w:t>
            </w:r>
          </w:p>
        </w:tc>
        <w:tc>
          <w:tcPr>
            <w:tcW w:w="9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148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40" w:type="dxa"/>
            <w:vAlign w:val="bottom"/>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9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3"/>
                <w:szCs w:val="13"/>
                <w:color w:val="auto"/>
              </w:rPr>
              <w:t>102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Largest portfolio company investment at fair value</w:t>
            </w:r>
          </w:p>
        </w:tc>
        <w:tc>
          <w:tcPr>
            <w:tcW w:w="10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auto"/>
              </w:rPr>
              <w:t>24,802</w:t>
            </w:r>
          </w:p>
        </w:tc>
        <w:tc>
          <w:tcPr>
            <w:tcW w:w="560" w:type="dxa"/>
            <w:vAlign w:val="bottom"/>
          </w:tcPr>
          <w:p>
            <w:pPr>
              <w:jc w:val="right"/>
              <w:ind w:right="33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3"/>
                <w:szCs w:val="13"/>
                <w:color w:val="auto"/>
              </w:rPr>
              <w:t>25,073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6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3"/>
                <w:szCs w:val="13"/>
                <w:color w:val="auto"/>
              </w:rPr>
              <w:t>Total of five largest portfolio company investments at fair value</w:t>
            </w:r>
          </w:p>
        </w:tc>
        <w:tc>
          <w:tcPr>
            <w:tcW w:w="148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94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121,360</w:t>
            </w:r>
          </w:p>
        </w:tc>
        <w:tc>
          <w:tcPr>
            <w:tcW w:w="140" w:type="dxa"/>
            <w:vAlign w:val="bottom"/>
            <w:shd w:val="clear" w:color="auto" w:fill="CCECFF"/>
          </w:tcPr>
          <w:p>
            <w:pPr>
              <w:spacing w:after="0"/>
              <w:rPr>
                <w:sz w:val="13"/>
                <w:szCs w:val="13"/>
                <w:color w:val="auto"/>
              </w:rPr>
            </w:pPr>
          </w:p>
        </w:tc>
        <w:tc>
          <w:tcPr>
            <w:tcW w:w="560" w:type="dxa"/>
            <w:vAlign w:val="bottom"/>
            <w:shd w:val="clear" w:color="auto" w:fill="CCECFF"/>
          </w:tcPr>
          <w:p>
            <w:pPr>
              <w:jc w:val="right"/>
              <w:ind w:right="33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3"/>
                <w:szCs w:val="13"/>
                <w:color w:val="auto"/>
              </w:rPr>
            </w:pPr>
          </w:p>
        </w:tc>
        <w:tc>
          <w:tcPr>
            <w:tcW w:w="9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3"/>
                <w:szCs w:val="13"/>
                <w:color w:val="auto"/>
              </w:rPr>
              <w:t>109,927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56"/>
        </w:trPr>
        <w:tc>
          <w:tcPr>
            <w:tcW w:w="5640" w:type="dxa"/>
            <w:vAlign w:val="bottom"/>
            <w:gridSpan w:val="4"/>
          </w:tcPr>
          <w:p>
            <w:pPr>
              <w:ind w:left="420"/>
              <w:spacing w:after="0"/>
              <w:rPr>
                <w:sz w:val="20"/>
                <w:szCs w:val="20"/>
                <w:color w:val="auto"/>
              </w:rPr>
            </w:pPr>
            <w:r>
              <w:rPr>
                <w:rFonts w:ascii="Times New Roman" w:cs="Times New Roman" w:eastAsia="Times New Roman" w:hAnsi="Times New Roman"/>
                <w:sz w:val="13"/>
                <w:szCs w:val="13"/>
                <w:color w:val="auto"/>
              </w:rPr>
              <w:t>Below is a listing of PSLF’s individual investments as of September 30, 2025 ($ in thousands):</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jc w:val="center"/>
              <w:ind w:left="270"/>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60" w:type="dxa"/>
            <w:vAlign w:val="bottom"/>
          </w:tcPr>
          <w:p>
            <w:pPr>
              <w:jc w:val="center"/>
              <w:ind w:right="71"/>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2240" w:type="dxa"/>
            <w:vAlign w:val="bottom"/>
            <w:gridSpan w:val="2"/>
          </w:tcPr>
          <w:p>
            <w:pPr>
              <w:jc w:val="center"/>
              <w:ind w:right="930"/>
              <w:spacing w:after="0" w:line="145" w:lineRule="exact"/>
              <w:rPr>
                <w:sz w:val="20"/>
                <w:szCs w:val="20"/>
                <w:color w:val="auto"/>
              </w:rPr>
            </w:pPr>
            <w:r>
              <w:rPr>
                <w:rFonts w:ascii="Times New Roman" w:cs="Times New Roman" w:eastAsia="Times New Roman" w:hAnsi="Times New Roman"/>
                <w:sz w:val="13"/>
                <w:szCs w:val="13"/>
                <w:b w:val="1"/>
                <w:bCs w:val="1"/>
                <w:color w:val="auto"/>
                <w:w w:val="99"/>
              </w:rPr>
              <w:t>Spread Above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Issuer Name</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1020" w:type="dxa"/>
            <w:vAlign w:val="bottom"/>
          </w:tcPr>
          <w:p>
            <w:pPr>
              <w:jc w:val="center"/>
              <w:ind w:right="132"/>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480" w:type="dxa"/>
            <w:vAlign w:val="bottom"/>
          </w:tcPr>
          <w:p>
            <w:pPr>
              <w:jc w:val="right"/>
              <w:ind w:right="511"/>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86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9"/>
              </w:rPr>
              <w:t>Coupon</w:t>
            </w:r>
          </w:p>
        </w:tc>
        <w:tc>
          <w:tcPr>
            <w:tcW w:w="940" w:type="dxa"/>
            <w:vAlign w:val="bottom"/>
          </w:tcPr>
          <w:p>
            <w:pPr>
              <w:jc w:val="center"/>
              <w:ind w:left="270"/>
              <w:spacing w:after="0" w:line="179" w:lineRule="exact"/>
              <w:rPr>
                <w:sz w:val="20"/>
                <w:szCs w:val="20"/>
                <w:color w:val="auto"/>
              </w:rPr>
            </w:pPr>
            <w:r>
              <w:rPr>
                <w:rFonts w:ascii="Times New Roman" w:cs="Times New Roman" w:eastAsia="Times New Roman" w:hAnsi="Times New Roman"/>
                <w:sz w:val="13"/>
                <w:szCs w:val="13"/>
                <w:b w:val="1"/>
                <w:bCs w:val="1"/>
                <w:color w:val="auto"/>
                <w:w w:val="96"/>
              </w:rPr>
              <w:t xml:space="preserve">Index </w:t>
            </w:r>
            <w:r>
              <w:rPr>
                <w:rFonts w:ascii="Times New Roman" w:cs="Times New Roman" w:eastAsia="Times New Roman" w:hAnsi="Times New Roman"/>
                <w:sz w:val="16"/>
                <w:szCs w:val="16"/>
                <w:b w:val="1"/>
                <w:bCs w:val="1"/>
                <w:color w:val="auto"/>
                <w:w w:val="96"/>
                <w:vertAlign w:val="superscript"/>
              </w:rPr>
              <w:t>(1)</w:t>
            </w: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Par</w:t>
            </w:r>
          </w:p>
        </w:tc>
        <w:tc>
          <w:tcPr>
            <w:tcW w:w="140" w:type="dxa"/>
            <w:vAlign w:val="bottom"/>
          </w:tcPr>
          <w:p>
            <w:pPr>
              <w:spacing w:after="0"/>
              <w:rPr>
                <w:sz w:val="15"/>
                <w:szCs w:val="15"/>
                <w:color w:val="auto"/>
              </w:rPr>
            </w:pPr>
          </w:p>
        </w:tc>
        <w:tc>
          <w:tcPr>
            <w:tcW w:w="560" w:type="dxa"/>
            <w:vAlign w:val="bottom"/>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5"/>
                <w:szCs w:val="15"/>
                <w:color w:val="auto"/>
              </w:rPr>
            </w:pPr>
          </w:p>
        </w:tc>
        <w:tc>
          <w:tcPr>
            <w:tcW w:w="96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(2)</w:t>
            </w:r>
          </w:p>
        </w:tc>
        <w:tc>
          <w:tcPr>
            <w:tcW w:w="0" w:type="dxa"/>
            <w:vAlign w:val="bottom"/>
          </w:tcPr>
          <w:p>
            <w:pPr>
              <w:spacing w:after="0"/>
              <w:rPr>
                <w:sz w:val="1"/>
                <w:szCs w:val="1"/>
                <w:color w:val="auto"/>
              </w:rPr>
            </w:pPr>
          </w:p>
        </w:tc>
      </w:tr>
      <w:tr>
        <w:trPr>
          <w:trHeight w:val="122"/>
        </w:trPr>
        <w:tc>
          <w:tcPr>
            <w:tcW w:w="2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First Lien Secured Debt - 1,035.8% of Net Assets</w:t>
            </w:r>
          </w:p>
        </w:tc>
        <w:tc>
          <w:tcPr>
            <w:tcW w:w="9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ACP Avenu Buyer, LLC</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04/23/24</w:t>
            </w:r>
          </w:p>
        </w:tc>
        <w:tc>
          <w:tcPr>
            <w:tcW w:w="102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10/02/29</w:t>
            </w:r>
          </w:p>
        </w:tc>
        <w:tc>
          <w:tcPr>
            <w:tcW w:w="148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9.04%</w:t>
            </w:r>
          </w:p>
        </w:tc>
        <w:tc>
          <w:tcPr>
            <w:tcW w:w="940" w:type="dxa"/>
            <w:vAlign w:val="bottom"/>
            <w:shd w:val="clear" w:color="auto" w:fill="CCECFF"/>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SOFR+475</w:t>
            </w:r>
          </w:p>
        </w:tc>
        <w:tc>
          <w:tcPr>
            <w:tcW w:w="130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0"/>
                <w:szCs w:val="10"/>
                <w:color w:val="auto"/>
              </w:rPr>
              <w:t>7,590</w:t>
            </w:r>
          </w:p>
        </w:tc>
        <w:tc>
          <w:tcPr>
            <w:tcW w:w="140" w:type="dxa"/>
            <w:vAlign w:val="bottom"/>
            <w:shd w:val="clear" w:color="auto" w:fill="CCEC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7,474</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0"/>
                <w:szCs w:val="10"/>
                <w:color w:val="auto"/>
              </w:rPr>
              <w:t>7,514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Acp Falcon Buyer, Inc.</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10/06/23</w:t>
            </w:r>
          </w:p>
        </w:tc>
        <w:tc>
          <w:tcPr>
            <w:tcW w:w="102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08/01/29</w:t>
            </w:r>
          </w:p>
        </w:tc>
        <w:tc>
          <w:tcPr>
            <w:tcW w:w="148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9.79%</w:t>
            </w:r>
          </w:p>
        </w:tc>
        <w:tc>
          <w:tcPr>
            <w:tcW w:w="940" w:type="dxa"/>
            <w:vAlign w:val="bottom"/>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SOFR+550</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0"/>
                <w:szCs w:val="10"/>
                <w:color w:val="auto"/>
              </w:rPr>
              <w:t>15,196</w:t>
            </w:r>
          </w:p>
        </w:tc>
        <w:tc>
          <w:tcPr>
            <w:tcW w:w="140" w:type="dxa"/>
            <w:vAlign w:val="bottom"/>
          </w:tcPr>
          <w:p>
            <w:pPr>
              <w:spacing w:after="0"/>
              <w:rPr>
                <w:sz w:val="10"/>
                <w:szCs w:val="1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14,963</w:t>
            </w:r>
          </w:p>
        </w:tc>
        <w:tc>
          <w:tcPr>
            <w:tcW w:w="180" w:type="dxa"/>
            <w:vAlign w:val="bottom"/>
          </w:tcPr>
          <w:p>
            <w:pPr>
              <w:spacing w:after="0"/>
              <w:rPr>
                <w:sz w:val="10"/>
                <w:szCs w:val="1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auto"/>
              </w:rPr>
              <w:t>15,348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AFC-Dell Holding Corp.</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02/23/24</w:t>
            </w:r>
          </w:p>
        </w:tc>
        <w:tc>
          <w:tcPr>
            <w:tcW w:w="102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04/09/27</w:t>
            </w:r>
          </w:p>
        </w:tc>
        <w:tc>
          <w:tcPr>
            <w:tcW w:w="148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5"/>
              </w:rPr>
              <w:t>Distribution</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9.83%</w:t>
            </w:r>
          </w:p>
        </w:tc>
        <w:tc>
          <w:tcPr>
            <w:tcW w:w="940" w:type="dxa"/>
            <w:vAlign w:val="bottom"/>
            <w:shd w:val="clear" w:color="auto" w:fill="CCECFF"/>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SOFR+550</w:t>
            </w:r>
          </w:p>
        </w:tc>
        <w:tc>
          <w:tcPr>
            <w:tcW w:w="130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0"/>
                <w:szCs w:val="10"/>
                <w:color w:val="auto"/>
              </w:rPr>
              <w:t>16,181</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16,072</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0"/>
                <w:szCs w:val="10"/>
                <w:color w:val="auto"/>
              </w:rPr>
              <w:t>16,100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Ad.Net Acquisition, LLC</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03/02/22</w:t>
            </w:r>
          </w:p>
        </w:tc>
        <w:tc>
          <w:tcPr>
            <w:tcW w:w="102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05/07/26</w:t>
            </w:r>
          </w:p>
        </w:tc>
        <w:tc>
          <w:tcPr>
            <w:tcW w:w="148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7"/>
              </w:rPr>
              <w:t>10.26%</w:t>
            </w:r>
          </w:p>
        </w:tc>
        <w:tc>
          <w:tcPr>
            <w:tcW w:w="940" w:type="dxa"/>
            <w:vAlign w:val="bottom"/>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SOFR+626</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0"/>
                <w:szCs w:val="10"/>
                <w:color w:val="auto"/>
              </w:rPr>
              <w:t>4,788</w:t>
            </w:r>
          </w:p>
        </w:tc>
        <w:tc>
          <w:tcPr>
            <w:tcW w:w="140" w:type="dxa"/>
            <w:vAlign w:val="bottom"/>
          </w:tcPr>
          <w:p>
            <w:pPr>
              <w:spacing w:after="0"/>
              <w:rPr>
                <w:sz w:val="10"/>
                <w:szCs w:val="1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4,788</w:t>
            </w:r>
          </w:p>
        </w:tc>
        <w:tc>
          <w:tcPr>
            <w:tcW w:w="180" w:type="dxa"/>
            <w:vAlign w:val="bottom"/>
          </w:tcPr>
          <w:p>
            <w:pPr>
              <w:spacing w:after="0"/>
              <w:rPr>
                <w:sz w:val="10"/>
                <w:szCs w:val="1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auto"/>
              </w:rPr>
              <w:t>4,788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Aechelon Technology, Inc.</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12/23/24</w:t>
            </w:r>
          </w:p>
        </w:tc>
        <w:tc>
          <w:tcPr>
            <w:tcW w:w="102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08/16/29</w:t>
            </w:r>
          </w:p>
        </w:tc>
        <w:tc>
          <w:tcPr>
            <w:tcW w:w="148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9.91%</w:t>
            </w:r>
          </w:p>
        </w:tc>
        <w:tc>
          <w:tcPr>
            <w:tcW w:w="940" w:type="dxa"/>
            <w:vAlign w:val="bottom"/>
            <w:shd w:val="clear" w:color="auto" w:fill="CCECFF"/>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SOFR+575</w:t>
            </w:r>
          </w:p>
        </w:tc>
        <w:tc>
          <w:tcPr>
            <w:tcW w:w="130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0"/>
                <w:szCs w:val="10"/>
                <w:color w:val="auto"/>
              </w:rPr>
              <w:t>4,800</w:t>
            </w: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4,718</w:t>
            </w:r>
          </w:p>
        </w:tc>
        <w:tc>
          <w:tcPr>
            <w:tcW w:w="180" w:type="dxa"/>
            <w:vAlign w:val="bottom"/>
            <w:shd w:val="clear" w:color="auto" w:fill="CCECFF"/>
          </w:tcPr>
          <w:p>
            <w:pPr>
              <w:spacing w:after="0"/>
              <w:rPr>
                <w:sz w:val="11"/>
                <w:szCs w:val="11"/>
                <w:color w:val="auto"/>
              </w:rPr>
            </w:pPr>
          </w:p>
        </w:tc>
        <w:tc>
          <w:tcPr>
            <w:tcW w:w="9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0"/>
                <w:szCs w:val="10"/>
                <w:color w:val="auto"/>
              </w:rPr>
              <w:t>4,800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Alpine Acquisition Corp II </w:t>
            </w:r>
            <w:r>
              <w:rPr>
                <w:rFonts w:ascii="Times New Roman" w:cs="Times New Roman" w:eastAsia="Times New Roman" w:hAnsi="Times New Roman"/>
                <w:sz w:val="12"/>
                <w:szCs w:val="12"/>
                <w:color w:val="auto"/>
                <w:vertAlign w:val="superscript"/>
              </w:rPr>
              <w:t>(4)</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2"/>
                <w:szCs w:val="12"/>
                <w:color w:val="auto"/>
                <w:vertAlign w:val="superscript"/>
              </w:rPr>
              <w:t>(7)</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10/12/22</w:t>
            </w:r>
          </w:p>
        </w:tc>
        <w:tc>
          <w:tcPr>
            <w:tcW w:w="102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11/30/26</w:t>
            </w:r>
          </w:p>
        </w:tc>
        <w:tc>
          <w:tcPr>
            <w:tcW w:w="148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7"/>
              </w:rPr>
              <w:t>Containers, Packaging and Glass</w:t>
            </w: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0"/>
                <w:szCs w:val="10"/>
                <w:color w:val="auto"/>
              </w:rPr>
              <w:t>15,185</w:t>
            </w:r>
          </w:p>
        </w:tc>
        <w:tc>
          <w:tcPr>
            <w:tcW w:w="140" w:type="dxa"/>
            <w:vAlign w:val="bottom"/>
          </w:tcPr>
          <w:p>
            <w:pPr>
              <w:spacing w:after="0"/>
              <w:rPr>
                <w:sz w:val="10"/>
                <w:szCs w:val="1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15,056</w:t>
            </w:r>
          </w:p>
        </w:tc>
        <w:tc>
          <w:tcPr>
            <w:tcW w:w="180" w:type="dxa"/>
            <w:vAlign w:val="bottom"/>
          </w:tcPr>
          <w:p>
            <w:pPr>
              <w:spacing w:after="0"/>
              <w:rPr>
                <w:sz w:val="10"/>
                <w:szCs w:val="1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auto"/>
              </w:rPr>
              <w:t>7,896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Amsive Holdings Corporation</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03/02/22</w:t>
            </w:r>
          </w:p>
        </w:tc>
        <w:tc>
          <w:tcPr>
            <w:tcW w:w="102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12/10/26</w:t>
            </w:r>
          </w:p>
        </w:tc>
        <w:tc>
          <w:tcPr>
            <w:tcW w:w="148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7"/>
              </w:rPr>
              <w:t>10.35%</w:t>
            </w:r>
          </w:p>
        </w:tc>
        <w:tc>
          <w:tcPr>
            <w:tcW w:w="940" w:type="dxa"/>
            <w:vAlign w:val="bottom"/>
            <w:shd w:val="clear" w:color="auto" w:fill="CCECFF"/>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SOFR+635</w:t>
            </w:r>
          </w:p>
        </w:tc>
        <w:tc>
          <w:tcPr>
            <w:tcW w:w="130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0"/>
                <w:szCs w:val="10"/>
                <w:color w:val="auto"/>
              </w:rPr>
              <w:t>13,805</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13,745</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0"/>
                <w:szCs w:val="10"/>
                <w:color w:val="auto"/>
              </w:rPr>
              <w:t>13,667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03/02/22</w:t>
            </w:r>
          </w:p>
        </w:tc>
        <w:tc>
          <w:tcPr>
            <w:tcW w:w="102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06/30/26</w:t>
            </w:r>
          </w:p>
        </w:tc>
        <w:tc>
          <w:tcPr>
            <w:tcW w:w="148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9.90%</w:t>
            </w:r>
          </w:p>
        </w:tc>
        <w:tc>
          <w:tcPr>
            <w:tcW w:w="940" w:type="dxa"/>
            <w:vAlign w:val="bottom"/>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SOFR+590</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0"/>
                <w:szCs w:val="10"/>
                <w:color w:val="auto"/>
              </w:rPr>
              <w:t>13,837</w:t>
            </w:r>
          </w:p>
        </w:tc>
        <w:tc>
          <w:tcPr>
            <w:tcW w:w="140" w:type="dxa"/>
            <w:vAlign w:val="bottom"/>
          </w:tcPr>
          <w:p>
            <w:pPr>
              <w:spacing w:after="0"/>
              <w:rPr>
                <w:sz w:val="10"/>
                <w:szCs w:val="1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13,803</w:t>
            </w:r>
          </w:p>
        </w:tc>
        <w:tc>
          <w:tcPr>
            <w:tcW w:w="180" w:type="dxa"/>
            <w:vAlign w:val="bottom"/>
          </w:tcPr>
          <w:p>
            <w:pPr>
              <w:spacing w:after="0"/>
              <w:rPr>
                <w:sz w:val="10"/>
                <w:szCs w:val="1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auto"/>
              </w:rPr>
              <w:t>13,837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Arcfield Acquisition Corp.</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07/26/22</w:t>
            </w:r>
          </w:p>
        </w:tc>
        <w:tc>
          <w:tcPr>
            <w:tcW w:w="102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10/28/31</w:t>
            </w:r>
          </w:p>
        </w:tc>
        <w:tc>
          <w:tcPr>
            <w:tcW w:w="148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9.31%</w:t>
            </w:r>
          </w:p>
        </w:tc>
        <w:tc>
          <w:tcPr>
            <w:tcW w:w="940" w:type="dxa"/>
            <w:vAlign w:val="bottom"/>
            <w:shd w:val="clear" w:color="auto" w:fill="CCECFF"/>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SOFR+500</w:t>
            </w:r>
          </w:p>
        </w:tc>
        <w:tc>
          <w:tcPr>
            <w:tcW w:w="130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0"/>
                <w:szCs w:val="10"/>
                <w:color w:val="auto"/>
              </w:rPr>
              <w:t>14,888</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14,867</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0"/>
                <w:szCs w:val="10"/>
                <w:color w:val="auto"/>
              </w:rPr>
              <w:t>14,813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8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Healthcare, Education and</w:t>
            </w: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Archer Lewis, LLC</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12/20/24</w:t>
            </w:r>
          </w:p>
        </w:tc>
        <w:tc>
          <w:tcPr>
            <w:tcW w:w="102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08/28/29</w:t>
            </w:r>
          </w:p>
        </w:tc>
        <w:tc>
          <w:tcPr>
            <w:tcW w:w="148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2"/>
              </w:rPr>
              <w:t>Childcare</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9.75%</w:t>
            </w:r>
          </w:p>
        </w:tc>
        <w:tc>
          <w:tcPr>
            <w:tcW w:w="940" w:type="dxa"/>
            <w:vAlign w:val="bottom"/>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SOFR+575</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0"/>
                <w:szCs w:val="10"/>
                <w:color w:val="auto"/>
              </w:rPr>
              <w:t>15,581</w:t>
            </w:r>
          </w:p>
        </w:tc>
        <w:tc>
          <w:tcPr>
            <w:tcW w:w="140" w:type="dxa"/>
            <w:vAlign w:val="bottom"/>
          </w:tcPr>
          <w:p>
            <w:pPr>
              <w:spacing w:after="0"/>
              <w:rPr>
                <w:sz w:val="10"/>
                <w:szCs w:val="1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15,426</w:t>
            </w:r>
          </w:p>
        </w:tc>
        <w:tc>
          <w:tcPr>
            <w:tcW w:w="180" w:type="dxa"/>
            <w:vAlign w:val="bottom"/>
          </w:tcPr>
          <w:p>
            <w:pPr>
              <w:spacing w:after="0"/>
              <w:rPr>
                <w:sz w:val="10"/>
                <w:szCs w:val="1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auto"/>
              </w:rPr>
              <w:t>15,581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Argano, LLC</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12/16/24</w:t>
            </w:r>
          </w:p>
        </w:tc>
        <w:tc>
          <w:tcPr>
            <w:tcW w:w="102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09/13/29</w:t>
            </w:r>
          </w:p>
        </w:tc>
        <w:tc>
          <w:tcPr>
            <w:tcW w:w="148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9.89%</w:t>
            </w:r>
          </w:p>
        </w:tc>
        <w:tc>
          <w:tcPr>
            <w:tcW w:w="940" w:type="dxa"/>
            <w:vAlign w:val="bottom"/>
            <w:shd w:val="clear" w:color="auto" w:fill="CCECFF"/>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SOFR+575</w:t>
            </w:r>
          </w:p>
        </w:tc>
        <w:tc>
          <w:tcPr>
            <w:tcW w:w="130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0"/>
                <w:szCs w:val="10"/>
                <w:color w:val="auto"/>
              </w:rPr>
              <w:t>14,850</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14,730</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0"/>
                <w:szCs w:val="10"/>
                <w:color w:val="auto"/>
              </w:rPr>
              <w:t>14,628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BLC Holding Company, INC.</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02/24/25</w:t>
            </w:r>
          </w:p>
        </w:tc>
        <w:tc>
          <w:tcPr>
            <w:tcW w:w="102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11/20/30</w:t>
            </w:r>
          </w:p>
        </w:tc>
        <w:tc>
          <w:tcPr>
            <w:tcW w:w="148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8.50%</w:t>
            </w:r>
          </w:p>
        </w:tc>
        <w:tc>
          <w:tcPr>
            <w:tcW w:w="940" w:type="dxa"/>
            <w:vAlign w:val="bottom"/>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SOFR+450</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0"/>
                <w:szCs w:val="10"/>
                <w:color w:val="auto"/>
              </w:rPr>
              <w:t>12,013</w:t>
            </w:r>
          </w:p>
        </w:tc>
        <w:tc>
          <w:tcPr>
            <w:tcW w:w="140" w:type="dxa"/>
            <w:vAlign w:val="bottom"/>
          </w:tcPr>
          <w:p>
            <w:pPr>
              <w:spacing w:after="0"/>
              <w:rPr>
                <w:sz w:val="10"/>
                <w:szCs w:val="1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11,942</w:t>
            </w:r>
          </w:p>
        </w:tc>
        <w:tc>
          <w:tcPr>
            <w:tcW w:w="180" w:type="dxa"/>
            <w:vAlign w:val="bottom"/>
          </w:tcPr>
          <w:p>
            <w:pPr>
              <w:spacing w:after="0"/>
              <w:rPr>
                <w:sz w:val="10"/>
                <w:szCs w:val="1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auto"/>
              </w:rPr>
              <w:t>12,013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4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148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Healthcare, Education and</w:t>
            </w:r>
          </w:p>
        </w:tc>
        <w:tc>
          <w:tcPr>
            <w:tcW w:w="86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3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Beacon Behavioral Support Services, LLC</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09/16/24</w:t>
            </w:r>
          </w:p>
        </w:tc>
        <w:tc>
          <w:tcPr>
            <w:tcW w:w="102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06/21/29</w:t>
            </w:r>
          </w:p>
        </w:tc>
        <w:tc>
          <w:tcPr>
            <w:tcW w:w="148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2"/>
              </w:rPr>
              <w:t>Childcare</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9.50%</w:t>
            </w:r>
          </w:p>
        </w:tc>
        <w:tc>
          <w:tcPr>
            <w:tcW w:w="940" w:type="dxa"/>
            <w:vAlign w:val="bottom"/>
            <w:shd w:val="clear" w:color="auto" w:fill="CCECFF"/>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SOFR+550</w:t>
            </w:r>
          </w:p>
        </w:tc>
        <w:tc>
          <w:tcPr>
            <w:tcW w:w="130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0"/>
                <w:szCs w:val="10"/>
                <w:color w:val="auto"/>
              </w:rPr>
              <w:t>24,607</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24,305</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0"/>
                <w:szCs w:val="10"/>
                <w:color w:val="auto"/>
              </w:rPr>
              <w:t>24,607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Best Practice Associates, LLC</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01/21/25</w:t>
            </w:r>
          </w:p>
        </w:tc>
        <w:tc>
          <w:tcPr>
            <w:tcW w:w="102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11/08/29</w:t>
            </w:r>
          </w:p>
        </w:tc>
        <w:tc>
          <w:tcPr>
            <w:tcW w:w="148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6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7"/>
              </w:rPr>
              <w:t>10.91%</w:t>
            </w:r>
          </w:p>
        </w:tc>
        <w:tc>
          <w:tcPr>
            <w:tcW w:w="940" w:type="dxa"/>
            <w:vAlign w:val="bottom"/>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SOFR+675</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0"/>
                <w:szCs w:val="10"/>
                <w:color w:val="auto"/>
              </w:rPr>
              <w:t>19,850</w:t>
            </w:r>
          </w:p>
        </w:tc>
        <w:tc>
          <w:tcPr>
            <w:tcW w:w="140" w:type="dxa"/>
            <w:vAlign w:val="bottom"/>
          </w:tcPr>
          <w:p>
            <w:pPr>
              <w:spacing w:after="0"/>
              <w:rPr>
                <w:sz w:val="10"/>
                <w:szCs w:val="1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19,606</w:t>
            </w:r>
          </w:p>
        </w:tc>
        <w:tc>
          <w:tcPr>
            <w:tcW w:w="180" w:type="dxa"/>
            <w:vAlign w:val="bottom"/>
          </w:tcPr>
          <w:p>
            <w:pPr>
              <w:spacing w:after="0"/>
              <w:rPr>
                <w:sz w:val="10"/>
                <w:szCs w:val="1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auto"/>
              </w:rPr>
              <w:t>19,701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08/11/22</w:t>
            </w:r>
          </w:p>
        </w:tc>
        <w:tc>
          <w:tcPr>
            <w:tcW w:w="102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07/02/29</w:t>
            </w:r>
          </w:p>
        </w:tc>
        <w:tc>
          <w:tcPr>
            <w:tcW w:w="148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9.75%</w:t>
            </w:r>
          </w:p>
        </w:tc>
        <w:tc>
          <w:tcPr>
            <w:tcW w:w="940" w:type="dxa"/>
            <w:vAlign w:val="bottom"/>
            <w:shd w:val="clear" w:color="auto" w:fill="CCECFF"/>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SOFR+575</w:t>
            </w:r>
          </w:p>
        </w:tc>
        <w:tc>
          <w:tcPr>
            <w:tcW w:w="130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0"/>
                <w:szCs w:val="10"/>
                <w:color w:val="auto"/>
              </w:rPr>
              <w:t>14,550</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14,375</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0"/>
                <w:szCs w:val="10"/>
                <w:color w:val="auto"/>
              </w:rPr>
              <w:t>14,405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Big Top Holdings, LLC</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06/26/24</w:t>
            </w:r>
          </w:p>
        </w:tc>
        <w:tc>
          <w:tcPr>
            <w:tcW w:w="102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02/28/30</w:t>
            </w:r>
          </w:p>
        </w:tc>
        <w:tc>
          <w:tcPr>
            <w:tcW w:w="148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9.25%</w:t>
            </w:r>
          </w:p>
        </w:tc>
        <w:tc>
          <w:tcPr>
            <w:tcW w:w="940" w:type="dxa"/>
            <w:vAlign w:val="bottom"/>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SOFR+525</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0"/>
                <w:szCs w:val="10"/>
                <w:color w:val="auto"/>
              </w:rPr>
              <w:t>6,626</w:t>
            </w:r>
          </w:p>
        </w:tc>
        <w:tc>
          <w:tcPr>
            <w:tcW w:w="140" w:type="dxa"/>
            <w:vAlign w:val="bottom"/>
          </w:tcPr>
          <w:p>
            <w:pPr>
              <w:spacing w:after="0"/>
              <w:rPr>
                <w:sz w:val="10"/>
                <w:szCs w:val="1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6,531</w:t>
            </w:r>
          </w:p>
        </w:tc>
        <w:tc>
          <w:tcPr>
            <w:tcW w:w="180" w:type="dxa"/>
            <w:vAlign w:val="bottom"/>
          </w:tcPr>
          <w:p>
            <w:pPr>
              <w:spacing w:after="0"/>
              <w:rPr>
                <w:sz w:val="10"/>
                <w:szCs w:val="1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auto"/>
              </w:rPr>
              <w:t>6,626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4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148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Healthcare, Education and</w:t>
            </w:r>
          </w:p>
        </w:tc>
        <w:tc>
          <w:tcPr>
            <w:tcW w:w="86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3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Bioderm, Inc.</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06/26/24</w:t>
            </w:r>
          </w:p>
        </w:tc>
        <w:tc>
          <w:tcPr>
            <w:tcW w:w="102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01/31/28</w:t>
            </w:r>
          </w:p>
        </w:tc>
        <w:tc>
          <w:tcPr>
            <w:tcW w:w="148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2"/>
              </w:rPr>
              <w:t>Childcare</w:t>
            </w:r>
          </w:p>
        </w:tc>
        <w:tc>
          <w:tcPr>
            <w:tcW w:w="86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7"/>
              </w:rPr>
              <w:t>10.77%</w:t>
            </w:r>
          </w:p>
        </w:tc>
        <w:tc>
          <w:tcPr>
            <w:tcW w:w="940" w:type="dxa"/>
            <w:vAlign w:val="bottom"/>
            <w:shd w:val="clear" w:color="auto" w:fill="CCECFF"/>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SOFR+650</w:t>
            </w:r>
          </w:p>
        </w:tc>
        <w:tc>
          <w:tcPr>
            <w:tcW w:w="130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0"/>
                <w:szCs w:val="10"/>
                <w:color w:val="auto"/>
              </w:rPr>
              <w:t>8,798</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8,726</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0"/>
                <w:szCs w:val="10"/>
                <w:color w:val="auto"/>
              </w:rPr>
              <w:t>8,688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07/24/23</w:t>
            </w:r>
          </w:p>
        </w:tc>
        <w:tc>
          <w:tcPr>
            <w:tcW w:w="102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09/17/26</w:t>
            </w:r>
          </w:p>
        </w:tc>
        <w:tc>
          <w:tcPr>
            <w:tcW w:w="148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5"/>
              </w:rPr>
              <w:t>Distribution</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9.40%</w:t>
            </w:r>
          </w:p>
        </w:tc>
        <w:tc>
          <w:tcPr>
            <w:tcW w:w="940" w:type="dxa"/>
            <w:vAlign w:val="bottom"/>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SOFR+540</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0"/>
                <w:szCs w:val="10"/>
                <w:color w:val="auto"/>
              </w:rPr>
              <w:t>25,244</w:t>
            </w:r>
          </w:p>
        </w:tc>
        <w:tc>
          <w:tcPr>
            <w:tcW w:w="140" w:type="dxa"/>
            <w:vAlign w:val="bottom"/>
          </w:tcPr>
          <w:p>
            <w:pPr>
              <w:spacing w:after="0"/>
              <w:rPr>
                <w:sz w:val="10"/>
                <w:szCs w:val="1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25,052</w:t>
            </w:r>
          </w:p>
        </w:tc>
        <w:tc>
          <w:tcPr>
            <w:tcW w:w="180" w:type="dxa"/>
            <w:vAlign w:val="bottom"/>
          </w:tcPr>
          <w:p>
            <w:pPr>
              <w:spacing w:after="0"/>
              <w:rPr>
                <w:sz w:val="10"/>
                <w:szCs w:val="1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auto"/>
              </w:rPr>
              <w:t>24,802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Boss Industries, LLC</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07/21/25</w:t>
            </w:r>
          </w:p>
        </w:tc>
        <w:tc>
          <w:tcPr>
            <w:tcW w:w="102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12/27/30</w:t>
            </w:r>
          </w:p>
        </w:tc>
        <w:tc>
          <w:tcPr>
            <w:tcW w:w="148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Conglomerate Manufacturing</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9.00%</w:t>
            </w:r>
          </w:p>
        </w:tc>
        <w:tc>
          <w:tcPr>
            <w:tcW w:w="940" w:type="dxa"/>
            <w:vAlign w:val="bottom"/>
            <w:shd w:val="clear" w:color="auto" w:fill="CCECFF"/>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SOFR+500</w:t>
            </w:r>
          </w:p>
        </w:tc>
        <w:tc>
          <w:tcPr>
            <w:tcW w:w="130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0"/>
                <w:szCs w:val="10"/>
                <w:color w:val="auto"/>
              </w:rPr>
              <w:t>5,955</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5,916</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0"/>
                <w:szCs w:val="10"/>
                <w:color w:val="auto"/>
              </w:rPr>
              <w:t>5,955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10/03/22</w:t>
            </w:r>
          </w:p>
        </w:tc>
        <w:tc>
          <w:tcPr>
            <w:tcW w:w="102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07/25/29</w:t>
            </w:r>
          </w:p>
        </w:tc>
        <w:tc>
          <w:tcPr>
            <w:tcW w:w="148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9"/>
              </w:rPr>
              <w:t>Auto Sector</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9.51%</w:t>
            </w:r>
          </w:p>
        </w:tc>
        <w:tc>
          <w:tcPr>
            <w:tcW w:w="940" w:type="dxa"/>
            <w:vAlign w:val="bottom"/>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SOFR+535</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0"/>
                <w:szCs w:val="10"/>
                <w:color w:val="auto"/>
              </w:rPr>
              <w:t>6,186</w:t>
            </w:r>
          </w:p>
        </w:tc>
        <w:tc>
          <w:tcPr>
            <w:tcW w:w="140" w:type="dxa"/>
            <w:vAlign w:val="bottom"/>
          </w:tcPr>
          <w:p>
            <w:pPr>
              <w:spacing w:after="0"/>
              <w:rPr>
                <w:sz w:val="10"/>
                <w:szCs w:val="1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5,926</w:t>
            </w:r>
          </w:p>
        </w:tc>
        <w:tc>
          <w:tcPr>
            <w:tcW w:w="180" w:type="dxa"/>
            <w:vAlign w:val="bottom"/>
          </w:tcPr>
          <w:p>
            <w:pPr>
              <w:spacing w:after="0"/>
              <w:rPr>
                <w:sz w:val="10"/>
                <w:szCs w:val="1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auto"/>
              </w:rPr>
              <w:t>5,348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C5MI Acquisition, LLC</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10/09/24</w:t>
            </w:r>
          </w:p>
        </w:tc>
        <w:tc>
          <w:tcPr>
            <w:tcW w:w="102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07/31/29</w:t>
            </w:r>
          </w:p>
        </w:tc>
        <w:tc>
          <w:tcPr>
            <w:tcW w:w="148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7"/>
              </w:rPr>
              <w:t>10.00%</w:t>
            </w:r>
          </w:p>
        </w:tc>
        <w:tc>
          <w:tcPr>
            <w:tcW w:w="940" w:type="dxa"/>
            <w:vAlign w:val="bottom"/>
            <w:shd w:val="clear" w:color="auto" w:fill="CCECFF"/>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SOFR+600</w:t>
            </w:r>
          </w:p>
        </w:tc>
        <w:tc>
          <w:tcPr>
            <w:tcW w:w="130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0"/>
                <w:szCs w:val="10"/>
                <w:color w:val="auto"/>
              </w:rPr>
              <w:t>7,425</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7,334</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0"/>
                <w:szCs w:val="10"/>
                <w:color w:val="auto"/>
              </w:rPr>
              <w:t>7,425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CF512, Inc.</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12/29/21</w:t>
            </w:r>
          </w:p>
        </w:tc>
        <w:tc>
          <w:tcPr>
            <w:tcW w:w="102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08/20/26</w:t>
            </w:r>
          </w:p>
        </w:tc>
        <w:tc>
          <w:tcPr>
            <w:tcW w:w="148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7"/>
              </w:rPr>
              <w:t>10.36%</w:t>
            </w:r>
          </w:p>
        </w:tc>
        <w:tc>
          <w:tcPr>
            <w:tcW w:w="940" w:type="dxa"/>
            <w:vAlign w:val="bottom"/>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SOFR+619</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0"/>
                <w:szCs w:val="10"/>
                <w:color w:val="auto"/>
              </w:rPr>
              <w:t>9,042</w:t>
            </w:r>
          </w:p>
        </w:tc>
        <w:tc>
          <w:tcPr>
            <w:tcW w:w="140" w:type="dxa"/>
            <w:vAlign w:val="bottom"/>
          </w:tcPr>
          <w:p>
            <w:pPr>
              <w:spacing w:after="0"/>
              <w:rPr>
                <w:sz w:val="10"/>
                <w:szCs w:val="1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8,983</w:t>
            </w:r>
          </w:p>
        </w:tc>
        <w:tc>
          <w:tcPr>
            <w:tcW w:w="180" w:type="dxa"/>
            <w:vAlign w:val="bottom"/>
          </w:tcPr>
          <w:p>
            <w:pPr>
              <w:spacing w:after="0"/>
              <w:rPr>
                <w:sz w:val="10"/>
                <w:szCs w:val="1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auto"/>
              </w:rPr>
              <w:t>8,952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4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148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Healthcare, Education and</w:t>
            </w:r>
          </w:p>
        </w:tc>
        <w:tc>
          <w:tcPr>
            <w:tcW w:w="86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3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Carisk Buyer, Inc.</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02/09/24</w:t>
            </w:r>
          </w:p>
        </w:tc>
        <w:tc>
          <w:tcPr>
            <w:tcW w:w="102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12/01/29</w:t>
            </w:r>
          </w:p>
        </w:tc>
        <w:tc>
          <w:tcPr>
            <w:tcW w:w="148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2"/>
              </w:rPr>
              <w:t>Childcare</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9.00%</w:t>
            </w:r>
          </w:p>
        </w:tc>
        <w:tc>
          <w:tcPr>
            <w:tcW w:w="940" w:type="dxa"/>
            <w:vAlign w:val="bottom"/>
            <w:shd w:val="clear" w:color="auto" w:fill="CCECFF"/>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SOFR+500</w:t>
            </w:r>
          </w:p>
        </w:tc>
        <w:tc>
          <w:tcPr>
            <w:tcW w:w="130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0"/>
                <w:szCs w:val="10"/>
                <w:color w:val="auto"/>
              </w:rPr>
              <w:t>11,370</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11,276</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0"/>
                <w:szCs w:val="10"/>
                <w:color w:val="auto"/>
              </w:rPr>
              <w:t>11,370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Carnegie Dartlet, LLC</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06/26/24</w:t>
            </w:r>
          </w:p>
        </w:tc>
        <w:tc>
          <w:tcPr>
            <w:tcW w:w="102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02/07/30</w:t>
            </w:r>
          </w:p>
        </w:tc>
        <w:tc>
          <w:tcPr>
            <w:tcW w:w="148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8"/>
              </w:rPr>
              <w:t>Education</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9.66%</w:t>
            </w:r>
          </w:p>
        </w:tc>
        <w:tc>
          <w:tcPr>
            <w:tcW w:w="940" w:type="dxa"/>
            <w:vAlign w:val="bottom"/>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SOFR+550</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0"/>
                <w:szCs w:val="10"/>
                <w:color w:val="auto"/>
              </w:rPr>
              <w:t>22,655</w:t>
            </w:r>
          </w:p>
        </w:tc>
        <w:tc>
          <w:tcPr>
            <w:tcW w:w="140" w:type="dxa"/>
            <w:vAlign w:val="bottom"/>
          </w:tcPr>
          <w:p>
            <w:pPr>
              <w:spacing w:after="0"/>
              <w:rPr>
                <w:sz w:val="10"/>
                <w:szCs w:val="1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22,360</w:t>
            </w:r>
          </w:p>
        </w:tc>
        <w:tc>
          <w:tcPr>
            <w:tcW w:w="180" w:type="dxa"/>
            <w:vAlign w:val="bottom"/>
          </w:tcPr>
          <w:p>
            <w:pPr>
              <w:spacing w:after="0"/>
              <w:rPr>
                <w:sz w:val="10"/>
                <w:szCs w:val="1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auto"/>
              </w:rPr>
              <w:t>22,428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Cartessa Aesthetics, LLC</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09/09/22</w:t>
            </w:r>
          </w:p>
        </w:tc>
        <w:tc>
          <w:tcPr>
            <w:tcW w:w="102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06/14/28</w:t>
            </w:r>
          </w:p>
        </w:tc>
        <w:tc>
          <w:tcPr>
            <w:tcW w:w="148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5"/>
              </w:rPr>
              <w:t>Distribution</w:t>
            </w:r>
          </w:p>
        </w:tc>
        <w:tc>
          <w:tcPr>
            <w:tcW w:w="86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7"/>
              </w:rPr>
              <w:t>10.00%</w:t>
            </w:r>
          </w:p>
        </w:tc>
        <w:tc>
          <w:tcPr>
            <w:tcW w:w="940" w:type="dxa"/>
            <w:vAlign w:val="bottom"/>
            <w:shd w:val="clear" w:color="auto" w:fill="CCECFF"/>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SOFR+600</w:t>
            </w:r>
          </w:p>
        </w:tc>
        <w:tc>
          <w:tcPr>
            <w:tcW w:w="130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0"/>
                <w:szCs w:val="10"/>
                <w:color w:val="auto"/>
              </w:rPr>
              <w:t>21,880</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21,708</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0"/>
                <w:szCs w:val="10"/>
                <w:color w:val="auto"/>
              </w:rPr>
              <w:t>21,880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Case Works, LLC</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11/26/24</w:t>
            </w:r>
          </w:p>
        </w:tc>
        <w:tc>
          <w:tcPr>
            <w:tcW w:w="102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10/01/29</w:t>
            </w:r>
          </w:p>
        </w:tc>
        <w:tc>
          <w:tcPr>
            <w:tcW w:w="148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9.25%</w:t>
            </w:r>
          </w:p>
        </w:tc>
        <w:tc>
          <w:tcPr>
            <w:tcW w:w="940" w:type="dxa"/>
            <w:vAlign w:val="bottom"/>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SOFR+525</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0"/>
                <w:szCs w:val="10"/>
                <w:color w:val="auto"/>
              </w:rPr>
              <w:t>10,436</w:t>
            </w:r>
          </w:p>
        </w:tc>
        <w:tc>
          <w:tcPr>
            <w:tcW w:w="140" w:type="dxa"/>
            <w:vAlign w:val="bottom"/>
          </w:tcPr>
          <w:p>
            <w:pPr>
              <w:spacing w:after="0"/>
              <w:rPr>
                <w:sz w:val="10"/>
                <w:szCs w:val="1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10,366</w:t>
            </w:r>
          </w:p>
        </w:tc>
        <w:tc>
          <w:tcPr>
            <w:tcW w:w="180" w:type="dxa"/>
            <w:vAlign w:val="bottom"/>
          </w:tcPr>
          <w:p>
            <w:pPr>
              <w:spacing w:after="0"/>
              <w:rPr>
                <w:sz w:val="10"/>
                <w:szCs w:val="1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auto"/>
              </w:rPr>
              <w:t>9,966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Commercial Fire Protection Holdings, LLC</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12/16/24</w:t>
            </w:r>
          </w:p>
        </w:tc>
        <w:tc>
          <w:tcPr>
            <w:tcW w:w="102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09/23/30</w:t>
            </w:r>
          </w:p>
        </w:tc>
        <w:tc>
          <w:tcPr>
            <w:tcW w:w="148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8.50%</w:t>
            </w:r>
          </w:p>
        </w:tc>
        <w:tc>
          <w:tcPr>
            <w:tcW w:w="940" w:type="dxa"/>
            <w:vAlign w:val="bottom"/>
            <w:shd w:val="clear" w:color="auto" w:fill="CCECFF"/>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SOFR+450</w:t>
            </w:r>
          </w:p>
        </w:tc>
        <w:tc>
          <w:tcPr>
            <w:tcW w:w="130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0"/>
                <w:szCs w:val="10"/>
                <w:color w:val="auto"/>
              </w:rPr>
              <w:t>20,831</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20,730</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0"/>
                <w:szCs w:val="10"/>
                <w:color w:val="auto"/>
              </w:rPr>
              <w:t>20,831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Compex Legal Services, Inc.</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12/23/24</w:t>
            </w:r>
          </w:p>
        </w:tc>
        <w:tc>
          <w:tcPr>
            <w:tcW w:w="102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02/09/26</w:t>
            </w:r>
          </w:p>
        </w:tc>
        <w:tc>
          <w:tcPr>
            <w:tcW w:w="148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9.55%</w:t>
            </w:r>
          </w:p>
        </w:tc>
        <w:tc>
          <w:tcPr>
            <w:tcW w:w="940" w:type="dxa"/>
            <w:vAlign w:val="bottom"/>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SOFR+555</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0"/>
                <w:szCs w:val="10"/>
                <w:color w:val="auto"/>
              </w:rPr>
              <w:t>931</w:t>
            </w:r>
          </w:p>
        </w:tc>
        <w:tc>
          <w:tcPr>
            <w:tcW w:w="140" w:type="dxa"/>
            <w:vAlign w:val="bottom"/>
          </w:tcPr>
          <w:p>
            <w:pPr>
              <w:spacing w:after="0"/>
              <w:rPr>
                <w:sz w:val="10"/>
                <w:szCs w:val="1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931</w:t>
            </w:r>
          </w:p>
        </w:tc>
        <w:tc>
          <w:tcPr>
            <w:tcW w:w="180" w:type="dxa"/>
            <w:vAlign w:val="bottom"/>
          </w:tcPr>
          <w:p>
            <w:pPr>
              <w:spacing w:after="0"/>
              <w:rPr>
                <w:sz w:val="10"/>
                <w:szCs w:val="1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auto"/>
              </w:rPr>
              <w:t>931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4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148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Healthcare, Education and</w:t>
            </w:r>
          </w:p>
        </w:tc>
        <w:tc>
          <w:tcPr>
            <w:tcW w:w="86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3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Confluent Health, LLC</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12/23/24</w:t>
            </w:r>
          </w:p>
        </w:tc>
        <w:tc>
          <w:tcPr>
            <w:tcW w:w="102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11/30/28</w:t>
            </w:r>
          </w:p>
        </w:tc>
        <w:tc>
          <w:tcPr>
            <w:tcW w:w="148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2"/>
              </w:rPr>
              <w:t>Childcare</w:t>
            </w:r>
          </w:p>
        </w:tc>
        <w:tc>
          <w:tcPr>
            <w:tcW w:w="86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7"/>
              </w:rPr>
              <w:t>11.66%</w:t>
            </w:r>
          </w:p>
        </w:tc>
        <w:tc>
          <w:tcPr>
            <w:tcW w:w="940" w:type="dxa"/>
            <w:vAlign w:val="bottom"/>
            <w:shd w:val="clear" w:color="auto" w:fill="CCECFF"/>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SOFR+750</w:t>
            </w:r>
          </w:p>
        </w:tc>
        <w:tc>
          <w:tcPr>
            <w:tcW w:w="130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0"/>
                <w:szCs w:val="10"/>
                <w:color w:val="auto"/>
              </w:rPr>
              <w:t>1,950</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1,950</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0"/>
                <w:szCs w:val="10"/>
                <w:color w:val="auto"/>
              </w:rPr>
              <w:t>1,940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CJX Borrower, LLC</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08/12/22</w:t>
            </w:r>
          </w:p>
        </w:tc>
        <w:tc>
          <w:tcPr>
            <w:tcW w:w="102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07/13/27</w:t>
            </w:r>
          </w:p>
        </w:tc>
        <w:tc>
          <w:tcPr>
            <w:tcW w:w="148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7"/>
              </w:rPr>
              <w:t>10.08%</w:t>
            </w:r>
          </w:p>
        </w:tc>
        <w:tc>
          <w:tcPr>
            <w:tcW w:w="940" w:type="dxa"/>
            <w:vAlign w:val="bottom"/>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SOFR+576</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0"/>
                <w:szCs w:val="10"/>
                <w:color w:val="auto"/>
              </w:rPr>
              <w:t>8,624</w:t>
            </w:r>
          </w:p>
        </w:tc>
        <w:tc>
          <w:tcPr>
            <w:tcW w:w="140" w:type="dxa"/>
            <w:vAlign w:val="bottom"/>
          </w:tcPr>
          <w:p>
            <w:pPr>
              <w:spacing w:after="0"/>
              <w:rPr>
                <w:sz w:val="10"/>
                <w:szCs w:val="1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8,614</w:t>
            </w:r>
          </w:p>
        </w:tc>
        <w:tc>
          <w:tcPr>
            <w:tcW w:w="180" w:type="dxa"/>
            <w:vAlign w:val="bottom"/>
          </w:tcPr>
          <w:p>
            <w:pPr>
              <w:spacing w:after="0"/>
              <w:rPr>
                <w:sz w:val="10"/>
                <w:szCs w:val="1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auto"/>
              </w:rPr>
              <w:t>8,624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148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6"/>
              </w:rPr>
              <w:t>Personal, Food and Miscellaneous</w:t>
            </w:r>
          </w:p>
        </w:tc>
        <w:tc>
          <w:tcPr>
            <w:tcW w:w="86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3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Crane 1 Services, Inc.</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07/24/23</w:t>
            </w:r>
          </w:p>
        </w:tc>
        <w:tc>
          <w:tcPr>
            <w:tcW w:w="102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08/16/27</w:t>
            </w:r>
          </w:p>
        </w:tc>
        <w:tc>
          <w:tcPr>
            <w:tcW w:w="148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4"/>
              </w:rPr>
              <w:t>Services</w:t>
            </w:r>
          </w:p>
        </w:tc>
        <w:tc>
          <w:tcPr>
            <w:tcW w:w="86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7"/>
              </w:rPr>
              <w:t>10.03%</w:t>
            </w:r>
          </w:p>
        </w:tc>
        <w:tc>
          <w:tcPr>
            <w:tcW w:w="940" w:type="dxa"/>
            <w:vAlign w:val="bottom"/>
            <w:shd w:val="clear" w:color="auto" w:fill="CCECFF"/>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SOFR+586</w:t>
            </w:r>
          </w:p>
        </w:tc>
        <w:tc>
          <w:tcPr>
            <w:tcW w:w="130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0"/>
                <w:szCs w:val="10"/>
                <w:color w:val="auto"/>
              </w:rPr>
              <w:t>5,271</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5,243</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0"/>
                <w:szCs w:val="10"/>
                <w:color w:val="auto"/>
              </w:rPr>
              <w:t>5,232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DRI Holding Inc.</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08/04/22</w:t>
            </w:r>
          </w:p>
        </w:tc>
        <w:tc>
          <w:tcPr>
            <w:tcW w:w="102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12/21/28</w:t>
            </w:r>
          </w:p>
        </w:tc>
        <w:tc>
          <w:tcPr>
            <w:tcW w:w="148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9.51%</w:t>
            </w:r>
          </w:p>
        </w:tc>
        <w:tc>
          <w:tcPr>
            <w:tcW w:w="940" w:type="dxa"/>
            <w:vAlign w:val="bottom"/>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SOFR+535</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0"/>
                <w:szCs w:val="10"/>
                <w:color w:val="auto"/>
              </w:rPr>
              <w:t>5,770</w:t>
            </w:r>
          </w:p>
        </w:tc>
        <w:tc>
          <w:tcPr>
            <w:tcW w:w="140" w:type="dxa"/>
            <w:vAlign w:val="bottom"/>
          </w:tcPr>
          <w:p>
            <w:pPr>
              <w:spacing w:after="0"/>
              <w:rPr>
                <w:sz w:val="10"/>
                <w:szCs w:val="1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5,442</w:t>
            </w:r>
          </w:p>
        </w:tc>
        <w:tc>
          <w:tcPr>
            <w:tcW w:w="180" w:type="dxa"/>
            <w:vAlign w:val="bottom"/>
          </w:tcPr>
          <w:p>
            <w:pPr>
              <w:spacing w:after="0"/>
              <w:rPr>
                <w:sz w:val="10"/>
                <w:szCs w:val="1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auto"/>
              </w:rPr>
              <w:t>5,655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DRS Holdings III, Inc.</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03/02/22</w:t>
            </w:r>
          </w:p>
        </w:tc>
        <w:tc>
          <w:tcPr>
            <w:tcW w:w="102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11/03/25</w:t>
            </w:r>
          </w:p>
        </w:tc>
        <w:tc>
          <w:tcPr>
            <w:tcW w:w="148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9.41%</w:t>
            </w:r>
          </w:p>
        </w:tc>
        <w:tc>
          <w:tcPr>
            <w:tcW w:w="940" w:type="dxa"/>
            <w:vAlign w:val="bottom"/>
            <w:shd w:val="clear" w:color="auto" w:fill="CCECFF"/>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SOFR+525</w:t>
            </w:r>
          </w:p>
        </w:tc>
        <w:tc>
          <w:tcPr>
            <w:tcW w:w="130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0"/>
                <w:szCs w:val="10"/>
                <w:color w:val="auto"/>
              </w:rPr>
              <w:t>4,478</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4,478</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0"/>
                <w:szCs w:val="10"/>
                <w:color w:val="auto"/>
              </w:rPr>
              <w:t>4,523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Duggal Acquisition, LLC</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12/23/24</w:t>
            </w:r>
          </w:p>
        </w:tc>
        <w:tc>
          <w:tcPr>
            <w:tcW w:w="102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09/30/30</w:t>
            </w:r>
          </w:p>
        </w:tc>
        <w:tc>
          <w:tcPr>
            <w:tcW w:w="148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7"/>
              </w:rPr>
              <w:t>Marketing Services</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8.75%</w:t>
            </w:r>
          </w:p>
        </w:tc>
        <w:tc>
          <w:tcPr>
            <w:tcW w:w="940" w:type="dxa"/>
            <w:vAlign w:val="bottom"/>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SOFR+475</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0"/>
                <w:szCs w:val="10"/>
                <w:color w:val="auto"/>
              </w:rPr>
              <w:t>4,950</w:t>
            </w:r>
          </w:p>
        </w:tc>
        <w:tc>
          <w:tcPr>
            <w:tcW w:w="140" w:type="dxa"/>
            <w:vAlign w:val="bottom"/>
          </w:tcPr>
          <w:p>
            <w:pPr>
              <w:spacing w:after="0"/>
              <w:rPr>
                <w:sz w:val="10"/>
                <w:szCs w:val="1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4,910</w:t>
            </w:r>
          </w:p>
        </w:tc>
        <w:tc>
          <w:tcPr>
            <w:tcW w:w="180" w:type="dxa"/>
            <w:vAlign w:val="bottom"/>
          </w:tcPr>
          <w:p>
            <w:pPr>
              <w:spacing w:after="0"/>
              <w:rPr>
                <w:sz w:val="10"/>
                <w:szCs w:val="1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auto"/>
              </w:rPr>
              <w:t>4,950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Dynata, LLC - First Out Term Loan</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07/15/24</w:t>
            </w:r>
          </w:p>
        </w:tc>
        <w:tc>
          <w:tcPr>
            <w:tcW w:w="102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07/17/28</w:t>
            </w:r>
          </w:p>
        </w:tc>
        <w:tc>
          <w:tcPr>
            <w:tcW w:w="148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9.46%</w:t>
            </w:r>
          </w:p>
        </w:tc>
        <w:tc>
          <w:tcPr>
            <w:tcW w:w="940" w:type="dxa"/>
            <w:vAlign w:val="bottom"/>
            <w:shd w:val="clear" w:color="auto" w:fill="CCECFF"/>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SOFR+526</w:t>
            </w:r>
          </w:p>
        </w:tc>
        <w:tc>
          <w:tcPr>
            <w:tcW w:w="130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0"/>
                <w:szCs w:val="10"/>
                <w:color w:val="auto"/>
              </w:rPr>
              <w:t>1,572</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1,486</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0"/>
                <w:szCs w:val="10"/>
                <w:color w:val="auto"/>
              </w:rPr>
              <w:t>1,565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Dynata, LLC - Last Out Term Loan</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07/15/24</w:t>
            </w:r>
          </w:p>
        </w:tc>
        <w:tc>
          <w:tcPr>
            <w:tcW w:w="102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10/16/28</w:t>
            </w:r>
          </w:p>
        </w:tc>
        <w:tc>
          <w:tcPr>
            <w:tcW w:w="148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9.96%</w:t>
            </w:r>
          </w:p>
        </w:tc>
        <w:tc>
          <w:tcPr>
            <w:tcW w:w="940" w:type="dxa"/>
            <w:vAlign w:val="bottom"/>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SOFR+576</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0"/>
                <w:szCs w:val="10"/>
                <w:color w:val="auto"/>
              </w:rPr>
              <w:t>9,670</w:t>
            </w:r>
          </w:p>
        </w:tc>
        <w:tc>
          <w:tcPr>
            <w:tcW w:w="140" w:type="dxa"/>
            <w:vAlign w:val="bottom"/>
          </w:tcPr>
          <w:p>
            <w:pPr>
              <w:spacing w:after="0"/>
              <w:rPr>
                <w:sz w:val="10"/>
                <w:szCs w:val="1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9,670</w:t>
            </w:r>
          </w:p>
        </w:tc>
        <w:tc>
          <w:tcPr>
            <w:tcW w:w="180" w:type="dxa"/>
            <w:vAlign w:val="bottom"/>
          </w:tcPr>
          <w:p>
            <w:pPr>
              <w:spacing w:after="0"/>
              <w:rPr>
                <w:sz w:val="10"/>
                <w:szCs w:val="1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auto"/>
              </w:rPr>
              <w:t>7,873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EDS Buyer, LLC</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07/24/23</w:t>
            </w:r>
          </w:p>
        </w:tc>
        <w:tc>
          <w:tcPr>
            <w:tcW w:w="102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01/10/29</w:t>
            </w:r>
          </w:p>
        </w:tc>
        <w:tc>
          <w:tcPr>
            <w:tcW w:w="148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8.75%</w:t>
            </w:r>
          </w:p>
        </w:tc>
        <w:tc>
          <w:tcPr>
            <w:tcW w:w="940" w:type="dxa"/>
            <w:vAlign w:val="bottom"/>
            <w:shd w:val="clear" w:color="auto" w:fill="CCECFF"/>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SOFR+475</w:t>
            </w:r>
          </w:p>
        </w:tc>
        <w:tc>
          <w:tcPr>
            <w:tcW w:w="130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0"/>
                <w:szCs w:val="10"/>
                <w:color w:val="auto"/>
              </w:rPr>
              <w:t>23,169</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22,915</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0"/>
                <w:szCs w:val="10"/>
                <w:color w:val="auto"/>
              </w:rPr>
              <w:t>23,227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20" w:type="dxa"/>
            <w:vAlign w:val="bottom"/>
            <w:vMerge w:val="restart"/>
          </w:tcPr>
          <w:p>
            <w:pPr>
              <w:jc w:val="center"/>
              <w:ind w:right="112"/>
              <w:spacing w:after="0"/>
              <w:rPr>
                <w:sz w:val="20"/>
                <w:szCs w:val="20"/>
                <w:color w:val="auto"/>
              </w:rPr>
            </w:pPr>
            <w:r>
              <w:rPr>
                <w:rFonts w:ascii="Times New Roman" w:cs="Times New Roman" w:eastAsia="Times New Roman" w:hAnsi="Times New Roman"/>
                <w:sz w:val="10"/>
                <w:szCs w:val="10"/>
                <w:color w:val="auto"/>
                <w:w w:val="95"/>
              </w:rPr>
              <w:t>05/29/29</w:t>
            </w:r>
          </w:p>
        </w:tc>
        <w:tc>
          <w:tcPr>
            <w:tcW w:w="148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6"/>
              </w:rPr>
              <w:t>Personal, Food and Miscellaneous</w:t>
            </w:r>
          </w:p>
        </w:tc>
        <w:tc>
          <w:tcPr>
            <w:tcW w:w="860" w:type="dxa"/>
            <w:vAlign w:val="bottom"/>
            <w:vMerge w:val="restart"/>
          </w:tcPr>
          <w:p>
            <w:pPr>
              <w:jc w:val="center"/>
              <w:ind w:right="91"/>
              <w:spacing w:after="0"/>
              <w:rPr>
                <w:sz w:val="20"/>
                <w:szCs w:val="20"/>
                <w:color w:val="auto"/>
              </w:rPr>
            </w:pPr>
            <w:r>
              <w:rPr>
                <w:rFonts w:ascii="Times New Roman" w:cs="Times New Roman" w:eastAsia="Times New Roman" w:hAnsi="Times New Roman"/>
                <w:sz w:val="10"/>
                <w:szCs w:val="10"/>
                <w:color w:val="auto"/>
                <w:w w:val="92"/>
              </w:rPr>
              <w:t>9.16%</w:t>
            </w:r>
          </w:p>
        </w:tc>
        <w:tc>
          <w:tcPr>
            <w:tcW w:w="9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2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ETE Intermediate II, LLC</w:t>
            </w:r>
          </w:p>
        </w:tc>
        <w:tc>
          <w:tcPr>
            <w:tcW w:w="900" w:type="dxa"/>
            <w:vAlign w:val="bottom"/>
            <w:vMerge w:val="restart"/>
          </w:tcPr>
          <w:p>
            <w:pPr>
              <w:jc w:val="center"/>
              <w:ind w:right="32"/>
              <w:spacing w:after="0"/>
              <w:rPr>
                <w:sz w:val="20"/>
                <w:szCs w:val="20"/>
                <w:color w:val="auto"/>
              </w:rPr>
            </w:pPr>
            <w:r>
              <w:rPr>
                <w:rFonts w:ascii="Times New Roman" w:cs="Times New Roman" w:eastAsia="Times New Roman" w:hAnsi="Times New Roman"/>
                <w:sz w:val="10"/>
                <w:szCs w:val="10"/>
                <w:color w:val="auto"/>
                <w:w w:val="95"/>
              </w:rPr>
              <w:t>07/24/23</w:t>
            </w:r>
          </w:p>
        </w:tc>
        <w:tc>
          <w:tcPr>
            <w:tcW w:w="1020" w:type="dxa"/>
            <w:vAlign w:val="bottom"/>
            <w:vMerge w:val="continue"/>
          </w:tcPr>
          <w:p>
            <w:pPr>
              <w:spacing w:after="0"/>
              <w:rPr>
                <w:sz w:val="7"/>
                <w:szCs w:val="7"/>
                <w:color w:val="auto"/>
              </w:rPr>
            </w:pPr>
          </w:p>
        </w:tc>
        <w:tc>
          <w:tcPr>
            <w:tcW w:w="1480" w:type="dxa"/>
            <w:vAlign w:val="bottom"/>
            <w:vMerge w:val="restart"/>
          </w:tcPr>
          <w:p>
            <w:pPr>
              <w:jc w:val="center"/>
              <w:ind w:right="71"/>
              <w:spacing w:after="0"/>
              <w:rPr>
                <w:sz w:val="20"/>
                <w:szCs w:val="20"/>
                <w:color w:val="auto"/>
              </w:rPr>
            </w:pPr>
            <w:r>
              <w:rPr>
                <w:rFonts w:ascii="Times New Roman" w:cs="Times New Roman" w:eastAsia="Times New Roman" w:hAnsi="Times New Roman"/>
                <w:sz w:val="10"/>
                <w:szCs w:val="10"/>
                <w:color w:val="auto"/>
                <w:w w:val="94"/>
              </w:rPr>
              <w:t>Services</w:t>
            </w:r>
          </w:p>
        </w:tc>
        <w:tc>
          <w:tcPr>
            <w:tcW w:w="860" w:type="dxa"/>
            <w:vAlign w:val="bottom"/>
            <w:vMerge w:val="continue"/>
          </w:tcPr>
          <w:p>
            <w:pPr>
              <w:spacing w:after="0"/>
              <w:rPr>
                <w:sz w:val="7"/>
                <w:szCs w:val="7"/>
                <w:color w:val="auto"/>
              </w:rPr>
            </w:pPr>
          </w:p>
        </w:tc>
        <w:tc>
          <w:tcPr>
            <w:tcW w:w="940" w:type="dxa"/>
            <w:vAlign w:val="bottom"/>
            <w:vMerge w:val="restart"/>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SOFR+500</w:t>
            </w:r>
          </w:p>
        </w:tc>
        <w:tc>
          <w:tcPr>
            <w:tcW w:w="1300" w:type="dxa"/>
            <w:vAlign w:val="bottom"/>
            <w:vMerge w:val="restart"/>
          </w:tcPr>
          <w:p>
            <w:pPr>
              <w:jc w:val="right"/>
              <w:ind w:right="170"/>
              <w:spacing w:after="0"/>
              <w:rPr>
                <w:sz w:val="20"/>
                <w:szCs w:val="20"/>
                <w:color w:val="auto"/>
              </w:rPr>
            </w:pPr>
            <w:r>
              <w:rPr>
                <w:rFonts w:ascii="Times New Roman" w:cs="Times New Roman" w:eastAsia="Times New Roman" w:hAnsi="Times New Roman"/>
                <w:sz w:val="10"/>
                <w:szCs w:val="10"/>
                <w:color w:val="auto"/>
              </w:rPr>
              <w:t>12,124</w:t>
            </w:r>
          </w:p>
        </w:tc>
        <w:tc>
          <w:tcPr>
            <w:tcW w:w="140" w:type="dxa"/>
            <w:vAlign w:val="bottom"/>
          </w:tcPr>
          <w:p>
            <w:pPr>
              <w:spacing w:after="0"/>
              <w:rPr>
                <w:sz w:val="7"/>
                <w:szCs w:val="7"/>
                <w:color w:val="auto"/>
              </w:rPr>
            </w:pPr>
          </w:p>
        </w:tc>
        <w:tc>
          <w:tcPr>
            <w:tcW w:w="560" w:type="dxa"/>
            <w:vAlign w:val="bottom"/>
            <w:vMerge w:val="restart"/>
          </w:tcPr>
          <w:p>
            <w:pPr>
              <w:jc w:val="right"/>
              <w:ind w:right="50"/>
              <w:spacing w:after="0"/>
              <w:rPr>
                <w:sz w:val="20"/>
                <w:szCs w:val="20"/>
                <w:color w:val="auto"/>
              </w:rPr>
            </w:pPr>
            <w:r>
              <w:rPr>
                <w:rFonts w:ascii="Times New Roman" w:cs="Times New Roman" w:eastAsia="Times New Roman" w:hAnsi="Times New Roman"/>
                <w:sz w:val="10"/>
                <w:szCs w:val="10"/>
                <w:color w:val="auto"/>
              </w:rPr>
              <w:t>11,963</w:t>
            </w:r>
          </w:p>
        </w:tc>
        <w:tc>
          <w:tcPr>
            <w:tcW w:w="180" w:type="dxa"/>
            <w:vAlign w:val="bottom"/>
          </w:tcPr>
          <w:p>
            <w:pPr>
              <w:spacing w:after="0"/>
              <w:rPr>
                <w:sz w:val="7"/>
                <w:szCs w:val="7"/>
                <w:color w:val="auto"/>
              </w:rPr>
            </w:pPr>
          </w:p>
        </w:tc>
        <w:tc>
          <w:tcPr>
            <w:tcW w:w="940" w:type="dxa"/>
            <w:vAlign w:val="bottom"/>
            <w:vMerge w:val="restart"/>
          </w:tcPr>
          <w:p>
            <w:pPr>
              <w:jc w:val="right"/>
              <w:ind w:right="30"/>
              <w:spacing w:after="0"/>
              <w:rPr>
                <w:sz w:val="20"/>
                <w:szCs w:val="20"/>
                <w:color w:val="auto"/>
              </w:rPr>
            </w:pPr>
            <w:r>
              <w:rPr>
                <w:rFonts w:ascii="Times New Roman" w:cs="Times New Roman" w:eastAsia="Times New Roman" w:hAnsi="Times New Roman"/>
                <w:sz w:val="10"/>
                <w:szCs w:val="10"/>
                <w:color w:val="auto"/>
              </w:rPr>
              <w:t>12,124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224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102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3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24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148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6"/>
              </w:rPr>
              <w:t>Healthcare, Education and</w:t>
            </w:r>
          </w:p>
        </w:tc>
        <w:tc>
          <w:tcPr>
            <w:tcW w:w="86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3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Emergency Care Partners, LLC</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12/23/24</w:t>
            </w:r>
          </w:p>
        </w:tc>
        <w:tc>
          <w:tcPr>
            <w:tcW w:w="102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10/18/27</w:t>
            </w:r>
          </w:p>
        </w:tc>
        <w:tc>
          <w:tcPr>
            <w:tcW w:w="148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2"/>
              </w:rPr>
              <w:t>Childcare</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9.00%</w:t>
            </w:r>
          </w:p>
        </w:tc>
        <w:tc>
          <w:tcPr>
            <w:tcW w:w="940" w:type="dxa"/>
            <w:vAlign w:val="bottom"/>
            <w:shd w:val="clear" w:color="auto" w:fill="CCECFF"/>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SOFR+500</w:t>
            </w:r>
          </w:p>
        </w:tc>
        <w:tc>
          <w:tcPr>
            <w:tcW w:w="130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0"/>
                <w:szCs w:val="10"/>
                <w:color w:val="auto"/>
              </w:rPr>
              <w:t>6,930</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6,895</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0"/>
                <w:szCs w:val="10"/>
                <w:color w:val="auto"/>
              </w:rPr>
              <w:t>6,930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8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Healthcare, Education and</w:t>
            </w: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EvAL Home Care Solutions Intermediate, LLC</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07/23/24</w:t>
            </w:r>
          </w:p>
        </w:tc>
        <w:tc>
          <w:tcPr>
            <w:tcW w:w="102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05/10/30</w:t>
            </w:r>
          </w:p>
        </w:tc>
        <w:tc>
          <w:tcPr>
            <w:tcW w:w="148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2"/>
              </w:rPr>
              <w:t>Childcare</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9.91%</w:t>
            </w:r>
          </w:p>
        </w:tc>
        <w:tc>
          <w:tcPr>
            <w:tcW w:w="940" w:type="dxa"/>
            <w:vAlign w:val="bottom"/>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SOFR+575</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0"/>
                <w:szCs w:val="10"/>
                <w:color w:val="auto"/>
              </w:rPr>
              <w:t>7,040</w:t>
            </w:r>
          </w:p>
        </w:tc>
        <w:tc>
          <w:tcPr>
            <w:tcW w:w="140" w:type="dxa"/>
            <w:vAlign w:val="bottom"/>
          </w:tcPr>
          <w:p>
            <w:pPr>
              <w:spacing w:after="0"/>
              <w:rPr>
                <w:sz w:val="10"/>
                <w:szCs w:val="1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6,955</w:t>
            </w:r>
          </w:p>
        </w:tc>
        <w:tc>
          <w:tcPr>
            <w:tcW w:w="180" w:type="dxa"/>
            <w:vAlign w:val="bottom"/>
          </w:tcPr>
          <w:p>
            <w:pPr>
              <w:spacing w:after="0"/>
              <w:rPr>
                <w:sz w:val="10"/>
                <w:szCs w:val="1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auto"/>
              </w:rPr>
              <w:t>7,040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Exigo Intermediate II, LLC</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07/24/23</w:t>
            </w:r>
          </w:p>
        </w:tc>
        <w:tc>
          <w:tcPr>
            <w:tcW w:w="102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03/15/27</w:t>
            </w:r>
          </w:p>
        </w:tc>
        <w:tc>
          <w:tcPr>
            <w:tcW w:w="148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7"/>
              </w:rPr>
              <w:t>10.51%</w:t>
            </w:r>
          </w:p>
        </w:tc>
        <w:tc>
          <w:tcPr>
            <w:tcW w:w="940" w:type="dxa"/>
            <w:vAlign w:val="bottom"/>
            <w:shd w:val="clear" w:color="auto" w:fill="CCECFF"/>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SOFR+635</w:t>
            </w:r>
          </w:p>
        </w:tc>
        <w:tc>
          <w:tcPr>
            <w:tcW w:w="130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0"/>
                <w:szCs w:val="10"/>
                <w:color w:val="auto"/>
              </w:rPr>
              <w:t>9,551</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9,491</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0"/>
                <w:szCs w:val="10"/>
                <w:color w:val="auto"/>
              </w:rPr>
              <w:t>9,551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Five Star Buyer, Inc.</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07/24/23</w:t>
            </w:r>
          </w:p>
        </w:tc>
        <w:tc>
          <w:tcPr>
            <w:tcW w:w="102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02/23/28</w:t>
            </w:r>
          </w:p>
        </w:tc>
        <w:tc>
          <w:tcPr>
            <w:tcW w:w="148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86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7"/>
              </w:rPr>
              <w:t>13.35%</w:t>
            </w:r>
          </w:p>
        </w:tc>
        <w:tc>
          <w:tcPr>
            <w:tcW w:w="940" w:type="dxa"/>
            <w:vAlign w:val="bottom"/>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SOFR+915</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0"/>
                <w:szCs w:val="10"/>
                <w:color w:val="auto"/>
              </w:rPr>
              <w:t>4,140</w:t>
            </w:r>
          </w:p>
        </w:tc>
        <w:tc>
          <w:tcPr>
            <w:tcW w:w="140" w:type="dxa"/>
            <w:vAlign w:val="bottom"/>
          </w:tcPr>
          <w:p>
            <w:pPr>
              <w:spacing w:after="0"/>
              <w:rPr>
                <w:sz w:val="10"/>
                <w:szCs w:val="1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4,096</w:t>
            </w:r>
          </w:p>
        </w:tc>
        <w:tc>
          <w:tcPr>
            <w:tcW w:w="180" w:type="dxa"/>
            <w:vAlign w:val="bottom"/>
          </w:tcPr>
          <w:p>
            <w:pPr>
              <w:spacing w:after="0"/>
              <w:rPr>
                <w:sz w:val="10"/>
                <w:szCs w:val="1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auto"/>
              </w:rPr>
              <w:t>4,057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4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148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86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3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148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5"/>
              </w:rPr>
              <w:t>Housewares and Durable</w:t>
            </w:r>
          </w:p>
        </w:tc>
        <w:tc>
          <w:tcPr>
            <w:tcW w:w="86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3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GGG Midco, LLC</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12/16/24</w:t>
            </w:r>
          </w:p>
        </w:tc>
        <w:tc>
          <w:tcPr>
            <w:tcW w:w="102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09/27/30</w:t>
            </w:r>
          </w:p>
        </w:tc>
        <w:tc>
          <w:tcPr>
            <w:tcW w:w="148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9.00%</w:t>
            </w:r>
          </w:p>
        </w:tc>
        <w:tc>
          <w:tcPr>
            <w:tcW w:w="940" w:type="dxa"/>
            <w:vAlign w:val="bottom"/>
            <w:shd w:val="clear" w:color="auto" w:fill="CCECFF"/>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SOFR+500</w:t>
            </w:r>
          </w:p>
        </w:tc>
        <w:tc>
          <w:tcPr>
            <w:tcW w:w="130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0"/>
                <w:szCs w:val="10"/>
                <w:color w:val="auto"/>
              </w:rPr>
              <w:t>12,485</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12,377</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0"/>
                <w:szCs w:val="10"/>
                <w:color w:val="auto"/>
              </w:rPr>
              <w:t>12,485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8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6"/>
              </w:rPr>
              <w:t>Banking, Finance, Insurance &amp;</w:t>
            </w: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03/02/22</w:t>
            </w:r>
          </w:p>
        </w:tc>
        <w:tc>
          <w:tcPr>
            <w:tcW w:w="102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03/16/26</w:t>
            </w:r>
          </w:p>
        </w:tc>
        <w:tc>
          <w:tcPr>
            <w:tcW w:w="148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7"/>
              </w:rPr>
              <w:t>Real Estate</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9.74%</w:t>
            </w:r>
          </w:p>
        </w:tc>
        <w:tc>
          <w:tcPr>
            <w:tcW w:w="940" w:type="dxa"/>
            <w:vAlign w:val="bottom"/>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SOFR+560</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0"/>
                <w:szCs w:val="10"/>
                <w:color w:val="auto"/>
              </w:rPr>
              <w:t>6,593</w:t>
            </w:r>
          </w:p>
        </w:tc>
        <w:tc>
          <w:tcPr>
            <w:tcW w:w="140" w:type="dxa"/>
            <w:vAlign w:val="bottom"/>
          </w:tcPr>
          <w:p>
            <w:pPr>
              <w:spacing w:after="0"/>
              <w:rPr>
                <w:sz w:val="10"/>
                <w:szCs w:val="1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6,589</w:t>
            </w:r>
          </w:p>
        </w:tc>
        <w:tc>
          <w:tcPr>
            <w:tcW w:w="180" w:type="dxa"/>
            <w:vAlign w:val="bottom"/>
          </w:tcPr>
          <w:p>
            <w:pPr>
              <w:spacing w:after="0"/>
              <w:rPr>
                <w:sz w:val="10"/>
                <w:szCs w:val="1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auto"/>
              </w:rPr>
              <w:t>6,593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Graffiti Buyer, Inc.</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03/02/22</w:t>
            </w:r>
          </w:p>
        </w:tc>
        <w:tc>
          <w:tcPr>
            <w:tcW w:w="102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08/10/27</w:t>
            </w:r>
          </w:p>
        </w:tc>
        <w:tc>
          <w:tcPr>
            <w:tcW w:w="148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5"/>
              </w:rPr>
              <w:t>Distribution</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9.80%</w:t>
            </w:r>
          </w:p>
        </w:tc>
        <w:tc>
          <w:tcPr>
            <w:tcW w:w="940" w:type="dxa"/>
            <w:vAlign w:val="bottom"/>
            <w:shd w:val="clear" w:color="auto" w:fill="CCECFF"/>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SOFR+560</w:t>
            </w:r>
          </w:p>
        </w:tc>
        <w:tc>
          <w:tcPr>
            <w:tcW w:w="130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0"/>
                <w:szCs w:val="10"/>
                <w:color w:val="auto"/>
              </w:rPr>
              <w:t>3,959</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3,928</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0"/>
                <w:szCs w:val="10"/>
                <w:color w:val="auto"/>
              </w:rPr>
              <w:t>3,880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8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6"/>
              </w:rPr>
              <w:t>Healthcare, Education and</w:t>
            </w: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HEC Purchaser Corp.</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09/16/24</w:t>
            </w:r>
          </w:p>
        </w:tc>
        <w:tc>
          <w:tcPr>
            <w:tcW w:w="102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06/17/29</w:t>
            </w:r>
          </w:p>
        </w:tc>
        <w:tc>
          <w:tcPr>
            <w:tcW w:w="148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2"/>
              </w:rPr>
              <w:t>Childcare</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8.87%</w:t>
            </w:r>
          </w:p>
        </w:tc>
        <w:tc>
          <w:tcPr>
            <w:tcW w:w="940" w:type="dxa"/>
            <w:vAlign w:val="bottom"/>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SOFR+500</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0"/>
                <w:szCs w:val="10"/>
                <w:color w:val="auto"/>
              </w:rPr>
              <w:t>7,798</w:t>
            </w:r>
          </w:p>
        </w:tc>
        <w:tc>
          <w:tcPr>
            <w:tcW w:w="140" w:type="dxa"/>
            <w:vAlign w:val="bottom"/>
          </w:tcPr>
          <w:p>
            <w:pPr>
              <w:spacing w:after="0"/>
              <w:rPr>
                <w:sz w:val="10"/>
                <w:szCs w:val="1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7,723</w:t>
            </w:r>
          </w:p>
        </w:tc>
        <w:tc>
          <w:tcPr>
            <w:tcW w:w="180" w:type="dxa"/>
            <w:vAlign w:val="bottom"/>
          </w:tcPr>
          <w:p>
            <w:pPr>
              <w:spacing w:after="0"/>
              <w:rPr>
                <w:sz w:val="10"/>
                <w:szCs w:val="1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auto"/>
              </w:rPr>
              <w:t>7,798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HV Watterson Holdings, LLC </w:t>
            </w:r>
            <w:r>
              <w:rPr>
                <w:rFonts w:ascii="Times New Roman" w:cs="Times New Roman" w:eastAsia="Times New Roman" w:hAnsi="Times New Roman"/>
                <w:sz w:val="12"/>
                <w:szCs w:val="12"/>
                <w:color w:val="auto"/>
                <w:vertAlign w:val="superscript"/>
              </w:rPr>
              <w:t>(4)</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09/09/22</w:t>
            </w:r>
          </w:p>
        </w:tc>
        <w:tc>
          <w:tcPr>
            <w:tcW w:w="102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12/17/26</w:t>
            </w:r>
          </w:p>
        </w:tc>
        <w:tc>
          <w:tcPr>
            <w:tcW w:w="148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8.00%</w:t>
            </w:r>
          </w:p>
        </w:tc>
        <w:tc>
          <w:tcPr>
            <w:tcW w:w="940" w:type="dxa"/>
            <w:vAlign w:val="bottom"/>
            <w:shd w:val="clear" w:color="auto" w:fill="CCECFF"/>
          </w:tcPr>
          <w:p>
            <w:pPr>
              <w:spacing w:after="0"/>
              <w:rPr>
                <w:sz w:val="10"/>
                <w:szCs w:val="10"/>
                <w:color w:val="auto"/>
              </w:rPr>
            </w:pPr>
          </w:p>
        </w:tc>
        <w:tc>
          <w:tcPr>
            <w:tcW w:w="130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0"/>
                <w:szCs w:val="10"/>
                <w:color w:val="auto"/>
              </w:rPr>
              <w:t>15,570</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15,496</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0"/>
                <w:szCs w:val="10"/>
                <w:color w:val="auto"/>
              </w:rPr>
              <w:t>8,548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HW Holdco, LLC</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03/02/22</w:t>
            </w:r>
          </w:p>
        </w:tc>
        <w:tc>
          <w:tcPr>
            <w:tcW w:w="102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05/10/26</w:t>
            </w:r>
          </w:p>
        </w:tc>
        <w:tc>
          <w:tcPr>
            <w:tcW w:w="148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9.90%</w:t>
            </w:r>
          </w:p>
        </w:tc>
        <w:tc>
          <w:tcPr>
            <w:tcW w:w="940" w:type="dxa"/>
            <w:vAlign w:val="bottom"/>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SOFR+590</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0"/>
                <w:szCs w:val="10"/>
                <w:color w:val="auto"/>
              </w:rPr>
              <w:t>23,593</w:t>
            </w:r>
          </w:p>
        </w:tc>
        <w:tc>
          <w:tcPr>
            <w:tcW w:w="140" w:type="dxa"/>
            <w:vAlign w:val="bottom"/>
          </w:tcPr>
          <w:p>
            <w:pPr>
              <w:spacing w:after="0"/>
              <w:rPr>
                <w:sz w:val="10"/>
                <w:szCs w:val="1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23,537</w:t>
            </w:r>
          </w:p>
        </w:tc>
        <w:tc>
          <w:tcPr>
            <w:tcW w:w="180" w:type="dxa"/>
            <w:vAlign w:val="bottom"/>
          </w:tcPr>
          <w:p>
            <w:pPr>
              <w:spacing w:after="0"/>
              <w:rPr>
                <w:sz w:val="10"/>
                <w:szCs w:val="1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auto"/>
              </w:rPr>
              <w:t>23,593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03/02/22</w:t>
            </w:r>
          </w:p>
        </w:tc>
        <w:tc>
          <w:tcPr>
            <w:tcW w:w="102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12/31/26</w:t>
            </w:r>
          </w:p>
        </w:tc>
        <w:tc>
          <w:tcPr>
            <w:tcW w:w="148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2"/>
              </w:rPr>
              <w:t>Insurance</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9.60%</w:t>
            </w:r>
          </w:p>
        </w:tc>
        <w:tc>
          <w:tcPr>
            <w:tcW w:w="940" w:type="dxa"/>
            <w:vAlign w:val="bottom"/>
            <w:shd w:val="clear" w:color="auto" w:fill="CCECFF"/>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SOFR+550</w:t>
            </w:r>
          </w:p>
        </w:tc>
        <w:tc>
          <w:tcPr>
            <w:tcW w:w="130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0"/>
                <w:szCs w:val="10"/>
                <w:color w:val="auto"/>
              </w:rPr>
              <w:t>6,029</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6,029</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0"/>
                <w:szCs w:val="10"/>
                <w:color w:val="auto"/>
              </w:rPr>
              <w:t>5,968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Harris &amp; Co, LLC</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12/20/24</w:t>
            </w:r>
          </w:p>
        </w:tc>
        <w:tc>
          <w:tcPr>
            <w:tcW w:w="102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08/09/30</w:t>
            </w:r>
          </w:p>
        </w:tc>
        <w:tc>
          <w:tcPr>
            <w:tcW w:w="148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9.16%</w:t>
            </w:r>
          </w:p>
        </w:tc>
        <w:tc>
          <w:tcPr>
            <w:tcW w:w="940" w:type="dxa"/>
            <w:vAlign w:val="bottom"/>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SOFR+500</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0"/>
                <w:szCs w:val="10"/>
                <w:color w:val="auto"/>
              </w:rPr>
              <w:t>19,182</w:t>
            </w:r>
          </w:p>
        </w:tc>
        <w:tc>
          <w:tcPr>
            <w:tcW w:w="140" w:type="dxa"/>
            <w:vAlign w:val="bottom"/>
          </w:tcPr>
          <w:p>
            <w:pPr>
              <w:spacing w:after="0"/>
              <w:rPr>
                <w:sz w:val="10"/>
                <w:szCs w:val="1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18,995</w:t>
            </w:r>
          </w:p>
        </w:tc>
        <w:tc>
          <w:tcPr>
            <w:tcW w:w="180" w:type="dxa"/>
            <w:vAlign w:val="bottom"/>
          </w:tcPr>
          <w:p>
            <w:pPr>
              <w:spacing w:after="0"/>
              <w:rPr>
                <w:sz w:val="10"/>
                <w:szCs w:val="1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auto"/>
              </w:rPr>
              <w:t>19,015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Hills Distribution, Inc.</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02/13/24</w:t>
            </w:r>
          </w:p>
        </w:tc>
        <w:tc>
          <w:tcPr>
            <w:tcW w:w="102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0"/>
                <w:szCs w:val="10"/>
                <w:color w:val="auto"/>
                <w:w w:val="95"/>
              </w:rPr>
              <w:t>11/08/29</w:t>
            </w:r>
          </w:p>
        </w:tc>
        <w:tc>
          <w:tcPr>
            <w:tcW w:w="148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5"/>
              </w:rPr>
              <w:t>Distribution</w:t>
            </w:r>
          </w:p>
        </w:tc>
        <w:tc>
          <w:tcPr>
            <w:tcW w:w="86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7"/>
              </w:rPr>
              <w:t>10.32%</w:t>
            </w:r>
          </w:p>
        </w:tc>
        <w:tc>
          <w:tcPr>
            <w:tcW w:w="940" w:type="dxa"/>
            <w:vAlign w:val="bottom"/>
            <w:shd w:val="clear" w:color="auto" w:fill="CCECFF"/>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SOFR+600</w:t>
            </w:r>
          </w:p>
        </w:tc>
        <w:tc>
          <w:tcPr>
            <w:tcW w:w="130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0"/>
                <w:szCs w:val="10"/>
                <w:color w:val="auto"/>
              </w:rPr>
              <w:t>14,148</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rPr>
              <w:t>13,992</w:t>
            </w:r>
          </w:p>
        </w:tc>
        <w:tc>
          <w:tcPr>
            <w:tcW w:w="18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0"/>
                <w:szCs w:val="10"/>
                <w:color w:val="auto"/>
              </w:rPr>
              <w:t>14,148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03/02/22</w:t>
            </w:r>
          </w:p>
        </w:tc>
        <w:tc>
          <w:tcPr>
            <w:tcW w:w="102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5"/>
              </w:rPr>
              <w:t>09/22/28</w:t>
            </w:r>
          </w:p>
        </w:tc>
        <w:tc>
          <w:tcPr>
            <w:tcW w:w="148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9.31%</w:t>
            </w:r>
          </w:p>
        </w:tc>
        <w:tc>
          <w:tcPr>
            <w:tcW w:w="940" w:type="dxa"/>
            <w:vAlign w:val="bottom"/>
          </w:tcPr>
          <w:p>
            <w:pPr>
              <w:jc w:val="center"/>
              <w:ind w:left="270"/>
              <w:spacing w:after="0"/>
              <w:rPr>
                <w:sz w:val="20"/>
                <w:szCs w:val="20"/>
                <w:color w:val="auto"/>
              </w:rPr>
            </w:pPr>
            <w:r>
              <w:rPr>
                <w:rFonts w:ascii="Times New Roman" w:cs="Times New Roman" w:eastAsia="Times New Roman" w:hAnsi="Times New Roman"/>
                <w:sz w:val="10"/>
                <w:szCs w:val="10"/>
                <w:color w:val="auto"/>
                <w:w w:val="91"/>
              </w:rPr>
              <w:t>SOFR+500</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0"/>
                <w:szCs w:val="10"/>
                <w:color w:val="auto"/>
              </w:rPr>
              <w:t>4,350</w:t>
            </w:r>
          </w:p>
        </w:tc>
        <w:tc>
          <w:tcPr>
            <w:tcW w:w="140" w:type="dxa"/>
            <w:vAlign w:val="bottom"/>
          </w:tcPr>
          <w:p>
            <w:pPr>
              <w:spacing w:after="0"/>
              <w:rPr>
                <w:sz w:val="10"/>
                <w:szCs w:val="1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4,305</w:t>
            </w:r>
          </w:p>
        </w:tc>
        <w:tc>
          <w:tcPr>
            <w:tcW w:w="180" w:type="dxa"/>
            <w:vAlign w:val="bottom"/>
          </w:tcPr>
          <w:p>
            <w:pPr>
              <w:spacing w:after="0"/>
              <w:rPr>
                <w:sz w:val="10"/>
                <w:szCs w:val="1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auto"/>
              </w:rPr>
              <w:t>4,328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jc w:val="right"/>
              <w:ind w:right="231"/>
              <w:spacing w:after="0"/>
              <w:rPr>
                <w:sz w:val="20"/>
                <w:szCs w:val="20"/>
                <w:color w:val="auto"/>
              </w:rPr>
            </w:pPr>
            <w:r>
              <w:rPr>
                <w:rFonts w:ascii="Times New Roman" w:cs="Times New Roman" w:eastAsia="Times New Roman" w:hAnsi="Times New Roman"/>
                <w:sz w:val="13"/>
                <w:szCs w:val="13"/>
                <w:color w:val="auto"/>
              </w:rPr>
              <w:t>39</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0"/>
        </w:trPr>
        <w:tc>
          <w:tcPr>
            <w:tcW w:w="224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148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13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2" w:right="66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60" w:type="dxa"/>
            <w:vAlign w:val="bottom"/>
          </w:tcPr>
          <w:p>
            <w:pPr>
              <w:ind w:left="140"/>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320" w:type="dxa"/>
            <w:vAlign w:val="bottom"/>
          </w:tcPr>
          <w:p>
            <w:pPr>
              <w:jc w:val="center"/>
              <w:ind w:right="11"/>
              <w:spacing w:after="0" w:line="145" w:lineRule="exact"/>
              <w:rPr>
                <w:sz w:val="20"/>
                <w:szCs w:val="20"/>
                <w:color w:val="auto"/>
              </w:rPr>
            </w:pPr>
            <w:r>
              <w:rPr>
                <w:rFonts w:ascii="Times New Roman" w:cs="Times New Roman" w:eastAsia="Times New Roman" w:hAnsi="Times New Roman"/>
                <w:sz w:val="13"/>
                <w:szCs w:val="13"/>
                <w:b w:val="1"/>
                <w:bCs w:val="1"/>
                <w:color w:val="auto"/>
                <w:w w:val="99"/>
              </w:rPr>
              <w:t>Spread Above</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Issuer Name</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Industry</w:t>
            </w:r>
          </w:p>
        </w:tc>
        <w:tc>
          <w:tcPr>
            <w:tcW w:w="8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320" w:type="dxa"/>
            <w:vAlign w:val="bottom"/>
          </w:tcPr>
          <w:p>
            <w:pPr>
              <w:jc w:val="center"/>
              <w:ind w:right="11"/>
              <w:spacing w:after="0" w:line="181" w:lineRule="exact"/>
              <w:rPr>
                <w:sz w:val="20"/>
                <w:szCs w:val="20"/>
                <w:color w:val="auto"/>
              </w:rPr>
            </w:pPr>
            <w:r>
              <w:rPr>
                <w:rFonts w:ascii="Times New Roman" w:cs="Times New Roman" w:eastAsia="Times New Roman" w:hAnsi="Times New Roman"/>
                <w:sz w:val="13"/>
                <w:szCs w:val="13"/>
                <w:b w:val="1"/>
                <w:bCs w:val="1"/>
                <w:color w:val="auto"/>
                <w:w w:val="96"/>
              </w:rPr>
              <w:t xml:space="preserve">Index </w:t>
            </w:r>
            <w:r>
              <w:rPr>
                <w:rFonts w:ascii="Times New Roman" w:cs="Times New Roman" w:eastAsia="Times New Roman" w:hAnsi="Times New Roman"/>
                <w:sz w:val="16"/>
                <w:szCs w:val="16"/>
                <w:b w:val="1"/>
                <w:bCs w:val="1"/>
                <w:color w:val="auto"/>
                <w:w w:val="96"/>
                <w:vertAlign w:val="superscript"/>
              </w:rPr>
              <w:t>(1)</w:t>
            </w:r>
          </w:p>
        </w:tc>
        <w:tc>
          <w:tcPr>
            <w:tcW w:w="900" w:type="dxa"/>
            <w:vAlign w:val="bottom"/>
          </w:tcPr>
          <w:p>
            <w:pPr>
              <w:jc w:val="right"/>
              <w:ind w:right="372"/>
              <w:spacing w:after="0"/>
              <w:rPr>
                <w:sz w:val="20"/>
                <w:szCs w:val="20"/>
                <w:color w:val="auto"/>
              </w:rPr>
            </w:pPr>
            <w:r>
              <w:rPr>
                <w:rFonts w:ascii="Times New Roman" w:cs="Times New Roman" w:eastAsia="Times New Roman" w:hAnsi="Times New Roman"/>
                <w:sz w:val="13"/>
                <w:szCs w:val="13"/>
                <w:b w:val="1"/>
                <w:bCs w:val="1"/>
                <w:color w:val="auto"/>
              </w:rPr>
              <w:t>Par</w:t>
            </w:r>
          </w:p>
        </w:tc>
        <w:tc>
          <w:tcPr>
            <w:tcW w:w="780" w:type="dxa"/>
            <w:vAlign w:val="bottom"/>
          </w:tcPr>
          <w:p>
            <w:pPr>
              <w:jc w:val="right"/>
              <w:ind w:right="292"/>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60" w:type="dxa"/>
            <w:vAlign w:val="bottom"/>
          </w:tcPr>
          <w:p>
            <w:pPr>
              <w:jc w:val="right"/>
              <w:ind w:right="132"/>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(2)</w:t>
            </w:r>
          </w:p>
        </w:tc>
        <w:tc>
          <w:tcPr>
            <w:tcW w:w="0" w:type="dxa"/>
            <w:vAlign w:val="bottom"/>
          </w:tcPr>
          <w:p>
            <w:pPr>
              <w:spacing w:after="0"/>
              <w:rPr>
                <w:sz w:val="1"/>
                <w:szCs w:val="1"/>
                <w:color w:val="auto"/>
              </w:rPr>
            </w:pPr>
          </w:p>
        </w:tc>
      </w:tr>
      <w:tr>
        <w:trPr>
          <w:trHeight w:val="120"/>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Imagine Acquisitionco,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07/24/23</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11/15/27</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9.29%</w:t>
            </w:r>
          </w:p>
        </w:tc>
        <w:tc>
          <w:tcPr>
            <w:tcW w:w="13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SOFR+510</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5,452</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5,402</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5,452</w:t>
            </w:r>
          </w:p>
        </w:tc>
        <w:tc>
          <w:tcPr>
            <w:tcW w:w="0" w:type="dxa"/>
            <w:vAlign w:val="bottom"/>
          </w:tcPr>
          <w:p>
            <w:pPr>
              <w:spacing w:after="0"/>
              <w:rPr>
                <w:sz w:val="1"/>
                <w:szCs w:val="1"/>
                <w:color w:val="auto"/>
              </w:rPr>
            </w:pPr>
          </w:p>
        </w:tc>
      </w:tr>
      <w:tr>
        <w:trPr>
          <w:trHeight w:val="121"/>
        </w:trPr>
        <w:tc>
          <w:tcPr>
            <w:tcW w:w="2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w:t>
            </w:r>
          </w:p>
        </w:tc>
        <w:tc>
          <w:tcPr>
            <w:tcW w:w="8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02/07/23</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12/28/28</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Services</w:t>
            </w:r>
          </w:p>
        </w:tc>
        <w:tc>
          <w:tcPr>
            <w:tcW w:w="86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7"/>
              </w:rPr>
              <w:t>10.16%</w:t>
            </w: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SOFR+600</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13,749</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13,622</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13,749</w:t>
            </w:r>
          </w:p>
        </w:tc>
        <w:tc>
          <w:tcPr>
            <w:tcW w:w="0" w:type="dxa"/>
            <w:vAlign w:val="bottom"/>
          </w:tcPr>
          <w:p>
            <w:pPr>
              <w:spacing w:after="0"/>
              <w:rPr>
                <w:sz w:val="1"/>
                <w:szCs w:val="1"/>
                <w:color w:val="auto"/>
              </w:rPr>
            </w:pPr>
          </w:p>
        </w:tc>
      </w:tr>
      <w:tr>
        <w:trPr>
          <w:trHeight w:val="120"/>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Infolinks Media Buyco,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07/24/23</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11/01/26</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9.50%</w:t>
            </w:r>
          </w:p>
        </w:tc>
        <w:tc>
          <w:tcPr>
            <w:tcW w:w="13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SOFR+550</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13,046</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13,007</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12,981</w:t>
            </w: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Inovex Information Systems Incorporated</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03/04/25</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12/17/30</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9.25%</w:t>
            </w: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SOFR+525</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5,955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5,918</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5,955</w:t>
            </w:r>
          </w:p>
        </w:tc>
        <w:tc>
          <w:tcPr>
            <w:tcW w:w="0" w:type="dxa"/>
            <w:vAlign w:val="bottom"/>
          </w:tcPr>
          <w:p>
            <w:pPr>
              <w:spacing w:after="0"/>
              <w:rPr>
                <w:sz w:val="1"/>
                <w:szCs w:val="1"/>
                <w:color w:val="auto"/>
              </w:rPr>
            </w:pPr>
          </w:p>
        </w:tc>
      </w:tr>
      <w:tr>
        <w:trPr>
          <w:trHeight w:val="120"/>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Inventus Power,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10/10/23</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01/15/26</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6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7"/>
              </w:rPr>
              <w:t>11.78%</w:t>
            </w:r>
          </w:p>
        </w:tc>
        <w:tc>
          <w:tcPr>
            <w:tcW w:w="13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SOFR+761</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12,968</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12,934</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12,968</w:t>
            </w: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Kinetic Purchaser,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07/24/23</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11/10/27</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6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7"/>
              </w:rPr>
              <w:t>10.15%</w:t>
            </w: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SOFR+615</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13,701</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13,590</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11,646</w:t>
            </w:r>
          </w:p>
        </w:tc>
        <w:tc>
          <w:tcPr>
            <w:tcW w:w="0" w:type="dxa"/>
            <w:vAlign w:val="bottom"/>
          </w:tcPr>
          <w:p>
            <w:pPr>
              <w:spacing w:after="0"/>
              <w:rPr>
                <w:sz w:val="1"/>
                <w:szCs w:val="1"/>
                <w:color w:val="auto"/>
              </w:rPr>
            </w:pPr>
          </w:p>
        </w:tc>
      </w:tr>
      <w:tr>
        <w:trPr>
          <w:trHeight w:val="121"/>
        </w:trPr>
        <w:tc>
          <w:tcPr>
            <w:tcW w:w="220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w:t>
            </w:r>
          </w:p>
        </w:tc>
        <w:tc>
          <w:tcPr>
            <w:tcW w:w="860" w:type="dxa"/>
            <w:vAlign w:val="bottom"/>
            <w:shd w:val="clear" w:color="auto" w:fill="CCECFF"/>
          </w:tcPr>
          <w:p>
            <w:pPr>
              <w:spacing w:after="0"/>
              <w:rPr>
                <w:sz w:val="10"/>
                <w:szCs w:val="10"/>
                <w:color w:val="auto"/>
              </w:rPr>
            </w:pPr>
          </w:p>
        </w:tc>
        <w:tc>
          <w:tcPr>
            <w:tcW w:w="13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LAV Gear Holdings, Inc. - Takeback TL</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07/31/25</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07/31/29</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Pictures, Entertainment</w:t>
            </w:r>
          </w:p>
        </w:tc>
        <w:tc>
          <w:tcPr>
            <w:tcW w:w="86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7"/>
              </w:rPr>
              <w:t>10.10%</w:t>
            </w:r>
          </w:p>
        </w:tc>
        <w:tc>
          <w:tcPr>
            <w:tcW w:w="13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SOFR+594</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2,295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2,295</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2,295</w:t>
            </w:r>
          </w:p>
        </w:tc>
        <w:tc>
          <w:tcPr>
            <w:tcW w:w="0" w:type="dxa"/>
            <w:vAlign w:val="bottom"/>
          </w:tcPr>
          <w:p>
            <w:pPr>
              <w:spacing w:after="0"/>
              <w:rPr>
                <w:sz w:val="1"/>
                <w:szCs w:val="1"/>
                <w:color w:val="auto"/>
              </w:rPr>
            </w:pPr>
          </w:p>
        </w:tc>
      </w:tr>
      <w:tr>
        <w:trPr>
          <w:trHeight w:val="121"/>
        </w:trPr>
        <w:tc>
          <w:tcPr>
            <w:tcW w:w="2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w:t>
            </w:r>
          </w:p>
        </w:tc>
        <w:tc>
          <w:tcPr>
            <w:tcW w:w="8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LAV Gear Holdings, Inc. - Priority TL</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07/31/25</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07/31/29</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Pictures, Entertainment</w:t>
            </w:r>
          </w:p>
        </w:tc>
        <w:tc>
          <w:tcPr>
            <w:tcW w:w="86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7"/>
              </w:rPr>
              <w:t>10.10%</w:t>
            </w: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SOFR+594</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729</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720</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898</w:t>
            </w:r>
          </w:p>
        </w:tc>
        <w:tc>
          <w:tcPr>
            <w:tcW w:w="0" w:type="dxa"/>
            <w:vAlign w:val="bottom"/>
          </w:tcPr>
          <w:p>
            <w:pPr>
              <w:spacing w:after="0"/>
              <w:rPr>
                <w:sz w:val="1"/>
                <w:szCs w:val="1"/>
                <w:color w:val="auto"/>
              </w:rPr>
            </w:pPr>
          </w:p>
        </w:tc>
      </w:tr>
      <w:tr>
        <w:trPr>
          <w:trHeight w:val="120"/>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Lash OpCo,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03/02/22</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02/18/27</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6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7"/>
              </w:rPr>
              <w:t>12.16%</w:t>
            </w:r>
          </w:p>
        </w:tc>
        <w:tc>
          <w:tcPr>
            <w:tcW w:w="13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SOFR+785</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21,525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21,466</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20,987</w:t>
            </w:r>
          </w:p>
        </w:tc>
        <w:tc>
          <w:tcPr>
            <w:tcW w:w="0" w:type="dxa"/>
            <w:vAlign w:val="bottom"/>
          </w:tcPr>
          <w:p>
            <w:pPr>
              <w:spacing w:after="0"/>
              <w:rPr>
                <w:sz w:val="1"/>
                <w:szCs w:val="1"/>
                <w:color w:val="auto"/>
              </w:rPr>
            </w:pPr>
          </w:p>
        </w:tc>
      </w:tr>
      <w:tr>
        <w:trPr>
          <w:trHeight w:val="121"/>
        </w:trPr>
        <w:tc>
          <w:tcPr>
            <w:tcW w:w="2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w:t>
            </w:r>
          </w:p>
        </w:tc>
        <w:tc>
          <w:tcPr>
            <w:tcW w:w="8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Lightspeed Buyer,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03/02/22</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02/03/27</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Childcare</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8.75%</w:t>
            </w: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SOFR+475</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20,115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20,017</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20,115</w:t>
            </w:r>
          </w:p>
        </w:tc>
        <w:tc>
          <w:tcPr>
            <w:tcW w:w="0" w:type="dxa"/>
            <w:vAlign w:val="bottom"/>
          </w:tcPr>
          <w:p>
            <w:pPr>
              <w:spacing w:after="0"/>
              <w:rPr>
                <w:sz w:val="1"/>
                <w:szCs w:val="1"/>
                <w:color w:val="auto"/>
              </w:rPr>
            </w:pPr>
          </w:p>
        </w:tc>
      </w:tr>
      <w:tr>
        <w:trPr>
          <w:trHeight w:val="120"/>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LJ Avalon Holdings,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07/24/23</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02/01/30</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8.77%</w:t>
            </w:r>
          </w:p>
        </w:tc>
        <w:tc>
          <w:tcPr>
            <w:tcW w:w="13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SOFR+450</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7,636</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7,550</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7,636</w:t>
            </w: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MAG DS Corp.</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03/02/22</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04/01/27</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9.60%</w:t>
            </w: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SOFR+560</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8,175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7,939</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8,142</w:t>
            </w:r>
          </w:p>
        </w:tc>
        <w:tc>
          <w:tcPr>
            <w:tcW w:w="0" w:type="dxa"/>
            <w:vAlign w:val="bottom"/>
          </w:tcPr>
          <w:p>
            <w:pPr>
              <w:spacing w:after="0"/>
              <w:rPr>
                <w:sz w:val="1"/>
                <w:szCs w:val="1"/>
                <w:color w:val="auto"/>
              </w:rPr>
            </w:pPr>
          </w:p>
        </w:tc>
      </w:tr>
      <w:tr>
        <w:trPr>
          <w:trHeight w:val="120"/>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MDI Buyer,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12/20/24</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07/25/28</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8.95%</w:t>
            </w:r>
          </w:p>
        </w:tc>
        <w:tc>
          <w:tcPr>
            <w:tcW w:w="13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SOFR+475</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19,728</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19,568</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19,728</w:t>
            </w: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Marketplace Events Acquisition,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03/04/25</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12/19/30</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9.12%</w:t>
            </w: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SOFR+525</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19,900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19,727</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19,900</w:t>
            </w:r>
          </w:p>
        </w:tc>
        <w:tc>
          <w:tcPr>
            <w:tcW w:w="0" w:type="dxa"/>
            <w:vAlign w:val="bottom"/>
          </w:tcPr>
          <w:p>
            <w:pPr>
              <w:spacing w:after="0"/>
              <w:rPr>
                <w:sz w:val="1"/>
                <w:szCs w:val="1"/>
                <w:color w:val="auto"/>
              </w:rPr>
            </w:pPr>
          </w:p>
        </w:tc>
      </w:tr>
      <w:tr>
        <w:trPr>
          <w:trHeight w:val="120"/>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MBS Holdings,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03/02/22</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04/16/27</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9.30%</w:t>
            </w:r>
          </w:p>
        </w:tc>
        <w:tc>
          <w:tcPr>
            <w:tcW w:w="13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SOFR+510</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8,244</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8,197</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8,244</w:t>
            </w: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Meadowlark Acquirer,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04/01/22</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12/10/27</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9.65%</w:t>
            </w: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SOFR+565</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2,893</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2,865</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2,893</w:t>
            </w:r>
          </w:p>
        </w:tc>
        <w:tc>
          <w:tcPr>
            <w:tcW w:w="0" w:type="dxa"/>
            <w:vAlign w:val="bottom"/>
          </w:tcPr>
          <w:p>
            <w:pPr>
              <w:spacing w:after="0"/>
              <w:rPr>
                <w:sz w:val="1"/>
                <w:szCs w:val="1"/>
                <w:color w:val="auto"/>
              </w:rPr>
            </w:pPr>
          </w:p>
        </w:tc>
      </w:tr>
      <w:tr>
        <w:trPr>
          <w:trHeight w:val="121"/>
        </w:trPr>
        <w:tc>
          <w:tcPr>
            <w:tcW w:w="220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w:t>
            </w:r>
          </w:p>
        </w:tc>
        <w:tc>
          <w:tcPr>
            <w:tcW w:w="860" w:type="dxa"/>
            <w:vAlign w:val="bottom"/>
            <w:shd w:val="clear" w:color="auto" w:fill="CCECFF"/>
          </w:tcPr>
          <w:p>
            <w:pPr>
              <w:spacing w:after="0"/>
              <w:rPr>
                <w:sz w:val="10"/>
                <w:szCs w:val="10"/>
                <w:color w:val="auto"/>
              </w:rPr>
            </w:pPr>
          </w:p>
        </w:tc>
        <w:tc>
          <w:tcPr>
            <w:tcW w:w="13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Medina Health,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01/18/24</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10/20/28</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Childcare</w:t>
            </w:r>
          </w:p>
        </w:tc>
        <w:tc>
          <w:tcPr>
            <w:tcW w:w="86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7"/>
              </w:rPr>
              <w:t>10.25%</w:t>
            </w:r>
          </w:p>
        </w:tc>
        <w:tc>
          <w:tcPr>
            <w:tcW w:w="13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SOFR+625</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19,423</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19,311</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19,520</w:t>
            </w: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Megawatt Acquisitionco,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07/17/24</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03/01/30</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9.25%</w:t>
            </w: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SOFR+525</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7,880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7,788</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7,502</w:t>
            </w:r>
          </w:p>
        </w:tc>
        <w:tc>
          <w:tcPr>
            <w:tcW w:w="0" w:type="dxa"/>
            <w:vAlign w:val="bottom"/>
          </w:tcPr>
          <w:p>
            <w:pPr>
              <w:spacing w:after="0"/>
              <w:rPr>
                <w:sz w:val="1"/>
                <w:szCs w:val="1"/>
                <w:color w:val="auto"/>
              </w:rPr>
            </w:pPr>
          </w:p>
        </w:tc>
      </w:tr>
      <w:tr>
        <w:trPr>
          <w:trHeight w:val="120"/>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MOREgroup Holdings,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08/29/24</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01/16/30</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9.25%</w:t>
            </w:r>
          </w:p>
        </w:tc>
        <w:tc>
          <w:tcPr>
            <w:tcW w:w="13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SOFR+525</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19,700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19,472</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19,700</w:t>
            </w: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03/02/22</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10/01/27</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9.15%</w:t>
            </w: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SOFR+515</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9,575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9,512</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9,575</w:t>
            </w:r>
          </w:p>
        </w:tc>
        <w:tc>
          <w:tcPr>
            <w:tcW w:w="0" w:type="dxa"/>
            <w:vAlign w:val="bottom"/>
          </w:tcPr>
          <w:p>
            <w:pPr>
              <w:spacing w:after="0"/>
              <w:rPr>
                <w:sz w:val="1"/>
                <w:szCs w:val="1"/>
                <w:color w:val="auto"/>
              </w:rPr>
            </w:pPr>
          </w:p>
        </w:tc>
      </w:tr>
      <w:tr>
        <w:trPr>
          <w:trHeight w:val="121"/>
        </w:trPr>
        <w:tc>
          <w:tcPr>
            <w:tcW w:w="220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w:t>
            </w:r>
          </w:p>
        </w:tc>
        <w:tc>
          <w:tcPr>
            <w:tcW w:w="860" w:type="dxa"/>
            <w:vAlign w:val="bottom"/>
            <w:shd w:val="clear" w:color="auto" w:fill="CCECFF"/>
          </w:tcPr>
          <w:p>
            <w:pPr>
              <w:spacing w:after="0"/>
              <w:rPr>
                <w:sz w:val="10"/>
                <w:szCs w:val="10"/>
                <w:color w:val="auto"/>
              </w:rPr>
            </w:pPr>
          </w:p>
        </w:tc>
        <w:tc>
          <w:tcPr>
            <w:tcW w:w="13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NBH Group,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03/02/22</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08/19/26</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Childcare</w:t>
            </w:r>
          </w:p>
        </w:tc>
        <w:tc>
          <w:tcPr>
            <w:tcW w:w="86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7"/>
              </w:rPr>
              <w:t>10.12%</w:t>
            </w:r>
          </w:p>
        </w:tc>
        <w:tc>
          <w:tcPr>
            <w:tcW w:w="13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SOFR+585</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7,180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7,159</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7,180</w:t>
            </w:r>
          </w:p>
        </w:tc>
        <w:tc>
          <w:tcPr>
            <w:tcW w:w="0" w:type="dxa"/>
            <w:vAlign w:val="bottom"/>
          </w:tcPr>
          <w:p>
            <w:pPr>
              <w:spacing w:after="0"/>
              <w:rPr>
                <w:sz w:val="1"/>
                <w:szCs w:val="1"/>
                <w:color w:val="auto"/>
              </w:rPr>
            </w:pPr>
          </w:p>
        </w:tc>
      </w:tr>
      <w:tr>
        <w:trPr>
          <w:trHeight w:val="121"/>
        </w:trPr>
        <w:tc>
          <w:tcPr>
            <w:tcW w:w="2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w:t>
            </w:r>
          </w:p>
        </w:tc>
        <w:tc>
          <w:tcPr>
            <w:tcW w:w="8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NORA Acquisition,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11/21/23</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08/31/29</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Childcare</w:t>
            </w:r>
          </w:p>
        </w:tc>
        <w:tc>
          <w:tcPr>
            <w:tcW w:w="86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7"/>
              </w:rPr>
              <w:t>10.35%</w:t>
            </w: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SOFR+635</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20,090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19,860</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19,939</w:t>
            </w:r>
          </w:p>
        </w:tc>
        <w:tc>
          <w:tcPr>
            <w:tcW w:w="0" w:type="dxa"/>
            <w:vAlign w:val="bottom"/>
          </w:tcPr>
          <w:p>
            <w:pPr>
              <w:spacing w:after="0"/>
              <w:rPr>
                <w:sz w:val="1"/>
                <w:szCs w:val="1"/>
                <w:color w:val="auto"/>
              </w:rPr>
            </w:pPr>
          </w:p>
        </w:tc>
      </w:tr>
      <w:tr>
        <w:trPr>
          <w:trHeight w:val="120"/>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OSP Embedded Purchaser,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01/17/25</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12/17/29</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9.76%</w:t>
            </w:r>
          </w:p>
        </w:tc>
        <w:tc>
          <w:tcPr>
            <w:tcW w:w="13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SOFR+575</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18,926</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18,793</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18,661</w:t>
            </w: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Omnia Exterior Solutions,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07/25/24</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12/29/29</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9.26%</w:t>
            </w: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SOFR+525</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17,982</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17,766</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17,622</w:t>
            </w:r>
          </w:p>
        </w:tc>
        <w:tc>
          <w:tcPr>
            <w:tcW w:w="0" w:type="dxa"/>
            <w:vAlign w:val="bottom"/>
          </w:tcPr>
          <w:p>
            <w:pPr>
              <w:spacing w:after="0"/>
              <w:rPr>
                <w:sz w:val="1"/>
                <w:szCs w:val="1"/>
                <w:color w:val="auto"/>
              </w:rPr>
            </w:pPr>
          </w:p>
        </w:tc>
      </w:tr>
      <w:tr>
        <w:trPr>
          <w:trHeight w:val="120"/>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One Stop Mailing,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06/07/23</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05/07/27</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86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7"/>
              </w:rPr>
              <w:t>10.53%</w:t>
            </w:r>
          </w:p>
        </w:tc>
        <w:tc>
          <w:tcPr>
            <w:tcW w:w="13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SOFR+636</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8,274</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8,199</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8,274</w:t>
            </w: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PCS Midco,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08/29/24</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03/01/30</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9.75%</w:t>
            </w: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SOFR+575</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5,753</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5,688</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5,753</w:t>
            </w:r>
          </w:p>
        </w:tc>
        <w:tc>
          <w:tcPr>
            <w:tcW w:w="0" w:type="dxa"/>
            <w:vAlign w:val="bottom"/>
          </w:tcPr>
          <w:p>
            <w:pPr>
              <w:spacing w:after="0"/>
              <w:rPr>
                <w:sz w:val="1"/>
                <w:szCs w:val="1"/>
                <w:color w:val="auto"/>
              </w:rPr>
            </w:pPr>
          </w:p>
        </w:tc>
      </w:tr>
      <w:tr>
        <w:trPr>
          <w:trHeight w:val="120"/>
        </w:trPr>
        <w:tc>
          <w:tcPr>
            <w:tcW w:w="22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Pink Lily Holdco, LLC </w:t>
            </w:r>
            <w:r>
              <w:rPr>
                <w:rFonts w:ascii="Times New Roman" w:cs="Times New Roman" w:eastAsia="Times New Roman" w:hAnsi="Times New Roman"/>
                <w:sz w:val="12"/>
                <w:szCs w:val="12"/>
                <w:color w:val="auto"/>
                <w:vertAlign w:val="superscript"/>
              </w:rPr>
              <w:t>(5)</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04/01/22</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11/09/27</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Retail</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4.27%</w:t>
            </w:r>
          </w:p>
        </w:tc>
        <w:tc>
          <w:tcPr>
            <w:tcW w:w="1320" w:type="dxa"/>
            <w:vAlign w:val="bottom"/>
            <w:shd w:val="clear" w:color="auto" w:fill="CCECFF"/>
          </w:tcPr>
          <w:p>
            <w:pPr>
              <w:spacing w:after="0"/>
              <w:rPr>
                <w:sz w:val="10"/>
                <w:szCs w:val="10"/>
                <w:color w:val="auto"/>
              </w:rPr>
            </w:pP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8,761</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8,699</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3,504</w:t>
            </w: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Pacific Purchaser,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03/21/24</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10/02/28</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7"/>
              </w:rPr>
              <w:t>10.42%</w:t>
            </w: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SOFR+625</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12,773</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12,602</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12,721</w:t>
            </w:r>
          </w:p>
        </w:tc>
        <w:tc>
          <w:tcPr>
            <w:tcW w:w="0" w:type="dxa"/>
            <w:vAlign w:val="bottom"/>
          </w:tcPr>
          <w:p>
            <w:pPr>
              <w:spacing w:after="0"/>
              <w:rPr>
                <w:sz w:val="1"/>
                <w:szCs w:val="1"/>
                <w:color w:val="auto"/>
              </w:rPr>
            </w:pPr>
          </w:p>
        </w:tc>
      </w:tr>
      <w:tr>
        <w:trPr>
          <w:trHeight w:val="121"/>
        </w:trPr>
        <w:tc>
          <w:tcPr>
            <w:tcW w:w="220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w:t>
            </w:r>
          </w:p>
        </w:tc>
        <w:tc>
          <w:tcPr>
            <w:tcW w:w="860" w:type="dxa"/>
            <w:vAlign w:val="bottom"/>
            <w:shd w:val="clear" w:color="auto" w:fill="CCECFF"/>
          </w:tcPr>
          <w:p>
            <w:pPr>
              <w:spacing w:after="0"/>
              <w:rPr>
                <w:sz w:val="10"/>
                <w:szCs w:val="10"/>
                <w:color w:val="auto"/>
              </w:rPr>
            </w:pPr>
          </w:p>
        </w:tc>
        <w:tc>
          <w:tcPr>
            <w:tcW w:w="1320" w:type="dxa"/>
            <w:vAlign w:val="bottom"/>
            <w:vMerge w:val="restart"/>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SOFR+500</w:t>
            </w:r>
          </w:p>
        </w:tc>
        <w:tc>
          <w:tcPr>
            <w:tcW w:w="90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20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0"/>
                <w:szCs w:val="10"/>
                <w:color w:val="auto"/>
              </w:rPr>
              <w:t>PAR Excellence Holdings, Inc.</w:t>
            </w:r>
          </w:p>
        </w:tc>
        <w:tc>
          <w:tcPr>
            <w:tcW w:w="9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11/26/24</w:t>
            </w:r>
          </w:p>
        </w:tc>
        <w:tc>
          <w:tcPr>
            <w:tcW w:w="8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09/03/30</w:t>
            </w:r>
          </w:p>
        </w:tc>
        <w:tc>
          <w:tcPr>
            <w:tcW w:w="16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Childcare</w:t>
            </w:r>
          </w:p>
        </w:tc>
        <w:tc>
          <w:tcPr>
            <w:tcW w:w="860" w:type="dxa"/>
            <w:vAlign w:val="bottom"/>
            <w:vMerge w:val="restart"/>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9.17%</w:t>
            </w:r>
          </w:p>
        </w:tc>
        <w:tc>
          <w:tcPr>
            <w:tcW w:w="1320" w:type="dxa"/>
            <w:vAlign w:val="bottom"/>
            <w:vMerge w:val="continue"/>
            <w:shd w:val="clear" w:color="auto" w:fill="CCECFF"/>
          </w:tcPr>
          <w:p>
            <w:pPr>
              <w:spacing w:after="0"/>
              <w:rPr>
                <w:sz w:val="3"/>
                <w:szCs w:val="3"/>
                <w:color w:val="auto"/>
              </w:rPr>
            </w:pPr>
          </w:p>
        </w:tc>
        <w:tc>
          <w:tcPr>
            <w:tcW w:w="900" w:type="dxa"/>
            <w:vAlign w:val="bottom"/>
            <w:vMerge w:val="restart"/>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9,925</w:t>
            </w:r>
          </w:p>
        </w:tc>
        <w:tc>
          <w:tcPr>
            <w:tcW w:w="780" w:type="dxa"/>
            <w:vAlign w:val="bottom"/>
            <w:vMerge w:val="restart"/>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9,842</w:t>
            </w:r>
          </w:p>
        </w:tc>
        <w:tc>
          <w:tcPr>
            <w:tcW w:w="1060" w:type="dxa"/>
            <w:vAlign w:val="bottom"/>
            <w:vMerge w:val="restart"/>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9,751</w:t>
            </w:r>
          </w:p>
        </w:tc>
        <w:tc>
          <w:tcPr>
            <w:tcW w:w="0" w:type="dxa"/>
            <w:vAlign w:val="bottom"/>
          </w:tcPr>
          <w:p>
            <w:pPr>
              <w:spacing w:after="0" w:line="20" w:lineRule="exact"/>
              <w:rPr>
                <w:sz w:val="1"/>
                <w:szCs w:val="1"/>
                <w:color w:val="auto"/>
              </w:rPr>
            </w:pPr>
          </w:p>
        </w:tc>
      </w:tr>
      <w:tr>
        <w:trPr>
          <w:trHeight w:val="80"/>
        </w:trPr>
        <w:tc>
          <w:tcPr>
            <w:tcW w:w="2200" w:type="dxa"/>
            <w:vAlign w:val="bottom"/>
            <w:vMerge w:val="continue"/>
            <w:shd w:val="clear" w:color="auto" w:fill="CCECFF"/>
          </w:tcPr>
          <w:p>
            <w:pPr>
              <w:spacing w:after="0"/>
              <w:rPr>
                <w:sz w:val="6"/>
                <w:szCs w:val="6"/>
                <w:color w:val="auto"/>
              </w:rPr>
            </w:pPr>
          </w:p>
        </w:tc>
        <w:tc>
          <w:tcPr>
            <w:tcW w:w="940" w:type="dxa"/>
            <w:vAlign w:val="bottom"/>
            <w:vMerge w:val="continue"/>
            <w:shd w:val="clear" w:color="auto" w:fill="CCECFF"/>
          </w:tcPr>
          <w:p>
            <w:pPr>
              <w:spacing w:after="0"/>
              <w:rPr>
                <w:sz w:val="6"/>
                <w:szCs w:val="6"/>
                <w:color w:val="auto"/>
              </w:rPr>
            </w:pPr>
          </w:p>
        </w:tc>
        <w:tc>
          <w:tcPr>
            <w:tcW w:w="860" w:type="dxa"/>
            <w:vAlign w:val="bottom"/>
            <w:vMerge w:val="continue"/>
            <w:shd w:val="clear" w:color="auto" w:fill="CCECFF"/>
          </w:tcPr>
          <w:p>
            <w:pPr>
              <w:spacing w:after="0"/>
              <w:rPr>
                <w:sz w:val="6"/>
                <w:szCs w:val="6"/>
                <w:color w:val="auto"/>
              </w:rPr>
            </w:pPr>
          </w:p>
        </w:tc>
        <w:tc>
          <w:tcPr>
            <w:tcW w:w="1640" w:type="dxa"/>
            <w:vAlign w:val="bottom"/>
            <w:vMerge w:val="continue"/>
            <w:shd w:val="clear" w:color="auto" w:fill="CCECFF"/>
          </w:tcPr>
          <w:p>
            <w:pPr>
              <w:spacing w:after="0"/>
              <w:rPr>
                <w:sz w:val="6"/>
                <w:szCs w:val="6"/>
                <w:color w:val="auto"/>
              </w:rPr>
            </w:pPr>
          </w:p>
        </w:tc>
        <w:tc>
          <w:tcPr>
            <w:tcW w:w="860" w:type="dxa"/>
            <w:vAlign w:val="bottom"/>
            <w:vMerge w:val="continue"/>
            <w:shd w:val="clear" w:color="auto" w:fill="CCECFF"/>
          </w:tcPr>
          <w:p>
            <w:pPr>
              <w:spacing w:after="0"/>
              <w:rPr>
                <w:sz w:val="6"/>
                <w:szCs w:val="6"/>
                <w:color w:val="auto"/>
              </w:rPr>
            </w:pPr>
          </w:p>
        </w:tc>
        <w:tc>
          <w:tcPr>
            <w:tcW w:w="1320" w:type="dxa"/>
            <w:vAlign w:val="bottom"/>
            <w:shd w:val="clear" w:color="auto" w:fill="CCECFF"/>
          </w:tcPr>
          <w:p>
            <w:pPr>
              <w:spacing w:after="0"/>
              <w:rPr>
                <w:sz w:val="6"/>
                <w:szCs w:val="6"/>
                <w:color w:val="auto"/>
              </w:rPr>
            </w:pPr>
          </w:p>
        </w:tc>
        <w:tc>
          <w:tcPr>
            <w:tcW w:w="900" w:type="dxa"/>
            <w:vAlign w:val="bottom"/>
            <w:vMerge w:val="continue"/>
            <w:shd w:val="clear" w:color="auto" w:fill="CCECFF"/>
          </w:tcPr>
          <w:p>
            <w:pPr>
              <w:spacing w:after="0"/>
              <w:rPr>
                <w:sz w:val="6"/>
                <w:szCs w:val="6"/>
                <w:color w:val="auto"/>
              </w:rPr>
            </w:pPr>
          </w:p>
        </w:tc>
        <w:tc>
          <w:tcPr>
            <w:tcW w:w="780" w:type="dxa"/>
            <w:vAlign w:val="bottom"/>
            <w:vMerge w:val="continue"/>
            <w:shd w:val="clear" w:color="auto" w:fill="CCECFF"/>
          </w:tcPr>
          <w:p>
            <w:pPr>
              <w:spacing w:after="0"/>
              <w:rPr>
                <w:sz w:val="6"/>
                <w:szCs w:val="6"/>
                <w:color w:val="auto"/>
              </w:rPr>
            </w:pPr>
          </w:p>
        </w:tc>
        <w:tc>
          <w:tcPr>
            <w:tcW w:w="1060" w:type="dxa"/>
            <w:vAlign w:val="bottom"/>
            <w:vMerge w:val="continue"/>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Project Granite Buyer,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07/21/25</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12/31/30</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9.75%</w:t>
            </w: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SOFR+575</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5,955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5,903</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6,015</w:t>
            </w:r>
          </w:p>
        </w:tc>
        <w:tc>
          <w:tcPr>
            <w:tcW w:w="0" w:type="dxa"/>
            <w:vAlign w:val="bottom"/>
          </w:tcPr>
          <w:p>
            <w:pPr>
              <w:spacing w:after="0"/>
              <w:rPr>
                <w:sz w:val="1"/>
                <w:szCs w:val="1"/>
                <w:color w:val="auto"/>
              </w:rPr>
            </w:pPr>
          </w:p>
        </w:tc>
      </w:tr>
      <w:tr>
        <w:trPr>
          <w:trHeight w:val="120"/>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RRA Corporate,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12/23/24</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08/15/29</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9.25%</w:t>
            </w:r>
          </w:p>
        </w:tc>
        <w:tc>
          <w:tcPr>
            <w:tcW w:w="13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SOFR+525</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3,960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3,930</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3,936</w:t>
            </w: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07/23/24</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05/03/29</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9.75%</w:t>
            </w: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SOFR+575</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24,700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24,365</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24,453</w:t>
            </w:r>
          </w:p>
        </w:tc>
        <w:tc>
          <w:tcPr>
            <w:tcW w:w="0" w:type="dxa"/>
            <w:vAlign w:val="bottom"/>
          </w:tcPr>
          <w:p>
            <w:pPr>
              <w:spacing w:after="0"/>
              <w:rPr>
                <w:sz w:val="1"/>
                <w:szCs w:val="1"/>
                <w:color w:val="auto"/>
              </w:rPr>
            </w:pPr>
          </w:p>
        </w:tc>
      </w:tr>
      <w:tr>
        <w:trPr>
          <w:trHeight w:val="120"/>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Radius Aerospace,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11/06/19</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03/29/27</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6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7"/>
              </w:rPr>
              <w:t>10.45%</w:t>
            </w:r>
          </w:p>
        </w:tc>
        <w:tc>
          <w:tcPr>
            <w:tcW w:w="13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SOFR+615</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11,780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11,714</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11,515</w:t>
            </w:r>
          </w:p>
        </w:tc>
        <w:tc>
          <w:tcPr>
            <w:tcW w:w="0" w:type="dxa"/>
            <w:vAlign w:val="bottom"/>
          </w:tcPr>
          <w:p>
            <w:pPr>
              <w:spacing w:after="0"/>
              <w:rPr>
                <w:sz w:val="1"/>
                <w:szCs w:val="1"/>
                <w:color w:val="auto"/>
              </w:rPr>
            </w:pPr>
          </w:p>
        </w:tc>
      </w:tr>
      <w:tr>
        <w:trPr>
          <w:trHeight w:val="121"/>
        </w:trPr>
        <w:tc>
          <w:tcPr>
            <w:tcW w:w="2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w:t>
            </w:r>
          </w:p>
        </w:tc>
        <w:tc>
          <w:tcPr>
            <w:tcW w:w="8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Rancho Health MSO,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03/02/22</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06/20/29</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Childcare</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9.29%</w:t>
            </w: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SOFR+500</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22,704</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22,631</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22,704</w:t>
            </w:r>
          </w:p>
        </w:tc>
        <w:tc>
          <w:tcPr>
            <w:tcW w:w="0" w:type="dxa"/>
            <w:vAlign w:val="bottom"/>
          </w:tcPr>
          <w:p>
            <w:pPr>
              <w:spacing w:after="0"/>
              <w:rPr>
                <w:sz w:val="1"/>
                <w:szCs w:val="1"/>
                <w:color w:val="auto"/>
              </w:rPr>
            </w:pPr>
          </w:p>
        </w:tc>
      </w:tr>
      <w:tr>
        <w:trPr>
          <w:trHeight w:val="120"/>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Recteq,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06/26/24</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01/29/26</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6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7"/>
              </w:rPr>
              <w:t>10.40%</w:t>
            </w:r>
          </w:p>
        </w:tc>
        <w:tc>
          <w:tcPr>
            <w:tcW w:w="13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SOFR+640</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9,550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9,537</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9,526</w:t>
            </w:r>
          </w:p>
        </w:tc>
        <w:tc>
          <w:tcPr>
            <w:tcW w:w="0" w:type="dxa"/>
            <w:vAlign w:val="bottom"/>
          </w:tcPr>
          <w:p>
            <w:pPr>
              <w:spacing w:after="0"/>
              <w:rPr>
                <w:sz w:val="1"/>
                <w:szCs w:val="1"/>
                <w:color w:val="auto"/>
              </w:rPr>
            </w:pPr>
          </w:p>
        </w:tc>
      </w:tr>
      <w:tr>
        <w:trPr>
          <w:trHeight w:val="121"/>
        </w:trPr>
        <w:tc>
          <w:tcPr>
            <w:tcW w:w="2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w:t>
            </w:r>
          </w:p>
        </w:tc>
        <w:tc>
          <w:tcPr>
            <w:tcW w:w="8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Riverpoint Medical,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03/02/22</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06/21/27</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Childcare</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8.75%</w:t>
            </w: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SOFR+475</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3,891</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3,861</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3,891</w:t>
            </w:r>
          </w:p>
        </w:tc>
        <w:tc>
          <w:tcPr>
            <w:tcW w:w="0" w:type="dxa"/>
            <w:vAlign w:val="bottom"/>
          </w:tcPr>
          <w:p>
            <w:pPr>
              <w:spacing w:after="0"/>
              <w:rPr>
                <w:sz w:val="1"/>
                <w:szCs w:val="1"/>
                <w:color w:val="auto"/>
              </w:rPr>
            </w:pPr>
          </w:p>
        </w:tc>
      </w:tr>
      <w:tr>
        <w:trPr>
          <w:trHeight w:val="120"/>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Ro Health,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04/03/25</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01/17/31</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Providers &amp; Services</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8.50%</w:t>
            </w:r>
          </w:p>
        </w:tc>
        <w:tc>
          <w:tcPr>
            <w:tcW w:w="13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SOFR+450</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9,308</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9,249</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9,308</w:t>
            </w: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Rural Sourcing Holdings,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07/24/23</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06/16/29</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9.92%</w:t>
            </w: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SOFR+575</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5,435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5,367</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4,891</w:t>
            </w:r>
          </w:p>
        </w:tc>
        <w:tc>
          <w:tcPr>
            <w:tcW w:w="0" w:type="dxa"/>
            <w:vAlign w:val="bottom"/>
          </w:tcPr>
          <w:p>
            <w:pPr>
              <w:spacing w:after="0"/>
              <w:rPr>
                <w:sz w:val="1"/>
                <w:szCs w:val="1"/>
                <w:color w:val="auto"/>
              </w:rPr>
            </w:pPr>
          </w:p>
        </w:tc>
      </w:tr>
      <w:tr>
        <w:trPr>
          <w:trHeight w:val="120"/>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Sabel Systems Technology Solutions,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01/07/25</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10/31/30</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9.91%</w:t>
            </w:r>
          </w:p>
        </w:tc>
        <w:tc>
          <w:tcPr>
            <w:tcW w:w="13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SOFR+575</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11,910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11,813</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11,910</w:t>
            </w: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Sales Benchmark Index,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03/02/22</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07/07/26</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7"/>
              </w:rPr>
              <w:t>10.20%</w:t>
            </w: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SOFR+620</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6,617</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6,597</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6,617</w:t>
            </w:r>
          </w:p>
        </w:tc>
        <w:tc>
          <w:tcPr>
            <w:tcW w:w="0" w:type="dxa"/>
            <w:vAlign w:val="bottom"/>
          </w:tcPr>
          <w:p>
            <w:pPr>
              <w:spacing w:after="0"/>
              <w:rPr>
                <w:sz w:val="1"/>
                <w:szCs w:val="1"/>
                <w:color w:val="auto"/>
              </w:rPr>
            </w:pPr>
          </w:p>
        </w:tc>
      </w:tr>
      <w:tr>
        <w:trPr>
          <w:trHeight w:val="120"/>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Seacoast Service Partners NA,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07/21/25</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12/20/29</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9.00%</w:t>
            </w:r>
          </w:p>
        </w:tc>
        <w:tc>
          <w:tcPr>
            <w:tcW w:w="13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SOFR+500</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4,963</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4,926</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4,759</w:t>
            </w: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Seaway Buyer,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09/14/22</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06/13/29</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860" w:type="dxa"/>
            <w:vAlign w:val="bottom"/>
          </w:tcPr>
          <w:p>
            <w:pPr>
              <w:jc w:val="center"/>
              <w:ind w:right="71"/>
              <w:spacing w:after="0"/>
              <w:rPr>
                <w:sz w:val="20"/>
                <w:szCs w:val="20"/>
                <w:color w:val="auto"/>
              </w:rPr>
            </w:pPr>
            <w:r>
              <w:rPr>
                <w:rFonts w:ascii="Times New Roman" w:cs="Times New Roman" w:eastAsia="Times New Roman" w:hAnsi="Times New Roman"/>
                <w:sz w:val="10"/>
                <w:szCs w:val="10"/>
                <w:color w:val="auto"/>
                <w:w w:val="97"/>
              </w:rPr>
              <w:t>10.15%</w:t>
            </w: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SOFR+615</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14,550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14,394</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13,568</w:t>
            </w:r>
          </w:p>
        </w:tc>
        <w:tc>
          <w:tcPr>
            <w:tcW w:w="0" w:type="dxa"/>
            <w:vAlign w:val="bottom"/>
          </w:tcPr>
          <w:p>
            <w:pPr>
              <w:spacing w:after="0"/>
              <w:rPr>
                <w:sz w:val="1"/>
                <w:szCs w:val="1"/>
                <w:color w:val="auto"/>
              </w:rPr>
            </w:pPr>
          </w:p>
        </w:tc>
      </w:tr>
      <w:tr>
        <w:trPr>
          <w:trHeight w:val="120"/>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Sigma Defense Systems,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12/01/23</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12/20/27</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86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7"/>
              </w:rPr>
              <w:t>10.31%</w:t>
            </w:r>
          </w:p>
        </w:tc>
        <w:tc>
          <w:tcPr>
            <w:tcW w:w="13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SOFR+615</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23,904</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23,741</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23,904</w:t>
            </w: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SpendMend Holdings,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07/24/23</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03/01/28</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9.15%</w:t>
            </w: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SOFR+515</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9,412</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9,261</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9,412</w:t>
            </w:r>
          </w:p>
        </w:tc>
        <w:tc>
          <w:tcPr>
            <w:tcW w:w="0" w:type="dxa"/>
            <w:vAlign w:val="bottom"/>
          </w:tcPr>
          <w:p>
            <w:pPr>
              <w:spacing w:after="0"/>
              <w:rPr>
                <w:sz w:val="1"/>
                <w:szCs w:val="1"/>
                <w:color w:val="auto"/>
              </w:rPr>
            </w:pPr>
          </w:p>
        </w:tc>
      </w:tr>
      <w:tr>
        <w:trPr>
          <w:trHeight w:val="121"/>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STG Distribution, LLC - First Out New Money Term</w:t>
            </w:r>
          </w:p>
        </w:tc>
        <w:tc>
          <w:tcPr>
            <w:tcW w:w="94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164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13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Loans</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10/03/24</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10/03/29</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86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7"/>
              </w:rPr>
              <w:t>12.57%</w:t>
            </w:r>
          </w:p>
        </w:tc>
        <w:tc>
          <w:tcPr>
            <w:tcW w:w="13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SOFR+835</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1,986</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1,895</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1,768</w:t>
            </w:r>
          </w:p>
        </w:tc>
        <w:tc>
          <w:tcPr>
            <w:tcW w:w="0" w:type="dxa"/>
            <w:vAlign w:val="bottom"/>
          </w:tcPr>
          <w:p>
            <w:pPr>
              <w:spacing w:after="0"/>
              <w:rPr>
                <w:sz w:val="1"/>
                <w:szCs w:val="1"/>
                <w:color w:val="auto"/>
              </w:rPr>
            </w:pPr>
          </w:p>
        </w:tc>
      </w:tr>
      <w:tr>
        <w:trPr>
          <w:trHeight w:val="120"/>
        </w:trPr>
        <w:tc>
          <w:tcPr>
            <w:tcW w:w="2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STG Distribution, LLC - Second Out Term Loans </w:t>
            </w:r>
            <w:r>
              <w:rPr>
                <w:rFonts w:ascii="Times New Roman" w:cs="Times New Roman" w:eastAsia="Times New Roman" w:hAnsi="Times New Roman"/>
                <w:sz w:val="12"/>
                <w:szCs w:val="12"/>
                <w:color w:val="auto"/>
                <w:vertAlign w:val="superscript"/>
              </w:rPr>
              <w:t>(5)</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10/03/24</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10/03/29</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5.32%</w:t>
            </w:r>
          </w:p>
        </w:tc>
        <w:tc>
          <w:tcPr>
            <w:tcW w:w="1320" w:type="dxa"/>
            <w:vAlign w:val="bottom"/>
          </w:tcPr>
          <w:p>
            <w:pPr>
              <w:spacing w:after="0"/>
              <w:rPr>
                <w:sz w:val="10"/>
                <w:szCs w:val="10"/>
                <w:color w:val="auto"/>
              </w:rPr>
            </w:pP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4,566</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2,594</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365</w:t>
            </w:r>
          </w:p>
        </w:tc>
        <w:tc>
          <w:tcPr>
            <w:tcW w:w="0" w:type="dxa"/>
            <w:vAlign w:val="bottom"/>
          </w:tcPr>
          <w:p>
            <w:pPr>
              <w:spacing w:after="0"/>
              <w:rPr>
                <w:sz w:val="1"/>
                <w:szCs w:val="1"/>
                <w:color w:val="auto"/>
              </w:rPr>
            </w:pPr>
          </w:p>
        </w:tc>
      </w:tr>
      <w:tr>
        <w:trPr>
          <w:trHeight w:val="120"/>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SV-Aero Holdings,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10/31/24</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11/01/30</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9.00%</w:t>
            </w:r>
          </w:p>
        </w:tc>
        <w:tc>
          <w:tcPr>
            <w:tcW w:w="13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SOFR+500</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14,719</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14,656</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14,719</w:t>
            </w: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Systems Planning And Analysis,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03/02/22</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08/16/27</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8.92%</w:t>
            </w: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SOFR+475</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16,919</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16,816</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16,784</w:t>
            </w:r>
          </w:p>
        </w:tc>
        <w:tc>
          <w:tcPr>
            <w:tcW w:w="0" w:type="dxa"/>
            <w:vAlign w:val="bottom"/>
          </w:tcPr>
          <w:p>
            <w:pPr>
              <w:spacing w:after="0"/>
              <w:rPr>
                <w:sz w:val="1"/>
                <w:szCs w:val="1"/>
                <w:color w:val="auto"/>
              </w:rPr>
            </w:pPr>
          </w:p>
        </w:tc>
      </w:tr>
      <w:tr>
        <w:trPr>
          <w:trHeight w:val="120"/>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TCG 3.0 Jogger Acquisitionco,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02/27/24</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01/23/29</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6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7"/>
              </w:rPr>
              <w:t>10.52%</w:t>
            </w:r>
          </w:p>
        </w:tc>
        <w:tc>
          <w:tcPr>
            <w:tcW w:w="13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SOFR+650</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9,850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9,732</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9,801</w:t>
            </w:r>
          </w:p>
        </w:tc>
        <w:tc>
          <w:tcPr>
            <w:tcW w:w="0" w:type="dxa"/>
            <w:vAlign w:val="bottom"/>
          </w:tcPr>
          <w:p>
            <w:pPr>
              <w:spacing w:after="0"/>
              <w:rPr>
                <w:sz w:val="1"/>
                <w:szCs w:val="1"/>
                <w:color w:val="auto"/>
              </w:rPr>
            </w:pPr>
          </w:p>
        </w:tc>
      </w:tr>
      <w:tr>
        <w:trPr>
          <w:trHeight w:val="121"/>
        </w:trPr>
        <w:tc>
          <w:tcPr>
            <w:tcW w:w="2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w:t>
            </w:r>
          </w:p>
        </w:tc>
        <w:tc>
          <w:tcPr>
            <w:tcW w:w="8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TMII Enterprises,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07/24/23</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12/22/28</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Services</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8.66%</w:t>
            </w: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SOFR+450</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19,878</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19,692</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19,878</w:t>
            </w:r>
          </w:p>
        </w:tc>
        <w:tc>
          <w:tcPr>
            <w:tcW w:w="0" w:type="dxa"/>
            <w:vAlign w:val="bottom"/>
          </w:tcPr>
          <w:p>
            <w:pPr>
              <w:spacing w:after="0"/>
              <w:rPr>
                <w:sz w:val="1"/>
                <w:szCs w:val="1"/>
                <w:color w:val="auto"/>
              </w:rPr>
            </w:pPr>
          </w:p>
        </w:tc>
      </w:tr>
      <w:tr>
        <w:trPr>
          <w:trHeight w:val="120"/>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TPC US Parent,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03/02/22</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11/24/25</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86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7"/>
              </w:rPr>
              <w:t>10.19%</w:t>
            </w:r>
          </w:p>
        </w:tc>
        <w:tc>
          <w:tcPr>
            <w:tcW w:w="13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SOFR+590</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11,275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11,269</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11,185</w:t>
            </w:r>
          </w:p>
        </w:tc>
        <w:tc>
          <w:tcPr>
            <w:tcW w:w="0" w:type="dxa"/>
            <w:vAlign w:val="bottom"/>
          </w:tcPr>
          <w:p>
            <w:pPr>
              <w:spacing w:after="0"/>
              <w:rPr>
                <w:sz w:val="1"/>
                <w:szCs w:val="1"/>
                <w:color w:val="auto"/>
              </w:rPr>
            </w:pPr>
          </w:p>
        </w:tc>
      </w:tr>
      <w:tr>
        <w:trPr>
          <w:trHeight w:val="121"/>
        </w:trPr>
        <w:tc>
          <w:tcPr>
            <w:tcW w:w="2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w:t>
            </w:r>
          </w:p>
        </w:tc>
        <w:tc>
          <w:tcPr>
            <w:tcW w:w="8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Team Services Group,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07/24/23</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12/20/27</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Childcare</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9.56%</w:t>
            </w: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SOFR+525</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9,588</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9,434</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9,548</w:t>
            </w:r>
          </w:p>
        </w:tc>
        <w:tc>
          <w:tcPr>
            <w:tcW w:w="0" w:type="dxa"/>
            <w:vAlign w:val="bottom"/>
          </w:tcPr>
          <w:p>
            <w:pPr>
              <w:spacing w:after="0"/>
              <w:rPr>
                <w:sz w:val="1"/>
                <w:szCs w:val="1"/>
                <w:color w:val="auto"/>
              </w:rPr>
            </w:pPr>
          </w:p>
        </w:tc>
      </w:tr>
      <w:tr>
        <w:trPr>
          <w:trHeight w:val="120"/>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The Bluebird Group,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03/02/22</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07/28/26</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9.90%</w:t>
            </w:r>
          </w:p>
        </w:tc>
        <w:tc>
          <w:tcPr>
            <w:tcW w:w="13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SOFR+590</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16,348</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16,306</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16,348</w:t>
            </w: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The Vertex Companies,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03/02/22</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08/31/28</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8.93%</w:t>
            </w: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SOFR+475</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14,480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14,393</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14,408</w:t>
            </w:r>
          </w:p>
        </w:tc>
        <w:tc>
          <w:tcPr>
            <w:tcW w:w="0" w:type="dxa"/>
            <w:vAlign w:val="bottom"/>
          </w:tcPr>
          <w:p>
            <w:pPr>
              <w:spacing w:after="0"/>
              <w:rPr>
                <w:sz w:val="1"/>
                <w:szCs w:val="1"/>
                <w:color w:val="auto"/>
              </w:rPr>
            </w:pPr>
          </w:p>
        </w:tc>
      </w:tr>
      <w:tr>
        <w:trPr>
          <w:trHeight w:val="120"/>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Transgo,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06/07/24</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12/29/28</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Auto Sector</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9.91%</w:t>
            </w:r>
          </w:p>
        </w:tc>
        <w:tc>
          <w:tcPr>
            <w:tcW w:w="13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SOFR+575</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16,363</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16,215</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16,486</w:t>
            </w: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Tyto Athene,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03/02/22</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04/01/28</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9.19%</w:t>
            </w: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SOFR+490</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11,342</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11,271</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11,058</w:t>
            </w:r>
          </w:p>
        </w:tc>
        <w:tc>
          <w:tcPr>
            <w:tcW w:w="0" w:type="dxa"/>
            <w:vAlign w:val="bottom"/>
          </w:tcPr>
          <w:p>
            <w:pPr>
              <w:spacing w:after="0"/>
              <w:rPr>
                <w:sz w:val="1"/>
                <w:szCs w:val="1"/>
                <w:color w:val="auto"/>
              </w:rPr>
            </w:pPr>
          </w:p>
        </w:tc>
      </w:tr>
      <w:tr>
        <w:trPr>
          <w:trHeight w:val="121"/>
        </w:trPr>
        <w:tc>
          <w:tcPr>
            <w:tcW w:w="220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w:t>
            </w:r>
          </w:p>
        </w:tc>
        <w:tc>
          <w:tcPr>
            <w:tcW w:w="860" w:type="dxa"/>
            <w:vAlign w:val="bottom"/>
            <w:shd w:val="clear" w:color="auto" w:fill="CCECFF"/>
          </w:tcPr>
          <w:p>
            <w:pPr>
              <w:spacing w:after="0"/>
              <w:rPr>
                <w:sz w:val="10"/>
                <w:szCs w:val="10"/>
                <w:color w:val="auto"/>
              </w:rPr>
            </w:pPr>
          </w:p>
        </w:tc>
        <w:tc>
          <w:tcPr>
            <w:tcW w:w="13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07/24/23</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06/15/27</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Childcare</w:t>
            </w:r>
          </w:p>
        </w:tc>
        <w:tc>
          <w:tcPr>
            <w:tcW w:w="860" w:type="dxa"/>
            <w:vAlign w:val="bottom"/>
            <w:shd w:val="clear" w:color="auto" w:fill="CCECFF"/>
          </w:tcPr>
          <w:p>
            <w:pPr>
              <w:jc w:val="center"/>
              <w:ind w:right="91"/>
              <w:spacing w:after="0"/>
              <w:rPr>
                <w:sz w:val="20"/>
                <w:szCs w:val="20"/>
                <w:color w:val="auto"/>
              </w:rPr>
            </w:pPr>
            <w:r>
              <w:rPr>
                <w:rFonts w:ascii="Times New Roman" w:cs="Times New Roman" w:eastAsia="Times New Roman" w:hAnsi="Times New Roman"/>
                <w:sz w:val="10"/>
                <w:szCs w:val="10"/>
                <w:color w:val="auto"/>
                <w:w w:val="92"/>
              </w:rPr>
              <w:t>9.66%</w:t>
            </w:r>
          </w:p>
        </w:tc>
        <w:tc>
          <w:tcPr>
            <w:tcW w:w="13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SOFR+550</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12,380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12,333</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12,380</w:t>
            </w:r>
          </w:p>
        </w:tc>
        <w:tc>
          <w:tcPr>
            <w:tcW w:w="0" w:type="dxa"/>
            <w:vAlign w:val="bottom"/>
          </w:tcPr>
          <w:p>
            <w:pPr>
              <w:spacing w:after="0"/>
              <w:rPr>
                <w:sz w:val="1"/>
                <w:szCs w:val="1"/>
                <w:color w:val="auto"/>
              </w:rPr>
            </w:pPr>
          </w:p>
        </w:tc>
      </w:tr>
      <w:tr>
        <w:trPr>
          <w:trHeight w:val="120"/>
        </w:trPr>
        <w:tc>
          <w:tcPr>
            <w:tcW w:w="2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w:t>
            </w:r>
          </w:p>
        </w:tc>
        <w:tc>
          <w:tcPr>
            <w:tcW w:w="8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US Fertility Enterprises,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09/03/25</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10/11/31</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Childcare</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8.67%</w:t>
            </w: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SOFR+450</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4,975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4,931</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4,975</w:t>
            </w:r>
          </w:p>
        </w:tc>
        <w:tc>
          <w:tcPr>
            <w:tcW w:w="0" w:type="dxa"/>
            <w:vAlign w:val="bottom"/>
          </w:tcPr>
          <w:p>
            <w:pPr>
              <w:spacing w:after="0"/>
              <w:rPr>
                <w:sz w:val="1"/>
                <w:szCs w:val="1"/>
                <w:color w:val="auto"/>
              </w:rPr>
            </w:pPr>
          </w:p>
        </w:tc>
      </w:tr>
      <w:tr>
        <w:trPr>
          <w:trHeight w:val="120"/>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Watchtower Buyer,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09/19/24</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12/01/29</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60" w:type="dxa"/>
            <w:vAlign w:val="bottom"/>
            <w:shd w:val="clear" w:color="auto" w:fill="CCECFF"/>
          </w:tcPr>
          <w:p>
            <w:pPr>
              <w:jc w:val="center"/>
              <w:ind w:right="71"/>
              <w:spacing w:after="0"/>
              <w:rPr>
                <w:sz w:val="20"/>
                <w:szCs w:val="20"/>
                <w:color w:val="auto"/>
              </w:rPr>
            </w:pPr>
            <w:r>
              <w:rPr>
                <w:rFonts w:ascii="Times New Roman" w:cs="Times New Roman" w:eastAsia="Times New Roman" w:hAnsi="Times New Roman"/>
                <w:sz w:val="10"/>
                <w:szCs w:val="10"/>
                <w:color w:val="auto"/>
                <w:w w:val="97"/>
              </w:rPr>
              <w:t>10.00%</w:t>
            </w:r>
          </w:p>
        </w:tc>
        <w:tc>
          <w:tcPr>
            <w:tcW w:w="13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SOFR+600</w:t>
            </w:r>
          </w:p>
        </w:tc>
        <w:tc>
          <w:tcPr>
            <w:tcW w:w="9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23,114</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22,912</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22,885</w:t>
            </w:r>
          </w:p>
        </w:tc>
        <w:tc>
          <w:tcPr>
            <w:tcW w:w="0" w:type="dxa"/>
            <w:vAlign w:val="bottom"/>
          </w:tcPr>
          <w:p>
            <w:pPr>
              <w:spacing w:after="0"/>
              <w:rPr>
                <w:sz w:val="1"/>
                <w:szCs w:val="1"/>
                <w:color w:val="auto"/>
              </w:rPr>
            </w:pPr>
          </w:p>
        </w:tc>
      </w:tr>
      <w:tr>
        <w:trPr>
          <w:trHeight w:val="120"/>
        </w:trPr>
        <w:tc>
          <w:tcPr>
            <w:tcW w:w="2200" w:type="dxa"/>
            <w:vAlign w:val="bottom"/>
          </w:tcPr>
          <w:p>
            <w:pPr>
              <w:spacing w:after="0"/>
              <w:rPr>
                <w:sz w:val="20"/>
                <w:szCs w:val="20"/>
                <w:color w:val="auto"/>
              </w:rPr>
            </w:pPr>
            <w:r>
              <w:rPr>
                <w:rFonts w:ascii="Times New Roman" w:cs="Times New Roman" w:eastAsia="Times New Roman" w:hAnsi="Times New Roman"/>
                <w:sz w:val="10"/>
                <w:szCs w:val="10"/>
                <w:color w:val="auto"/>
              </w:rPr>
              <w:t>Wash &amp; Wax Systems,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04/30/25</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04/30/28</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60" w:type="dxa"/>
            <w:vAlign w:val="bottom"/>
          </w:tcPr>
          <w:p>
            <w:pPr>
              <w:jc w:val="center"/>
              <w:ind w:right="91"/>
              <w:spacing w:after="0"/>
              <w:rPr>
                <w:sz w:val="20"/>
                <w:szCs w:val="20"/>
                <w:color w:val="auto"/>
              </w:rPr>
            </w:pPr>
            <w:r>
              <w:rPr>
                <w:rFonts w:ascii="Times New Roman" w:cs="Times New Roman" w:eastAsia="Times New Roman" w:hAnsi="Times New Roman"/>
                <w:sz w:val="10"/>
                <w:szCs w:val="10"/>
                <w:color w:val="auto"/>
                <w:w w:val="92"/>
              </w:rPr>
              <w:t>9.81%</w:t>
            </w: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1"/>
              </w:rPr>
              <w:t>SOFR+550</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6,577</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6,686</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6,708</w:t>
            </w:r>
          </w:p>
        </w:tc>
        <w:tc>
          <w:tcPr>
            <w:tcW w:w="0" w:type="dxa"/>
            <w:vAlign w:val="bottom"/>
          </w:tcPr>
          <w:p>
            <w:pPr>
              <w:spacing w:after="0"/>
              <w:rPr>
                <w:sz w:val="1"/>
                <w:szCs w:val="1"/>
                <w:color w:val="auto"/>
              </w:rPr>
            </w:pPr>
          </w:p>
        </w:tc>
      </w:tr>
      <w:tr>
        <w:trPr>
          <w:trHeight w:val="156"/>
        </w:trPr>
        <w:tc>
          <w:tcPr>
            <w:tcW w:w="2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4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164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132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1,276,720</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1,253,543</w:t>
            </w:r>
          </w:p>
        </w:tc>
        <w:tc>
          <w:tcPr>
            <w:tcW w:w="0" w:type="dxa"/>
            <w:vAlign w:val="bottom"/>
          </w:tcPr>
          <w:p>
            <w:pPr>
              <w:spacing w:after="0"/>
              <w:rPr>
                <w:sz w:val="1"/>
                <w:szCs w:val="1"/>
                <w:color w:val="auto"/>
              </w:rPr>
            </w:pPr>
          </w:p>
        </w:tc>
      </w:tr>
      <w:tr>
        <w:trPr>
          <w:trHeight w:val="160"/>
        </w:trPr>
        <w:tc>
          <w:tcPr>
            <w:tcW w:w="22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Subordinated Debt - 3.7% of Net Assets</w:t>
            </w: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20" w:type="dxa"/>
            <w:vAlign w:val="bottom"/>
          </w:tcPr>
          <w:p>
            <w:pPr>
              <w:ind w:left="160"/>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340" w:type="dxa"/>
            <w:vAlign w:val="bottom"/>
          </w:tcPr>
          <w:p>
            <w:pPr>
              <w:jc w:val="center"/>
              <w:ind w:right="124"/>
              <w:spacing w:after="0" w:line="145" w:lineRule="exact"/>
              <w:rPr>
                <w:sz w:val="20"/>
                <w:szCs w:val="20"/>
                <w:color w:val="auto"/>
              </w:rPr>
            </w:pPr>
            <w:r>
              <w:rPr>
                <w:rFonts w:ascii="Times New Roman" w:cs="Times New Roman" w:eastAsia="Times New Roman" w:hAnsi="Times New Roman"/>
                <w:sz w:val="13"/>
                <w:szCs w:val="13"/>
                <w:b w:val="1"/>
                <w:bCs w:val="1"/>
                <w:color w:val="auto"/>
              </w:rPr>
              <w:t>Spread Above</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Issuer Name</w:t>
            </w:r>
          </w:p>
        </w:tc>
        <w:tc>
          <w:tcPr>
            <w:tcW w:w="10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9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9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340" w:type="dxa"/>
            <w:vAlign w:val="bottom"/>
          </w:tcPr>
          <w:p>
            <w:pPr>
              <w:jc w:val="center"/>
              <w:ind w:right="104"/>
              <w:spacing w:after="0" w:line="181" w:lineRule="exact"/>
              <w:rPr>
                <w:sz w:val="20"/>
                <w:szCs w:val="20"/>
                <w:color w:val="auto"/>
              </w:rPr>
            </w:pPr>
            <w:r>
              <w:rPr>
                <w:rFonts w:ascii="Times New Roman" w:cs="Times New Roman" w:eastAsia="Times New Roman" w:hAnsi="Times New Roman"/>
                <w:sz w:val="13"/>
                <w:szCs w:val="13"/>
                <w:b w:val="1"/>
                <w:bCs w:val="1"/>
                <w:color w:val="auto"/>
                <w:w w:val="96"/>
              </w:rPr>
              <w:t xml:space="preserve">Index </w:t>
            </w:r>
            <w:r>
              <w:rPr>
                <w:rFonts w:ascii="Times New Roman" w:cs="Times New Roman" w:eastAsia="Times New Roman" w:hAnsi="Times New Roman"/>
                <w:sz w:val="16"/>
                <w:szCs w:val="16"/>
                <w:b w:val="1"/>
                <w:bCs w:val="1"/>
                <w:color w:val="auto"/>
                <w:w w:val="96"/>
                <w:vertAlign w:val="superscript"/>
              </w:rPr>
              <w:t>(1)</w:t>
            </w: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Par</w:t>
            </w:r>
          </w:p>
        </w:tc>
        <w:tc>
          <w:tcPr>
            <w:tcW w:w="500" w:type="dxa"/>
            <w:vAlign w:val="bottom"/>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3"/>
                <w:szCs w:val="13"/>
                <w:b w:val="1"/>
                <w:bCs w:val="1"/>
                <w:color w:val="auto"/>
                <w:w w:val="98"/>
              </w:rPr>
              <w:t xml:space="preserve">Fair Value </w:t>
            </w:r>
            <w:r>
              <w:rPr>
                <w:rFonts w:ascii="Times New Roman" w:cs="Times New Roman" w:eastAsia="Times New Roman" w:hAnsi="Times New Roman"/>
                <w:sz w:val="16"/>
                <w:szCs w:val="16"/>
                <w:b w:val="1"/>
                <w:bCs w:val="1"/>
                <w:color w:val="auto"/>
                <w:w w:val="98"/>
                <w:vertAlign w:val="superscript"/>
              </w:rPr>
              <w:t>(2)</w:t>
            </w:r>
          </w:p>
        </w:tc>
        <w:tc>
          <w:tcPr>
            <w:tcW w:w="0" w:type="dxa"/>
            <w:vAlign w:val="bottom"/>
          </w:tcPr>
          <w:p>
            <w:pPr>
              <w:spacing w:after="0"/>
              <w:rPr>
                <w:sz w:val="1"/>
                <w:szCs w:val="1"/>
                <w:color w:val="auto"/>
              </w:rPr>
            </w:pPr>
          </w:p>
        </w:tc>
      </w:tr>
      <w:tr>
        <w:trPr>
          <w:trHeight w:val="156"/>
        </w:trPr>
        <w:tc>
          <w:tcPr>
            <w:tcW w:w="22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Wash &amp; Wax Systems, LLC - Subordinate Debt</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04/30/25</w:t>
            </w:r>
          </w:p>
        </w:tc>
        <w:tc>
          <w:tcPr>
            <w:tcW w:w="94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07/30/28</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jc w:val="center"/>
              <w:ind w:right="128"/>
              <w:spacing w:after="0"/>
              <w:rPr>
                <w:sz w:val="20"/>
                <w:szCs w:val="20"/>
                <w:color w:val="auto"/>
              </w:rPr>
            </w:pPr>
            <w:r>
              <w:rPr>
                <w:rFonts w:ascii="Times New Roman" w:cs="Times New Roman" w:eastAsia="Times New Roman" w:hAnsi="Times New Roman"/>
                <w:sz w:val="10"/>
                <w:szCs w:val="10"/>
                <w:color w:val="auto"/>
                <w:w w:val="97"/>
              </w:rPr>
              <w:t>12.00%</w:t>
            </w:r>
          </w:p>
        </w:tc>
        <w:tc>
          <w:tcPr>
            <w:tcW w:w="1340" w:type="dxa"/>
            <w:vAlign w:val="bottom"/>
            <w:shd w:val="clear" w:color="auto" w:fill="CCECFF"/>
          </w:tcPr>
          <w:p>
            <w:pPr>
              <w:spacing w:after="0"/>
              <w:rPr>
                <w:sz w:val="13"/>
                <w:szCs w:val="13"/>
                <w:color w:val="auto"/>
              </w:rPr>
            </w:pPr>
          </w:p>
        </w:tc>
        <w:tc>
          <w:tcPr>
            <w:tcW w:w="82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0"/>
                <w:szCs w:val="10"/>
                <w:color w:val="auto"/>
              </w:rPr>
              <w:t>4,422</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4,422</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4,422</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Subordinated Debt</w:t>
            </w: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4,422</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4,422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4,422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gridSpan w:val="2"/>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5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34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Equity Securities - 6.6% of Net Assets</w:t>
            </w: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New Insight Holdings, Inc. - Common Equity</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07/15/24</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CECFF"/>
          </w:tcPr>
          <w:p>
            <w:pPr>
              <w:ind w:left="10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0"/>
                <w:szCs w:val="10"/>
                <w:color w:val="auto"/>
              </w:rPr>
              <w:t>134,330</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2,351</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2,014</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48Forty Intermediate Holdings, Inc. - Common Equity</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11/05/24</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Containers, Packaging and Glass</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tcPr>
          <w:p>
            <w:pPr>
              <w:ind w:left="10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1,988</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6"/>
        </w:trPr>
        <w:tc>
          <w:tcPr>
            <w:tcW w:w="22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Wash &amp; Wax Group, LP - Common Equity</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04/30/25</w:t>
            </w:r>
          </w:p>
        </w:tc>
        <w:tc>
          <w:tcPr>
            <w:tcW w:w="9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CECFF"/>
          </w:tcPr>
          <w:p>
            <w:pPr>
              <w:ind w:left="10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0"/>
                <w:szCs w:val="10"/>
                <w:color w:val="auto"/>
              </w:rPr>
              <w:t>2,803</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5,002</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5,165</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White Tiger Newco, LLC - Common Equity</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07/31/25</w:t>
            </w:r>
          </w:p>
        </w:tc>
        <w:tc>
          <w:tcPr>
            <w:tcW w:w="94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tcPr>
          <w:p>
            <w:pPr>
              <w:ind w:left="10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10,805</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5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34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Equity Securities</w:t>
            </w: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8,177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7,936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Investments - 1,046.0% of Net Assets</w:t>
            </w:r>
            <w:r>
              <w:rPr>
                <w:rFonts w:ascii="Times New Roman" w:cs="Times New Roman" w:eastAsia="Times New Roman" w:hAnsi="Times New Roman"/>
                <w:sz w:val="12"/>
                <w:szCs w:val="12"/>
                <w:b w:val="1"/>
                <w:bCs w:val="1"/>
                <w:color w:val="auto"/>
                <w:vertAlign w:val="superscript"/>
              </w:rPr>
              <w:t>(3)(6)</w:t>
            </w:r>
          </w:p>
        </w:tc>
        <w:tc>
          <w:tcPr>
            <w:tcW w:w="9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5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34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1,289,319</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1,265,901</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95"/>
              </w:rPr>
              <w:t>Cash and Cash Equivalents -</w:t>
            </w:r>
          </w:p>
        </w:tc>
        <w:tc>
          <w:tcPr>
            <w:tcW w:w="1020" w:type="dxa"/>
            <w:vAlign w:val="bottom"/>
          </w:tcPr>
          <w:p>
            <w:pPr>
              <w:jc w:val="right"/>
              <w:ind w:right="672"/>
              <w:spacing w:after="0"/>
              <w:rPr>
                <w:sz w:val="20"/>
                <w:szCs w:val="20"/>
                <w:color w:val="auto"/>
              </w:rPr>
            </w:pPr>
            <w:r>
              <w:rPr>
                <w:rFonts w:ascii="Times New Roman" w:cs="Times New Roman" w:eastAsia="Times New Roman" w:hAnsi="Times New Roman"/>
                <w:sz w:val="10"/>
                <w:szCs w:val="10"/>
                <w:b w:val="1"/>
                <w:bCs w:val="1"/>
                <w:color w:val="auto"/>
              </w:rPr>
              <w:t>33.9%</w:t>
            </w: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JPMorgan U.S. Government</w:t>
            </w:r>
          </w:p>
        </w:tc>
        <w:tc>
          <w:tcPr>
            <w:tcW w:w="10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w w:val="93"/>
              </w:rPr>
              <w:t>(Money Market Fund)</w:t>
            </w:r>
          </w:p>
        </w:tc>
        <w:tc>
          <w:tcPr>
            <w:tcW w:w="9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560" w:type="dxa"/>
            <w:vAlign w:val="bottom"/>
            <w:shd w:val="clear" w:color="auto" w:fill="CCECFF"/>
          </w:tcPr>
          <w:p>
            <w:pPr>
              <w:spacing w:after="0"/>
              <w:rPr>
                <w:sz w:val="13"/>
                <w:szCs w:val="13"/>
                <w:color w:val="auto"/>
              </w:rPr>
            </w:pPr>
          </w:p>
        </w:tc>
        <w:tc>
          <w:tcPr>
            <w:tcW w:w="920" w:type="dxa"/>
            <w:vAlign w:val="bottom"/>
            <w:shd w:val="clear" w:color="auto" w:fill="CCECFF"/>
          </w:tcPr>
          <w:p>
            <w:pPr>
              <w:jc w:val="center"/>
              <w:ind w:right="108"/>
              <w:spacing w:after="0"/>
              <w:rPr>
                <w:sz w:val="20"/>
                <w:szCs w:val="20"/>
                <w:color w:val="auto"/>
              </w:rPr>
            </w:pPr>
            <w:r>
              <w:rPr>
                <w:rFonts w:ascii="Times New Roman" w:cs="Times New Roman" w:eastAsia="Times New Roman" w:hAnsi="Times New Roman"/>
                <w:sz w:val="10"/>
                <w:szCs w:val="10"/>
                <w:color w:val="auto"/>
                <w:w w:val="92"/>
              </w:rPr>
              <w:t>4.09%</w:t>
            </w:r>
          </w:p>
        </w:tc>
        <w:tc>
          <w:tcPr>
            <w:tcW w:w="134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7,972</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7,972</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2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Goldman Sachs Financial Square Government Fund</w:t>
            </w:r>
          </w:p>
        </w:tc>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200" w:type="dxa"/>
            <w:vAlign w:val="bottom"/>
          </w:tcPr>
          <w:p>
            <w:pPr>
              <w:spacing w:after="0"/>
              <w:rPr>
                <w:sz w:val="20"/>
                <w:szCs w:val="20"/>
                <w:color w:val="auto"/>
              </w:rPr>
            </w:pPr>
            <w:r>
              <w:rPr>
                <w:rFonts w:ascii="Times New Roman" w:cs="Times New Roman" w:eastAsia="Times New Roman" w:hAnsi="Times New Roman"/>
                <w:sz w:val="10"/>
                <w:szCs w:val="10"/>
                <w:color w:val="auto"/>
              </w:rPr>
              <w:t>(Money Market Fund)</w:t>
            </w:r>
          </w:p>
        </w:tc>
        <w:tc>
          <w:tcPr>
            <w:tcW w:w="1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920" w:type="dxa"/>
            <w:vAlign w:val="bottom"/>
          </w:tcPr>
          <w:p>
            <w:pPr>
              <w:jc w:val="center"/>
              <w:ind w:right="108"/>
              <w:spacing w:after="0"/>
              <w:rPr>
                <w:sz w:val="20"/>
                <w:szCs w:val="20"/>
                <w:color w:val="auto"/>
              </w:rPr>
            </w:pPr>
            <w:r>
              <w:rPr>
                <w:rFonts w:ascii="Times New Roman" w:cs="Times New Roman" w:eastAsia="Times New Roman" w:hAnsi="Times New Roman"/>
                <w:sz w:val="10"/>
                <w:szCs w:val="10"/>
                <w:color w:val="auto"/>
                <w:w w:val="92"/>
              </w:rPr>
              <w:t>4.18%</w:t>
            </w:r>
          </w:p>
        </w:tc>
        <w:tc>
          <w:tcPr>
            <w:tcW w:w="1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6,946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6,946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BlackRock Federal FD Institutional 81 (Money</w:t>
            </w:r>
          </w:p>
        </w:tc>
        <w:tc>
          <w:tcPr>
            <w:tcW w:w="9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5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13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Market Fund)</w:t>
            </w:r>
          </w:p>
        </w:tc>
        <w:tc>
          <w:tcPr>
            <w:tcW w:w="10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560" w:type="dxa"/>
            <w:vAlign w:val="bottom"/>
            <w:shd w:val="clear" w:color="auto" w:fill="CCECFF"/>
          </w:tcPr>
          <w:p>
            <w:pPr>
              <w:spacing w:after="0"/>
              <w:rPr>
                <w:sz w:val="10"/>
                <w:szCs w:val="10"/>
                <w:color w:val="auto"/>
              </w:rPr>
            </w:pPr>
          </w:p>
        </w:tc>
        <w:tc>
          <w:tcPr>
            <w:tcW w:w="920" w:type="dxa"/>
            <w:vAlign w:val="bottom"/>
            <w:shd w:val="clear" w:color="auto" w:fill="CCECFF"/>
          </w:tcPr>
          <w:p>
            <w:pPr>
              <w:jc w:val="center"/>
              <w:ind w:right="108"/>
              <w:spacing w:after="0"/>
              <w:rPr>
                <w:sz w:val="20"/>
                <w:szCs w:val="20"/>
                <w:color w:val="auto"/>
              </w:rPr>
            </w:pPr>
            <w:r>
              <w:rPr>
                <w:rFonts w:ascii="Times New Roman" w:cs="Times New Roman" w:eastAsia="Times New Roman" w:hAnsi="Times New Roman"/>
                <w:sz w:val="10"/>
                <w:szCs w:val="10"/>
                <w:color w:val="auto"/>
                <w:w w:val="92"/>
              </w:rPr>
              <w:t>4.19%</w:t>
            </w:r>
          </w:p>
        </w:tc>
        <w:tc>
          <w:tcPr>
            <w:tcW w:w="13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1,920</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1,920</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20"/>
                <w:szCs w:val="20"/>
                <w:color w:val="auto"/>
              </w:rPr>
            </w:pPr>
            <w:r>
              <w:rPr>
                <w:rFonts w:ascii="Times New Roman" w:cs="Times New Roman" w:eastAsia="Times New Roman" w:hAnsi="Times New Roman"/>
                <w:sz w:val="10"/>
                <w:szCs w:val="10"/>
                <w:color w:val="auto"/>
              </w:rPr>
              <w:t>Non-Money Market Cash</w:t>
            </w: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24,147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24,147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9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5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34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40,985</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40,985</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2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 -</w:t>
            </w:r>
          </w:p>
        </w:tc>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1,330,304</w:t>
            </w: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1,306,886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200" w:type="dxa"/>
            <w:vAlign w:val="bottom"/>
          </w:tcPr>
          <w:p>
            <w:pPr>
              <w:spacing w:after="0" w:line="78" w:lineRule="exact"/>
              <w:rPr>
                <w:sz w:val="20"/>
                <w:szCs w:val="20"/>
                <w:color w:val="auto"/>
              </w:rPr>
            </w:pPr>
            <w:r>
              <w:rPr>
                <w:rFonts w:ascii="Times New Roman" w:cs="Times New Roman" w:eastAsia="Times New Roman" w:hAnsi="Times New Roman"/>
                <w:sz w:val="8"/>
                <w:szCs w:val="8"/>
                <w:b w:val="1"/>
                <w:bCs w:val="1"/>
                <w:color w:val="auto"/>
              </w:rPr>
              <w:t>1,079.8% of Net Assets</w:t>
            </w:r>
          </w:p>
        </w:tc>
        <w:tc>
          <w:tcPr>
            <w:tcW w:w="10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20" w:type="dxa"/>
            <w:vAlign w:val="bottom"/>
            <w:gridSpan w:val="2"/>
            <w:shd w:val="clear" w:color="auto" w:fill="CCEC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(979.8)% of</w:t>
            </w:r>
          </w:p>
        </w:tc>
        <w:tc>
          <w:tcPr>
            <w:tcW w:w="920" w:type="dxa"/>
            <w:vAlign w:val="bottom"/>
            <w:shd w:val="clear" w:color="auto" w:fill="CCECFF"/>
          </w:tcPr>
          <w:p>
            <w:pPr>
              <w:spacing w:after="0"/>
              <w:rPr>
                <w:sz w:val="8"/>
                <w:szCs w:val="8"/>
                <w:color w:val="auto"/>
              </w:rPr>
            </w:pPr>
          </w:p>
        </w:tc>
        <w:tc>
          <w:tcPr>
            <w:tcW w:w="940" w:type="dxa"/>
            <w:vAlign w:val="bottom"/>
            <w:shd w:val="clear" w:color="auto" w:fill="CCECFF"/>
          </w:tcPr>
          <w:p>
            <w:pPr>
              <w:spacing w:after="0"/>
              <w:rPr>
                <w:sz w:val="8"/>
                <w:szCs w:val="8"/>
                <w:color w:val="auto"/>
              </w:rPr>
            </w:pPr>
          </w:p>
        </w:tc>
        <w:tc>
          <w:tcPr>
            <w:tcW w:w="1560" w:type="dxa"/>
            <w:vAlign w:val="bottom"/>
            <w:shd w:val="clear" w:color="auto" w:fill="CCECFF"/>
          </w:tcPr>
          <w:p>
            <w:pPr>
              <w:spacing w:after="0"/>
              <w:rPr>
                <w:sz w:val="8"/>
                <w:szCs w:val="8"/>
                <w:color w:val="auto"/>
              </w:rPr>
            </w:pPr>
          </w:p>
        </w:tc>
        <w:tc>
          <w:tcPr>
            <w:tcW w:w="920" w:type="dxa"/>
            <w:vAlign w:val="bottom"/>
            <w:shd w:val="clear" w:color="auto" w:fill="CCECFF"/>
          </w:tcPr>
          <w:p>
            <w:pPr>
              <w:spacing w:after="0"/>
              <w:rPr>
                <w:sz w:val="8"/>
                <w:szCs w:val="8"/>
                <w:color w:val="auto"/>
              </w:rPr>
            </w:pPr>
          </w:p>
        </w:tc>
        <w:tc>
          <w:tcPr>
            <w:tcW w:w="1340" w:type="dxa"/>
            <w:vAlign w:val="bottom"/>
            <w:shd w:val="clear" w:color="auto" w:fill="CCECFF"/>
          </w:tcPr>
          <w:p>
            <w:pPr>
              <w:spacing w:after="0"/>
              <w:rPr>
                <w:sz w:val="8"/>
                <w:szCs w:val="8"/>
                <w:color w:val="auto"/>
              </w:rPr>
            </w:pPr>
          </w:p>
        </w:tc>
        <w:tc>
          <w:tcPr>
            <w:tcW w:w="8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86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Net Assets</w:t>
            </w:r>
          </w:p>
        </w:tc>
        <w:tc>
          <w:tcPr>
            <w:tcW w:w="10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5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13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(1,185,860)</w:t>
            </w:r>
          </w:p>
        </w:tc>
        <w:tc>
          <w:tcPr>
            <w:tcW w:w="0" w:type="dxa"/>
            <w:vAlign w:val="bottom"/>
          </w:tcPr>
          <w:p>
            <w:pPr>
              <w:spacing w:after="0"/>
              <w:rPr>
                <w:sz w:val="1"/>
                <w:szCs w:val="1"/>
                <w:color w:val="auto"/>
              </w:rPr>
            </w:pPr>
          </w:p>
        </w:tc>
      </w:tr>
      <w:tr>
        <w:trPr>
          <w:trHeight w:val="120"/>
        </w:trPr>
        <w:tc>
          <w:tcPr>
            <w:tcW w:w="1200" w:type="dxa"/>
            <w:vAlign w:val="bottom"/>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Members' Equity—100.0%</w:t>
            </w:r>
          </w:p>
        </w:tc>
        <w:tc>
          <w:tcPr>
            <w:tcW w:w="1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121,026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Secured Overnight Financing Rate, or "SOFR" or Prime rate or “P”. The spread may change based on the type of rate used. The terms in the Schedule of Investments disclose the actual interest rate in effect as of the reporting period. SOFR loans are typically indexed to a 30-day, 60-day, 90-day or 180-day SOFR rate (1M S, 2M S, 3M S, or 6M S, respectively), at the borrower’s option. All securities are subject to a SOFR or Prime rate floor where a spread is provided, unless noted. The spread provided includes PIK interest and other fee rates, if any.</w:t>
      </w:r>
    </w:p>
    <w:p>
      <w:pPr>
        <w:spacing w:after="0" w:line="206"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1"/>
          <w:szCs w:val="11"/>
          <w:color w:val="auto"/>
        </w:rPr>
        <w:t>Valued based on PSLF’s accounting policy.</w:t>
      </w:r>
    </w:p>
    <w:p>
      <w:pPr>
        <w:spacing w:after="0" w:line="203" w:lineRule="auto"/>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1"/>
          <w:szCs w:val="11"/>
          <w:color w:val="auto"/>
        </w:rPr>
        <w:t>As of September 30, 2025, all investments are in US Companies. Total cost, fair value, and percentage of Net Assets for U.S. Companies were $1,289.3 million, $1,265.9 million and 1,046.0%</w:t>
      </w:r>
    </w:p>
    <w:p>
      <w:pPr>
        <w:spacing w:after="0" w:line="203" w:lineRule="auto"/>
        <w:rPr>
          <w:sz w:val="20"/>
          <w:szCs w:val="20"/>
          <w:color w:val="auto"/>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1"/>
          <w:szCs w:val="11"/>
          <w:color w:val="auto"/>
        </w:rPr>
        <w:t>Non-accrual security</w:t>
      </w:r>
    </w:p>
    <w:p>
      <w:pPr>
        <w:spacing w:after="0" w:line="203" w:lineRule="auto"/>
        <w:rPr>
          <w:sz w:val="20"/>
          <w:szCs w:val="20"/>
          <w:color w:val="auto"/>
        </w:rPr>
      </w:pP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1"/>
          <w:szCs w:val="11"/>
          <w:color w:val="auto"/>
        </w:rPr>
        <w:t>Partial non-accrual PIK Security.</w:t>
      </w:r>
    </w:p>
    <w:p>
      <w:pPr>
        <w:spacing w:after="0" w:line="201" w:lineRule="auto"/>
        <w:rPr>
          <w:sz w:val="20"/>
          <w:szCs w:val="20"/>
          <w:color w:val="auto"/>
        </w:rPr>
      </w:pP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1"/>
          <w:szCs w:val="11"/>
          <w:color w:val="auto"/>
        </w:rPr>
        <w:t>All of our investments are not registered under the 1933 Act and have restrictions on resale.</w:t>
      </w:r>
    </w:p>
    <w:p>
      <w:pPr>
        <w:spacing w:after="0" w:line="1" w:lineRule="exact"/>
        <w:rPr>
          <w:sz w:val="20"/>
          <w:szCs w:val="20"/>
          <w:color w:val="auto"/>
        </w:rPr>
      </w:pPr>
    </w:p>
    <w:p>
      <w:pPr>
        <w:ind w:right="320"/>
        <w:spacing w:after="0" w:line="219" w:lineRule="auto"/>
        <w:rPr>
          <w:sz w:val="20"/>
          <w:szCs w:val="20"/>
          <w:color w:val="auto"/>
        </w:rPr>
      </w:pPr>
      <w:r>
        <w:rPr>
          <w:rFonts w:ascii="Times New Roman" w:cs="Times New Roman" w:eastAsia="Times New Roman" w:hAnsi="Times New Roman"/>
          <w:sz w:val="19"/>
          <w:szCs w:val="19"/>
          <w:color w:val="auto"/>
          <w:vertAlign w:val="superscript"/>
        </w:rPr>
        <w:t>(7)</w:t>
      </w:r>
      <w:r>
        <w:rPr>
          <w:rFonts w:ascii="Times New Roman" w:cs="Times New Roman" w:eastAsia="Times New Roman" w:hAnsi="Times New Roman"/>
          <w:sz w:val="10"/>
          <w:szCs w:val="10"/>
          <w:color w:val="auto"/>
        </w:rPr>
        <w:t>The securities, or a portion thereof, are not 1) pledged as collateral under the Credit Facility and held through Funding I; or, 2) securing the 2034 Asset-Backed Debt and held through PennantPark CLO IV, LLC, or,3) securing the 2036 Asset-Backed Debt and held through PennantPark CLO VII, LLC, or 4) securing the 2037 Asset-Backed Debt and held through PennantPark CLO X, LLC</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00" w:type="dxa"/>
            <w:vAlign w:val="bottom"/>
            <w:gridSpan w:val="3"/>
          </w:tcPr>
          <w:p>
            <w:pPr>
              <w:ind w:left="420"/>
              <w:spacing w:after="0"/>
              <w:rPr>
                <w:sz w:val="20"/>
                <w:szCs w:val="20"/>
                <w:color w:val="auto"/>
              </w:rPr>
            </w:pPr>
            <w:r>
              <w:rPr>
                <w:rFonts w:ascii="Times New Roman" w:cs="Times New Roman" w:eastAsia="Times New Roman" w:hAnsi="Times New Roman"/>
                <w:sz w:val="13"/>
                <w:szCs w:val="13"/>
                <w:color w:val="auto"/>
              </w:rPr>
              <w:t>Below is a listing of PSLF’s individual investments as of September 30, 2024 ($ in thousands):</w:t>
            </w: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jc w:val="center"/>
              <w:ind w:right="191"/>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40" w:type="dxa"/>
            <w:vAlign w:val="bottom"/>
          </w:tcPr>
          <w:p>
            <w:pPr>
              <w:jc w:val="right"/>
              <w:ind w:right="231"/>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280" w:type="dxa"/>
            <w:vAlign w:val="bottom"/>
          </w:tcPr>
          <w:p>
            <w:pPr>
              <w:jc w:val="center"/>
              <w:ind w:right="191"/>
              <w:spacing w:after="0" w:line="145" w:lineRule="exact"/>
              <w:rPr>
                <w:sz w:val="20"/>
                <w:szCs w:val="20"/>
                <w:color w:val="auto"/>
              </w:rPr>
            </w:pPr>
            <w:r>
              <w:rPr>
                <w:rFonts w:ascii="Times New Roman" w:cs="Times New Roman" w:eastAsia="Times New Roman" w:hAnsi="Times New Roman"/>
                <w:sz w:val="13"/>
                <w:szCs w:val="13"/>
                <w:b w:val="1"/>
                <w:bCs w:val="1"/>
                <w:color w:val="auto"/>
              </w:rPr>
              <w:t>Spread Above</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Issuer Name</w:t>
            </w:r>
          </w:p>
        </w:tc>
        <w:tc>
          <w:tcPr>
            <w:tcW w:w="8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2060" w:type="dxa"/>
            <w:vAlign w:val="bottom"/>
          </w:tcPr>
          <w:p>
            <w:pPr>
              <w:jc w:val="right"/>
              <w:ind w:right="731"/>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280" w:type="dxa"/>
            <w:vAlign w:val="bottom"/>
          </w:tcPr>
          <w:p>
            <w:pPr>
              <w:jc w:val="center"/>
              <w:ind w:right="171"/>
              <w:spacing w:after="0" w:line="181" w:lineRule="exact"/>
              <w:rPr>
                <w:sz w:val="20"/>
                <w:szCs w:val="20"/>
                <w:color w:val="auto"/>
              </w:rPr>
            </w:pPr>
            <w:r>
              <w:rPr>
                <w:rFonts w:ascii="Times New Roman" w:cs="Times New Roman" w:eastAsia="Times New Roman" w:hAnsi="Times New Roman"/>
                <w:sz w:val="13"/>
                <w:szCs w:val="13"/>
                <w:b w:val="1"/>
                <w:bCs w:val="1"/>
                <w:color w:val="auto"/>
                <w:w w:val="96"/>
              </w:rPr>
              <w:t xml:space="preserve">Index </w:t>
            </w:r>
            <w:r>
              <w:rPr>
                <w:rFonts w:ascii="Times New Roman" w:cs="Times New Roman" w:eastAsia="Times New Roman" w:hAnsi="Times New Roman"/>
                <w:sz w:val="16"/>
                <w:szCs w:val="16"/>
                <w:b w:val="1"/>
                <w:bCs w:val="1"/>
                <w:color w:val="auto"/>
                <w:w w:val="96"/>
                <w:vertAlign w:val="superscript"/>
              </w:rPr>
              <w:t>(1)</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3"/>
                <w:szCs w:val="13"/>
                <w:b w:val="1"/>
                <w:bCs w:val="1"/>
                <w:color w:val="auto"/>
              </w:rPr>
              <w:t>Par</w:t>
            </w:r>
          </w:p>
        </w:tc>
        <w:tc>
          <w:tcPr>
            <w:tcW w:w="240" w:type="dxa"/>
            <w:vAlign w:val="bottom"/>
          </w:tcPr>
          <w:p>
            <w:pPr>
              <w:spacing w:after="0"/>
              <w:rPr>
                <w:sz w:val="15"/>
                <w:szCs w:val="15"/>
                <w:color w:val="auto"/>
              </w:rPr>
            </w:pPr>
          </w:p>
        </w:tc>
        <w:tc>
          <w:tcPr>
            <w:tcW w:w="660" w:type="dxa"/>
            <w:vAlign w:val="bottom"/>
          </w:tcPr>
          <w:p>
            <w:pPr>
              <w:jc w:val="right"/>
              <w:ind w:right="272"/>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5"/>
                <w:szCs w:val="15"/>
                <w:color w:val="auto"/>
              </w:rPr>
            </w:pPr>
          </w:p>
        </w:tc>
        <w:tc>
          <w:tcPr>
            <w:tcW w:w="980" w:type="dxa"/>
            <w:vAlign w:val="bottom"/>
          </w:tcPr>
          <w:p>
            <w:pPr>
              <w:jc w:val="right"/>
              <w:ind w:right="172"/>
              <w:spacing w:after="0" w:line="181" w:lineRule="exact"/>
              <w:rPr>
                <w:sz w:val="20"/>
                <w:szCs w:val="20"/>
                <w:color w:val="auto"/>
              </w:rPr>
            </w:pPr>
            <w:r>
              <w:rPr>
                <w:rFonts w:ascii="Times New Roman" w:cs="Times New Roman" w:eastAsia="Times New Roman" w:hAnsi="Times New Roman"/>
                <w:sz w:val="13"/>
                <w:szCs w:val="13"/>
                <w:b w:val="1"/>
                <w:bCs w:val="1"/>
                <w:color w:val="auto"/>
                <w:w w:val="98"/>
              </w:rPr>
              <w:t xml:space="preserve">Fair Value </w:t>
            </w:r>
            <w:r>
              <w:rPr>
                <w:rFonts w:ascii="Times New Roman" w:cs="Times New Roman" w:eastAsia="Times New Roman" w:hAnsi="Times New Roman"/>
                <w:sz w:val="16"/>
                <w:szCs w:val="16"/>
                <w:b w:val="1"/>
                <w:bCs w:val="1"/>
                <w:color w:val="auto"/>
                <w:w w:val="98"/>
                <w:vertAlign w:val="superscript"/>
              </w:rPr>
              <w:t>(2)</w:t>
            </w: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First Lien Secured Debt - 916.4%of Net Assets</w:t>
            </w:r>
          </w:p>
        </w:tc>
        <w:tc>
          <w:tcPr>
            <w:tcW w:w="82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2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A1 Garage Merger Sub,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12/22/28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10.95%</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SOFR+610</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14,738</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14,504</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14,738</w:t>
            </w: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ACP Avenu Buyer,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10/02/29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10.57%</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SOFR+525</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7,667</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7,526</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7,418</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ACP Falcon Buyer,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08/01/29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10.83%</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SOFR+550</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15,351</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15,067</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15,412</w:t>
            </w: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Ad.net Acquisition,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05/07/26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11.28%</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SOFR+626</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4,838</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4,838</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4,838</w:t>
            </w:r>
          </w:p>
        </w:tc>
        <w:tc>
          <w:tcPr>
            <w:tcW w:w="0" w:type="dxa"/>
            <w:vAlign w:val="bottom"/>
          </w:tcPr>
          <w:p>
            <w:pPr>
              <w:spacing w:after="0"/>
              <w:rPr>
                <w:sz w:val="1"/>
                <w:szCs w:val="1"/>
                <w:color w:val="auto"/>
              </w:rPr>
            </w:pPr>
          </w:p>
        </w:tc>
      </w:tr>
      <w:tr>
        <w:trPr>
          <w:trHeight w:val="124"/>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Aeronix, Inc. - Term Loan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12/18/28</w:t>
            </w: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vMerge w:val="restart"/>
          </w:tcPr>
          <w:p>
            <w:pPr>
              <w:jc w:val="right"/>
              <w:ind w:right="71"/>
              <w:spacing w:after="0"/>
              <w:rPr>
                <w:sz w:val="20"/>
                <w:szCs w:val="20"/>
                <w:color w:val="auto"/>
              </w:rPr>
            </w:pPr>
            <w:r>
              <w:rPr>
                <w:rFonts w:ascii="Times New Roman" w:cs="Times New Roman" w:eastAsia="Times New Roman" w:hAnsi="Times New Roman"/>
                <w:sz w:val="10"/>
                <w:szCs w:val="10"/>
                <w:color w:val="auto"/>
              </w:rPr>
              <w:t>9.85%</w:t>
            </w:r>
          </w:p>
        </w:tc>
        <w:tc>
          <w:tcPr>
            <w:tcW w:w="1280" w:type="dxa"/>
            <w:vAlign w:val="bottom"/>
            <w:vMerge w:val="restart"/>
          </w:tcPr>
          <w:p>
            <w:pPr>
              <w:jc w:val="right"/>
              <w:ind w:right="171"/>
              <w:spacing w:after="0"/>
              <w:rPr>
                <w:sz w:val="20"/>
                <w:szCs w:val="20"/>
                <w:color w:val="auto"/>
              </w:rPr>
            </w:pPr>
            <w:r>
              <w:rPr>
                <w:rFonts w:ascii="Times New Roman" w:cs="Times New Roman" w:eastAsia="Times New Roman" w:hAnsi="Times New Roman"/>
                <w:sz w:val="10"/>
                <w:szCs w:val="10"/>
                <w:color w:val="auto"/>
              </w:rPr>
              <w:t>SOFR+525</w:t>
            </w:r>
          </w:p>
        </w:tc>
        <w:tc>
          <w:tcPr>
            <w:tcW w:w="7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14,888</w:t>
            </w:r>
          </w:p>
        </w:tc>
        <w:tc>
          <w:tcPr>
            <w:tcW w:w="240" w:type="dxa"/>
            <w:vAlign w:val="bottom"/>
          </w:tcPr>
          <w:p>
            <w:pPr>
              <w:spacing w:after="0"/>
              <w:rPr>
                <w:sz w:val="10"/>
                <w:szCs w:val="10"/>
                <w:color w:val="auto"/>
              </w:rPr>
            </w:pPr>
          </w:p>
        </w:tc>
        <w:tc>
          <w:tcPr>
            <w:tcW w:w="6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14,700</w:t>
            </w:r>
          </w:p>
        </w:tc>
        <w:tc>
          <w:tcPr>
            <w:tcW w:w="200" w:type="dxa"/>
            <w:vAlign w:val="bottom"/>
          </w:tcPr>
          <w:p>
            <w:pPr>
              <w:spacing w:after="0"/>
              <w:rPr>
                <w:sz w:val="10"/>
                <w:szCs w:val="10"/>
                <w:color w:val="auto"/>
              </w:rPr>
            </w:pPr>
          </w:p>
        </w:tc>
        <w:tc>
          <w:tcPr>
            <w:tcW w:w="98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14,888</w:t>
            </w:r>
          </w:p>
        </w:tc>
        <w:tc>
          <w:tcPr>
            <w:tcW w:w="0" w:type="dxa"/>
            <w:vAlign w:val="bottom"/>
          </w:tcPr>
          <w:p>
            <w:pPr>
              <w:spacing w:after="0"/>
              <w:rPr>
                <w:sz w:val="1"/>
                <w:szCs w:val="1"/>
                <w:color w:val="auto"/>
              </w:rPr>
            </w:pPr>
          </w:p>
        </w:tc>
      </w:tr>
      <w:tr>
        <w:trPr>
          <w:trHeight w:val="44"/>
        </w:trPr>
        <w:tc>
          <w:tcPr>
            <w:tcW w:w="27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6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AFC - Dell Holding Corp.</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04/09/27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10.49%</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SOFR+550</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7,131</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7,059</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7,059</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11/30/26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Containers, Packaging and Glass</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11.30%</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SOFR+610</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14,687</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14,459</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14,100</w:t>
            </w: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06/10/25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10.75%</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SOFR+650</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13,813</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13,769</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13,675</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Anteriad Holdings Inc (fka MeritDirect)</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06/30/26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10.50%</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SOFR+590</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14,714</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14,638</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14,714</w:t>
            </w: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12/29/26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10.50%</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SOFR+590</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14,522</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14,389</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14,304</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Arcfield Acquisition Corp.</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08/03/29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11.56%</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SOFR+625</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21,574</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21,270</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21,466</w:t>
            </w: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Beacon Behavioral Support Services,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06/21/29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9.92%</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SOFR+525</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14,963</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14,750</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14,738</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07/01/29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10.35%</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SOFR+575</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14,700</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14,486</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14,259</w:t>
            </w: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Big Top Holdings,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02/28/30</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11.18%</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SOFR+625</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6,965</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6,852</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6,965</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Bioderm,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01/31/28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11.84%</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SOFR+650</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8,887</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8,795</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8,776</w:t>
            </w: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09/17/26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10.92%</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SOFR+640</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20,504</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20,245</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20,152</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BlueHalo Global Holdings,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10/31/25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10.70%</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SOFR+600</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13,292</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13,218</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13,026</w:t>
            </w: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Broder Bros., Co.</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12/04/25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10.97%</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SOFR+611</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9,374</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9,374</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9,374</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07/25/29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10.20%</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SOFR+535</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4,874</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4,625</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4,585</w:t>
            </w: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Carisk Buyer,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11/30/29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10.35%</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SOFR+575</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5,473</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5,400</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5,390</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Carnegie Dartlet,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02/07/30</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10.35%</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SOFR+550</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9,950</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9,810</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9,801</w:t>
            </w: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Cartessa Aesthetics,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06/14/28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10.35%</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SOFR+575</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17,106</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16,879</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17,106</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CF512,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08/20/26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11.21%</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SOFR+619</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2,891</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2,876</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2,848</w:t>
            </w: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Connatix Buyer,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07/13/27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10.53%</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SOFR+561</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8,716</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8,702</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8,716</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Crane 1 Services,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08/16/27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10.71%</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SOFR+586</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2,549</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2,529</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2,530</w:t>
            </w: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Dr. Squatch,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08/31/27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9.95%</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SOFR+535</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22,993</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22,842</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22,993</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DRI Holding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12/21/28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10.20%</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SOFR+535</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5,830</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5,423</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5,626</w:t>
            </w: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DRS Holdings III,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11/03/25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11.20%</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SOFR+635</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13,777</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13,760</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13,667</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Dynata, LLC - First Out Term Loan</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07/15/28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10.38%</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SOFR+526</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1,588</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1,476</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1,586</w:t>
            </w: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Dynata, LLC - Last Out Term Loan</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10/15/28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10.88%</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SOFR+576</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9,768</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9,768</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8,993</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EDS Buyer,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01/10/29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10.35%</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SOFR+575</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11,144</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11,013</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10,977</w:t>
            </w: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ETE Intermediate II,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05/29/29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11.56%</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SOFR+650</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12,249</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12,049</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12,249</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Eval Home Health Solutions Intermediate,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05/10/30</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10.85%</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SOFR+575</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7,396</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7,293</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7,322</w:t>
            </w: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Exigo Intermediate II,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03/15/27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11.20%</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SOFR+635</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9,651</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9,556</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9,603</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Fairbanks Morse Defense</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06/17/28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9.74%</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SOFR+450</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3,491</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3,417</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3,495</w:t>
            </w:r>
          </w:p>
        </w:tc>
        <w:tc>
          <w:tcPr>
            <w:tcW w:w="0" w:type="dxa"/>
            <w:vAlign w:val="bottom"/>
          </w:tcPr>
          <w:p>
            <w:pPr>
              <w:spacing w:after="0"/>
              <w:rPr>
                <w:sz w:val="1"/>
                <w:szCs w:val="1"/>
                <w:color w:val="auto"/>
              </w:rPr>
            </w:pPr>
          </w:p>
        </w:tc>
      </w:tr>
      <w:tr>
        <w:trPr>
          <w:trHeight w:val="124"/>
        </w:trPr>
        <w:tc>
          <w:tcPr>
            <w:tcW w:w="272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0"/>
                <w:szCs w:val="10"/>
                <w:color w:val="auto"/>
              </w:rPr>
              <w:t>Five Star Buyer, Inc.</w:t>
            </w:r>
          </w:p>
        </w:tc>
        <w:tc>
          <w:tcPr>
            <w:tcW w:w="82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02/23/28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840" w:type="dxa"/>
            <w:vAlign w:val="bottom"/>
            <w:vMerge w:val="restart"/>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12.21%</w:t>
            </w:r>
          </w:p>
        </w:tc>
        <w:tc>
          <w:tcPr>
            <w:tcW w:w="1280" w:type="dxa"/>
            <w:vAlign w:val="bottom"/>
            <w:vMerge w:val="restart"/>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SOFR+710</w:t>
            </w:r>
          </w:p>
        </w:tc>
        <w:tc>
          <w:tcPr>
            <w:tcW w:w="76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4,241</w:t>
            </w:r>
          </w:p>
        </w:tc>
        <w:tc>
          <w:tcPr>
            <w:tcW w:w="240" w:type="dxa"/>
            <w:vAlign w:val="bottom"/>
            <w:shd w:val="clear" w:color="auto" w:fill="CCECFF"/>
          </w:tcPr>
          <w:p>
            <w:pPr>
              <w:spacing w:after="0"/>
              <w:rPr>
                <w:sz w:val="10"/>
                <w:szCs w:val="10"/>
                <w:color w:val="auto"/>
              </w:rPr>
            </w:pPr>
          </w:p>
        </w:tc>
        <w:tc>
          <w:tcPr>
            <w:tcW w:w="66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4,175</w:t>
            </w:r>
          </w:p>
        </w:tc>
        <w:tc>
          <w:tcPr>
            <w:tcW w:w="200" w:type="dxa"/>
            <w:vAlign w:val="bottom"/>
            <w:shd w:val="clear" w:color="auto" w:fill="CCECFF"/>
          </w:tcPr>
          <w:p>
            <w:pPr>
              <w:spacing w:after="0"/>
              <w:rPr>
                <w:sz w:val="10"/>
                <w:szCs w:val="10"/>
                <w:color w:val="auto"/>
              </w:rPr>
            </w:pPr>
          </w:p>
        </w:tc>
        <w:tc>
          <w:tcPr>
            <w:tcW w:w="980" w:type="dxa"/>
            <w:vAlign w:val="bottom"/>
            <w:vMerge w:val="restart"/>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4,241</w:t>
            </w:r>
          </w:p>
        </w:tc>
        <w:tc>
          <w:tcPr>
            <w:tcW w:w="0" w:type="dxa"/>
            <w:vAlign w:val="bottom"/>
          </w:tcPr>
          <w:p>
            <w:pPr>
              <w:spacing w:after="0"/>
              <w:rPr>
                <w:sz w:val="1"/>
                <w:szCs w:val="1"/>
                <w:color w:val="auto"/>
              </w:rPr>
            </w:pPr>
          </w:p>
        </w:tc>
      </w:tr>
      <w:tr>
        <w:trPr>
          <w:trHeight w:val="68"/>
        </w:trPr>
        <w:tc>
          <w:tcPr>
            <w:tcW w:w="2720" w:type="dxa"/>
            <w:vAlign w:val="bottom"/>
            <w:vMerge w:val="continue"/>
            <w:shd w:val="clear" w:color="auto" w:fill="CCECFF"/>
          </w:tcPr>
          <w:p>
            <w:pPr>
              <w:spacing w:after="0"/>
              <w:rPr>
                <w:sz w:val="5"/>
                <w:szCs w:val="5"/>
                <w:color w:val="auto"/>
              </w:rPr>
            </w:pPr>
          </w:p>
        </w:tc>
        <w:tc>
          <w:tcPr>
            <w:tcW w:w="820" w:type="dxa"/>
            <w:vAlign w:val="bottom"/>
            <w:vMerge w:val="continue"/>
            <w:shd w:val="clear" w:color="auto" w:fill="CCECFF"/>
          </w:tcPr>
          <w:p>
            <w:pPr>
              <w:spacing w:after="0"/>
              <w:rPr>
                <w:sz w:val="5"/>
                <w:szCs w:val="5"/>
                <w:color w:val="auto"/>
              </w:rPr>
            </w:pPr>
          </w:p>
        </w:tc>
        <w:tc>
          <w:tcPr>
            <w:tcW w:w="2060" w:type="dxa"/>
            <w:vAlign w:val="bottom"/>
            <w:shd w:val="clear" w:color="auto" w:fill="CCECFF"/>
          </w:tcPr>
          <w:p>
            <w:pPr>
              <w:spacing w:after="0"/>
              <w:rPr>
                <w:sz w:val="5"/>
                <w:szCs w:val="5"/>
                <w:color w:val="auto"/>
              </w:rPr>
            </w:pPr>
          </w:p>
        </w:tc>
        <w:tc>
          <w:tcPr>
            <w:tcW w:w="840" w:type="dxa"/>
            <w:vAlign w:val="bottom"/>
            <w:vMerge w:val="continue"/>
            <w:shd w:val="clear" w:color="auto" w:fill="CCECFF"/>
          </w:tcPr>
          <w:p>
            <w:pPr>
              <w:spacing w:after="0"/>
              <w:rPr>
                <w:sz w:val="5"/>
                <w:szCs w:val="5"/>
                <w:color w:val="auto"/>
              </w:rPr>
            </w:pPr>
          </w:p>
        </w:tc>
        <w:tc>
          <w:tcPr>
            <w:tcW w:w="1280" w:type="dxa"/>
            <w:vAlign w:val="bottom"/>
            <w:vMerge w:val="continue"/>
            <w:shd w:val="clear" w:color="auto" w:fill="CCECFF"/>
          </w:tcPr>
          <w:p>
            <w:pPr>
              <w:spacing w:after="0"/>
              <w:rPr>
                <w:sz w:val="5"/>
                <w:szCs w:val="5"/>
                <w:color w:val="auto"/>
              </w:rPr>
            </w:pPr>
          </w:p>
        </w:tc>
        <w:tc>
          <w:tcPr>
            <w:tcW w:w="760" w:type="dxa"/>
            <w:vAlign w:val="bottom"/>
            <w:vMerge w:val="continue"/>
            <w:shd w:val="clear" w:color="auto" w:fill="CCECFF"/>
          </w:tcPr>
          <w:p>
            <w:pPr>
              <w:spacing w:after="0"/>
              <w:rPr>
                <w:sz w:val="5"/>
                <w:szCs w:val="5"/>
                <w:color w:val="auto"/>
              </w:rPr>
            </w:pPr>
          </w:p>
        </w:tc>
        <w:tc>
          <w:tcPr>
            <w:tcW w:w="240" w:type="dxa"/>
            <w:vAlign w:val="bottom"/>
            <w:shd w:val="clear" w:color="auto" w:fill="CCECFF"/>
          </w:tcPr>
          <w:p>
            <w:pPr>
              <w:spacing w:after="0"/>
              <w:rPr>
                <w:sz w:val="5"/>
                <w:szCs w:val="5"/>
                <w:color w:val="auto"/>
              </w:rPr>
            </w:pPr>
          </w:p>
        </w:tc>
        <w:tc>
          <w:tcPr>
            <w:tcW w:w="660" w:type="dxa"/>
            <w:vAlign w:val="bottom"/>
            <w:vMerge w:val="continue"/>
            <w:shd w:val="clear" w:color="auto" w:fill="CCECFF"/>
          </w:tcPr>
          <w:p>
            <w:pPr>
              <w:spacing w:after="0"/>
              <w:rPr>
                <w:sz w:val="5"/>
                <w:szCs w:val="5"/>
                <w:color w:val="auto"/>
              </w:rPr>
            </w:pPr>
          </w:p>
        </w:tc>
        <w:tc>
          <w:tcPr>
            <w:tcW w:w="200" w:type="dxa"/>
            <w:vAlign w:val="bottom"/>
            <w:shd w:val="clear" w:color="auto" w:fill="CCECFF"/>
          </w:tcPr>
          <w:p>
            <w:pPr>
              <w:spacing w:after="0"/>
              <w:rPr>
                <w:sz w:val="5"/>
                <w:szCs w:val="5"/>
                <w:color w:val="auto"/>
              </w:rPr>
            </w:pPr>
          </w:p>
        </w:tc>
        <w:tc>
          <w:tcPr>
            <w:tcW w:w="980" w:type="dxa"/>
            <w:vAlign w:val="bottom"/>
            <w:vMerge w:val="continue"/>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03/16/26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11.43%</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SOFR+615</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6,952</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6,940</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6,605</w:t>
            </w: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Graffiti Buyer,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08/10/27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10.45%</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SOFR+560</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3,118</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3,081</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3,087</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12/31/26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10.20%</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SOFR+560</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6,146</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6,146</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6,023</w:t>
            </w: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HEC Purchaser Corp.</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06/17/29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9.75%</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SOFR+550</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7,980</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7,887</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7,924</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Hills Distribution,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11/08/29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11.11%</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SOFR+600</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14,292</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14,106</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14,149</w:t>
            </w:r>
          </w:p>
        </w:tc>
        <w:tc>
          <w:tcPr>
            <w:tcW w:w="0" w:type="dxa"/>
            <w:vAlign w:val="bottom"/>
          </w:tcPr>
          <w:p>
            <w:pPr>
              <w:spacing w:after="0"/>
              <w:rPr>
                <w:sz w:val="1"/>
                <w:szCs w:val="1"/>
                <w:color w:val="auto"/>
              </w:rPr>
            </w:pPr>
          </w:p>
        </w:tc>
      </w:tr>
      <w:tr>
        <w:trPr>
          <w:trHeight w:val="121"/>
        </w:trPr>
        <w:tc>
          <w:tcPr>
            <w:tcW w:w="27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84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12.00%</w:t>
            </w:r>
          </w:p>
        </w:tc>
        <w:tc>
          <w:tcPr>
            <w:tcW w:w="12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HV Watterson Holdings,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12/17/26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4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(PIK 4.0%)</w:t>
            </w:r>
          </w:p>
        </w:tc>
        <w:tc>
          <w:tcPr>
            <w:tcW w:w="12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15,144</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15,019</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13,887</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HW Holdco,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05/10/26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11.04%</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SOFR+590</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18,355</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18,296</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18,355</w:t>
            </w:r>
          </w:p>
        </w:tc>
        <w:tc>
          <w:tcPr>
            <w:tcW w:w="0" w:type="dxa"/>
            <w:vAlign w:val="bottom"/>
          </w:tcPr>
          <w:p>
            <w:pPr>
              <w:spacing w:after="0"/>
              <w:rPr>
                <w:sz w:val="1"/>
                <w:szCs w:val="1"/>
                <w:color w:val="auto"/>
              </w:rPr>
            </w:pPr>
          </w:p>
        </w:tc>
      </w:tr>
      <w:tr>
        <w:trPr>
          <w:trHeight w:val="148"/>
        </w:trPr>
        <w:tc>
          <w:tcPr>
            <w:tcW w:w="27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8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09/22/28</w:t>
            </w:r>
          </w:p>
        </w:tc>
        <w:tc>
          <w:tcPr>
            <w:tcW w:w="20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40" w:type="dxa"/>
            <w:vAlign w:val="bottom"/>
            <w:tcBorders>
              <w:bottom w:val="single" w:sz="8" w:color="CCECFF"/>
            </w:tcBorders>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11.35%</w:t>
            </w:r>
          </w:p>
        </w:tc>
        <w:tc>
          <w:tcPr>
            <w:tcW w:w="1280" w:type="dxa"/>
            <w:vAlign w:val="bottom"/>
            <w:tcBorders>
              <w:bottom w:val="single" w:sz="8" w:color="CCECFF"/>
            </w:tcBorders>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SOFR+610</w:t>
            </w:r>
          </w:p>
        </w:tc>
        <w:tc>
          <w:tcPr>
            <w:tcW w:w="76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4,383</w:t>
            </w:r>
          </w:p>
        </w:tc>
        <w:tc>
          <w:tcPr>
            <w:tcW w:w="24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4,322</w:t>
            </w:r>
          </w:p>
        </w:tc>
        <w:tc>
          <w:tcPr>
            <w:tcW w:w="200" w:type="dxa"/>
            <w:vAlign w:val="bottom"/>
            <w:tcBorders>
              <w:bottom w:val="single" w:sz="8" w:color="CCECFF"/>
            </w:tcBorders>
            <w:shd w:val="clear" w:color="auto" w:fill="CCECFF"/>
          </w:tcPr>
          <w:p>
            <w:pPr>
              <w:spacing w:after="0"/>
              <w:rPr>
                <w:sz w:val="12"/>
                <w:szCs w:val="12"/>
                <w:color w:val="auto"/>
              </w:rPr>
            </w:pPr>
          </w:p>
        </w:tc>
        <w:tc>
          <w:tcPr>
            <w:tcW w:w="980" w:type="dxa"/>
            <w:vAlign w:val="bottom"/>
            <w:tcBorders>
              <w:bottom w:val="single" w:sz="8" w:color="CCECFF"/>
            </w:tcBorders>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4,339</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Imagine Acquisitionco,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11/15/27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10.20%</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SOFR+510</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5,509</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5,440</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5,481</w:t>
            </w: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12/28/28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11.49%</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SOFR+685</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13,890</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13,730</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14,029</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Infolinks Media Buyco,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11/01/26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10.10%</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SOFR+550</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12,286</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12,214</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12,194</w:t>
            </w: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Inventus Power,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06/30/25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12.46%</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SOFR+761</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13,101</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12,980</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12,905</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Kinetic Purchaser,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11/10/27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10.75%</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SOFR+615</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13,701</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13,520</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13,701</w:t>
            </w:r>
          </w:p>
        </w:tc>
        <w:tc>
          <w:tcPr>
            <w:tcW w:w="0" w:type="dxa"/>
            <w:vAlign w:val="bottom"/>
          </w:tcPr>
          <w:p>
            <w:pPr>
              <w:spacing w:after="0"/>
              <w:rPr>
                <w:sz w:val="1"/>
                <w:szCs w:val="1"/>
                <w:color w:val="auto"/>
              </w:rPr>
            </w:pPr>
          </w:p>
        </w:tc>
      </w:tr>
      <w:tr>
        <w:trPr>
          <w:trHeight w:val="121"/>
        </w:trPr>
        <w:tc>
          <w:tcPr>
            <w:tcW w:w="27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840" w:type="dxa"/>
            <w:vAlign w:val="bottom"/>
            <w:shd w:val="clear" w:color="auto" w:fill="CCECFF"/>
          </w:tcPr>
          <w:p>
            <w:pPr>
              <w:spacing w:after="0"/>
              <w:rPr>
                <w:sz w:val="10"/>
                <w:szCs w:val="10"/>
                <w:color w:val="auto"/>
              </w:rPr>
            </w:pPr>
          </w:p>
        </w:tc>
        <w:tc>
          <w:tcPr>
            <w:tcW w:w="12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LAV Gear Holdings,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10/31/25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11.66%</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SOFR+640</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4,613</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4,601</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4,530</w:t>
            </w:r>
          </w:p>
        </w:tc>
        <w:tc>
          <w:tcPr>
            <w:tcW w:w="0" w:type="dxa"/>
            <w:vAlign w:val="bottom"/>
          </w:tcPr>
          <w:p>
            <w:pPr>
              <w:spacing w:after="0"/>
              <w:rPr>
                <w:sz w:val="1"/>
                <w:szCs w:val="1"/>
                <w:color w:val="auto"/>
              </w:rPr>
            </w:pPr>
          </w:p>
        </w:tc>
      </w:tr>
      <w:tr>
        <w:trPr>
          <w:trHeight w:val="121"/>
        </w:trPr>
        <w:tc>
          <w:tcPr>
            <w:tcW w:w="2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4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12.94%</w:t>
            </w:r>
          </w:p>
        </w:tc>
        <w:tc>
          <w:tcPr>
            <w:tcW w:w="1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Lash OpCo,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02/18/27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84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(PIK 5.10%)</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SOFR+785</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20,447</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20,338</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20,243</w:t>
            </w: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Lightspeed Buyer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02/03/26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10.20%</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SOFR+535</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14,267</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14,170</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14,267</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LJ Avalon Holdings,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01/31/30</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10.48%</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SOFR+525</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6,255</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6,151</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6,255</w:t>
            </w: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MAG DS Corp.</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04/01/27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10.20%</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SOFR+550</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8,266</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7,890</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7,770</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Magenta Buyer, LLC -First out</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07/31/28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12.13%</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SOFR+701</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450</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450</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425</w:t>
            </w: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Magenta Buyer, LLC -Second out</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07/31/28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12.38%</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SOFR+801</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569</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569</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390</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Magenta Buyer, LLC -Third out</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07/31/28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11.63%</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SOFR+726</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2,109</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2,109</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617</w:t>
            </w: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MBS Holdings,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04/16/27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10.67%</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SOFR+585</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8,330</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8,256</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8,338</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Meadowlark Acquirer,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12/10/27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10.50%</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SOFR+590</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2,923</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2,884</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2,850</w:t>
            </w: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Medina Health,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10/20/28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10.85%</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SOFR+625</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14,912</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14,765</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14,912</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Megawatt Acquisitionco,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03/01/30</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9.85%</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SOFR+525</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7,960</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7,851</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7,514</w:t>
            </w: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MOREgroup Holdings,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01/16/30</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10.35%</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SOFR+575</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12,450</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12,303</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12,263</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10/01/27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9.77%</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SOFR+515</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5,912</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5,822</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5,912</w:t>
            </w: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NBH Group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08/19/26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11.19%</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SOFR+585</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7,353</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7,311</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7,133</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NORA Acquisition,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08/31/29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10.95%</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SOFR+635</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14,850</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14,597</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14,850</w:t>
            </w:r>
          </w:p>
        </w:tc>
        <w:tc>
          <w:tcPr>
            <w:tcW w:w="0" w:type="dxa"/>
            <w:vAlign w:val="bottom"/>
          </w:tcPr>
          <w:p>
            <w:pPr>
              <w:spacing w:after="0"/>
              <w:rPr>
                <w:sz w:val="1"/>
                <w:szCs w:val="1"/>
                <w:color w:val="auto"/>
              </w:rPr>
            </w:pPr>
          </w:p>
        </w:tc>
      </w:tr>
      <w:tr>
        <w:trPr>
          <w:trHeight w:val="120"/>
        </w:trPr>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Omnia Exterior Solutions,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12/29/29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84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10.01%</w:t>
            </w:r>
          </w:p>
        </w:tc>
        <w:tc>
          <w:tcPr>
            <w:tcW w:w="128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SOFR+550</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9,768</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9,650</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9,622</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One Stop Mailing,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5/7/2027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11.21%</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SOFR+636</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8,380</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8,256</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8,380</w:t>
            </w:r>
          </w:p>
        </w:tc>
        <w:tc>
          <w:tcPr>
            <w:tcW w:w="0" w:type="dxa"/>
            <w:vAlign w:val="bottom"/>
          </w:tcPr>
          <w:p>
            <w:pPr>
              <w:spacing w:after="0"/>
              <w:rPr>
                <w:sz w:val="1"/>
                <w:szCs w:val="1"/>
                <w:color w:val="auto"/>
              </w:rPr>
            </w:pPr>
          </w:p>
        </w:tc>
      </w:tr>
      <w:tr>
        <w:trPr>
          <w:trHeight w:val="124"/>
        </w:trPr>
        <w:tc>
          <w:tcPr>
            <w:tcW w:w="272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0"/>
                <w:szCs w:val="10"/>
                <w:color w:val="auto"/>
              </w:rPr>
              <w:t>Owl Acquisition, LLC</w:t>
            </w:r>
          </w:p>
        </w:tc>
        <w:tc>
          <w:tcPr>
            <w:tcW w:w="82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2/4/2028</w:t>
            </w:r>
          </w:p>
        </w:tc>
        <w:tc>
          <w:tcPr>
            <w:tcW w:w="20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840" w:type="dxa"/>
            <w:vAlign w:val="bottom"/>
            <w:vMerge w:val="restart"/>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10.20%</w:t>
            </w:r>
          </w:p>
        </w:tc>
        <w:tc>
          <w:tcPr>
            <w:tcW w:w="1280" w:type="dxa"/>
            <w:vAlign w:val="bottom"/>
            <w:vMerge w:val="restart"/>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SOFR+535</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3,893</w:t>
            </w: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3,811</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3,825</w:t>
            </w:r>
          </w:p>
        </w:tc>
        <w:tc>
          <w:tcPr>
            <w:tcW w:w="0" w:type="dxa"/>
            <w:vAlign w:val="bottom"/>
          </w:tcPr>
          <w:p>
            <w:pPr>
              <w:spacing w:after="0"/>
              <w:rPr>
                <w:sz w:val="1"/>
                <w:szCs w:val="1"/>
                <w:color w:val="auto"/>
              </w:rPr>
            </w:pPr>
          </w:p>
        </w:tc>
      </w:tr>
      <w:tr>
        <w:trPr>
          <w:trHeight w:val="92"/>
        </w:trPr>
        <w:tc>
          <w:tcPr>
            <w:tcW w:w="2720" w:type="dxa"/>
            <w:vAlign w:val="bottom"/>
            <w:vMerge w:val="continue"/>
            <w:shd w:val="clear" w:color="auto" w:fill="CCECFF"/>
          </w:tcPr>
          <w:p>
            <w:pPr>
              <w:spacing w:after="0"/>
              <w:rPr>
                <w:sz w:val="8"/>
                <w:szCs w:val="8"/>
                <w:color w:val="auto"/>
              </w:rPr>
            </w:pPr>
          </w:p>
        </w:tc>
        <w:tc>
          <w:tcPr>
            <w:tcW w:w="820" w:type="dxa"/>
            <w:vAlign w:val="bottom"/>
            <w:vMerge w:val="continue"/>
            <w:shd w:val="clear" w:color="auto" w:fill="CCECFF"/>
          </w:tcPr>
          <w:p>
            <w:pPr>
              <w:spacing w:after="0"/>
              <w:rPr>
                <w:sz w:val="8"/>
                <w:szCs w:val="8"/>
                <w:color w:val="auto"/>
              </w:rPr>
            </w:pPr>
          </w:p>
        </w:tc>
        <w:tc>
          <w:tcPr>
            <w:tcW w:w="2060" w:type="dxa"/>
            <w:vAlign w:val="bottom"/>
            <w:vMerge w:val="continue"/>
            <w:shd w:val="clear" w:color="auto" w:fill="CCECFF"/>
          </w:tcPr>
          <w:p>
            <w:pPr>
              <w:spacing w:after="0"/>
              <w:rPr>
                <w:sz w:val="8"/>
                <w:szCs w:val="8"/>
                <w:color w:val="auto"/>
              </w:rPr>
            </w:pPr>
          </w:p>
        </w:tc>
        <w:tc>
          <w:tcPr>
            <w:tcW w:w="840" w:type="dxa"/>
            <w:vAlign w:val="bottom"/>
            <w:vMerge w:val="continue"/>
            <w:shd w:val="clear" w:color="auto" w:fill="CCECFF"/>
          </w:tcPr>
          <w:p>
            <w:pPr>
              <w:spacing w:after="0"/>
              <w:rPr>
                <w:sz w:val="8"/>
                <w:szCs w:val="8"/>
                <w:color w:val="auto"/>
              </w:rPr>
            </w:pPr>
          </w:p>
        </w:tc>
        <w:tc>
          <w:tcPr>
            <w:tcW w:w="1280" w:type="dxa"/>
            <w:vAlign w:val="bottom"/>
            <w:vMerge w:val="continue"/>
            <w:shd w:val="clear" w:color="auto" w:fill="CCECFF"/>
          </w:tcPr>
          <w:p>
            <w:pPr>
              <w:spacing w:after="0"/>
              <w:rPr>
                <w:sz w:val="8"/>
                <w:szCs w:val="8"/>
                <w:color w:val="auto"/>
              </w:rPr>
            </w:pPr>
          </w:p>
        </w:tc>
        <w:tc>
          <w:tcPr>
            <w:tcW w:w="760" w:type="dxa"/>
            <w:vAlign w:val="bottom"/>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9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Ox Two,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5/18/2026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11.12%</w:t>
            </w: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SOFR+651</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9,340</w:t>
            </w:r>
          </w:p>
        </w:tc>
        <w:tc>
          <w:tcPr>
            <w:tcW w:w="24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9,307</w:t>
            </w:r>
          </w:p>
        </w:tc>
        <w:tc>
          <w:tcPr>
            <w:tcW w:w="200" w:type="dxa"/>
            <w:vAlign w:val="bottom"/>
          </w:tcPr>
          <w:p>
            <w:pPr>
              <w:spacing w:after="0"/>
              <w:rPr>
                <w:sz w:val="10"/>
                <w:szCs w:val="1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9,340</w:t>
            </w:r>
          </w:p>
        </w:tc>
        <w:tc>
          <w:tcPr>
            <w:tcW w:w="0" w:type="dxa"/>
            <w:vAlign w:val="bottom"/>
          </w:tcPr>
          <w:p>
            <w:pPr>
              <w:spacing w:after="0"/>
              <w:rPr>
                <w:sz w:val="1"/>
                <w:szCs w:val="1"/>
                <w:color w:val="auto"/>
              </w:rPr>
            </w:pPr>
          </w:p>
        </w:tc>
      </w:tr>
      <w:tr>
        <w:trPr>
          <w:trHeight w:val="348"/>
        </w:trPr>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60" w:type="dxa"/>
            <w:vAlign w:val="bottom"/>
          </w:tcPr>
          <w:p>
            <w:pPr>
              <w:jc w:val="right"/>
              <w:ind w:right="191"/>
              <w:spacing w:after="0"/>
              <w:rPr>
                <w:sz w:val="20"/>
                <w:szCs w:val="20"/>
                <w:color w:val="auto"/>
              </w:rPr>
            </w:pPr>
            <w:r>
              <w:rPr>
                <w:rFonts w:ascii="Times New Roman" w:cs="Times New Roman" w:eastAsia="Times New Roman" w:hAnsi="Times New Roman"/>
                <w:sz w:val="13"/>
                <w:szCs w:val="13"/>
                <w:color w:val="auto"/>
              </w:rPr>
              <w:t>42</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0"/>
        </w:trPr>
        <w:tc>
          <w:tcPr>
            <w:tcW w:w="272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206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jc w:val="center"/>
              <w:ind w:right="191"/>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00" w:type="dxa"/>
            <w:vAlign w:val="bottom"/>
          </w:tcPr>
          <w:p>
            <w:pPr>
              <w:jc w:val="right"/>
              <w:ind w:right="251"/>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300" w:type="dxa"/>
            <w:vAlign w:val="bottom"/>
          </w:tcPr>
          <w:p>
            <w:pPr>
              <w:jc w:val="center"/>
              <w:ind w:right="171"/>
              <w:spacing w:after="0" w:line="145" w:lineRule="exact"/>
              <w:rPr>
                <w:sz w:val="20"/>
                <w:szCs w:val="20"/>
                <w:color w:val="auto"/>
              </w:rPr>
            </w:pPr>
            <w:r>
              <w:rPr>
                <w:rFonts w:ascii="Times New Roman" w:cs="Times New Roman" w:eastAsia="Times New Roman" w:hAnsi="Times New Roman"/>
                <w:sz w:val="13"/>
                <w:szCs w:val="13"/>
                <w:b w:val="1"/>
                <w:bCs w:val="1"/>
                <w:color w:val="auto"/>
              </w:rPr>
              <w:t>Spread Above</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Issuer Name</w:t>
            </w:r>
          </w:p>
        </w:tc>
        <w:tc>
          <w:tcPr>
            <w:tcW w:w="8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Industry</w:t>
            </w:r>
          </w:p>
        </w:tc>
        <w:tc>
          <w:tcPr>
            <w:tcW w:w="900" w:type="dxa"/>
            <w:vAlign w:val="bottom"/>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300" w:type="dxa"/>
            <w:vAlign w:val="bottom"/>
          </w:tcPr>
          <w:p>
            <w:pPr>
              <w:jc w:val="center"/>
              <w:ind w:right="191"/>
              <w:spacing w:after="0" w:line="181" w:lineRule="exact"/>
              <w:rPr>
                <w:sz w:val="20"/>
                <w:szCs w:val="20"/>
                <w:color w:val="auto"/>
              </w:rPr>
            </w:pPr>
            <w:r>
              <w:rPr>
                <w:rFonts w:ascii="Times New Roman" w:cs="Times New Roman" w:eastAsia="Times New Roman" w:hAnsi="Times New Roman"/>
                <w:sz w:val="13"/>
                <w:szCs w:val="13"/>
                <w:b w:val="1"/>
                <w:bCs w:val="1"/>
                <w:color w:val="auto"/>
                <w:w w:val="96"/>
              </w:rPr>
              <w:t xml:space="preserve">Index </w:t>
            </w:r>
            <w:r>
              <w:rPr>
                <w:rFonts w:ascii="Times New Roman" w:cs="Times New Roman" w:eastAsia="Times New Roman" w:hAnsi="Times New Roman"/>
                <w:sz w:val="16"/>
                <w:szCs w:val="16"/>
                <w:b w:val="1"/>
                <w:bCs w:val="1"/>
                <w:color w:val="auto"/>
                <w:w w:val="96"/>
                <w:vertAlign w:val="superscript"/>
              </w:rPr>
              <w:t>(1)</w:t>
            </w:r>
          </w:p>
        </w:tc>
        <w:tc>
          <w:tcPr>
            <w:tcW w:w="1020" w:type="dxa"/>
            <w:vAlign w:val="bottom"/>
            <w:gridSpan w:val="2"/>
          </w:tcPr>
          <w:p>
            <w:pPr>
              <w:jc w:val="right"/>
              <w:ind w:right="512"/>
              <w:spacing w:after="0"/>
              <w:rPr>
                <w:sz w:val="20"/>
                <w:szCs w:val="20"/>
                <w:color w:val="auto"/>
              </w:rPr>
            </w:pPr>
            <w:r>
              <w:rPr>
                <w:rFonts w:ascii="Times New Roman" w:cs="Times New Roman" w:eastAsia="Times New Roman" w:hAnsi="Times New Roman"/>
                <w:sz w:val="13"/>
                <w:szCs w:val="13"/>
                <w:b w:val="1"/>
                <w:bCs w:val="1"/>
                <w:color w:val="auto"/>
              </w:rPr>
              <w:t>Par</w:t>
            </w:r>
          </w:p>
        </w:tc>
        <w:tc>
          <w:tcPr>
            <w:tcW w:w="560" w:type="dxa"/>
            <w:vAlign w:val="bottom"/>
          </w:tcPr>
          <w:p>
            <w:pPr>
              <w:jc w:val="right"/>
              <w:ind w:right="172"/>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3"/>
                <w:szCs w:val="13"/>
                <w:b w:val="1"/>
                <w:bCs w:val="1"/>
                <w:color w:val="auto"/>
                <w:w w:val="98"/>
              </w:rPr>
              <w:t xml:space="preserve">Fair Value </w:t>
            </w:r>
            <w:r>
              <w:rPr>
                <w:rFonts w:ascii="Times New Roman" w:cs="Times New Roman" w:eastAsia="Times New Roman" w:hAnsi="Times New Roman"/>
                <w:sz w:val="16"/>
                <w:szCs w:val="16"/>
                <w:b w:val="1"/>
                <w:bCs w:val="1"/>
                <w:color w:val="auto"/>
                <w:w w:val="98"/>
                <w:vertAlign w:val="superscript"/>
              </w:rPr>
              <w:t>(2)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Pacific Purchaser, LLC</w:t>
            </w:r>
          </w:p>
        </w:tc>
        <w:tc>
          <w:tcPr>
            <w:tcW w:w="8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10/2/2028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11.51%</w:t>
            </w:r>
          </w:p>
        </w:tc>
        <w:tc>
          <w:tcPr>
            <w:tcW w:w="130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SOFR+600</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12,903</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12,682</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12,877</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PCS Midco, Inc.</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3/1/2030</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10.81%</w:t>
            </w: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5,812</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5,735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5,812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90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11.99%</w:t>
            </w:r>
          </w:p>
        </w:tc>
        <w:tc>
          <w:tcPr>
            <w:tcW w:w="13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PL Acquisitionco, LLC</w:t>
            </w:r>
          </w:p>
        </w:tc>
        <w:tc>
          <w:tcPr>
            <w:tcW w:w="8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11/9/2027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Retail</w:t>
            </w:r>
          </w:p>
        </w:tc>
        <w:tc>
          <w:tcPr>
            <w:tcW w:w="90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(PIK 3.5%)</w:t>
            </w:r>
          </w:p>
        </w:tc>
        <w:tc>
          <w:tcPr>
            <w:tcW w:w="130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SOFR+725</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8,193</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8,100</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6,554</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Quantic Electronics,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11/19/2026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10.95%</w:t>
            </w: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SOFR+635</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3,280</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3,245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3,263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8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5/3/2029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10.35%</w:t>
            </w:r>
          </w:p>
        </w:tc>
        <w:tc>
          <w:tcPr>
            <w:tcW w:w="130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19,950</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19,673</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19,551</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Radius Aerospace, Inc.</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3/31/2025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10.75%</w:t>
            </w: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12,565</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12,543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12,313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Rancho Health MSO, Inc.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12/18/2025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10.85%</w:t>
            </w:r>
          </w:p>
        </w:tc>
        <w:tc>
          <w:tcPr>
            <w:tcW w:w="130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SOFR+560</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5,530</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5,530</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5,530</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Reception Purchaser, LLC</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4/28/2028</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25.00%</w:t>
            </w: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SOFR+615</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4,937</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4,888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3,703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Recteq, LLC</w:t>
            </w:r>
          </w:p>
        </w:tc>
        <w:tc>
          <w:tcPr>
            <w:tcW w:w="8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1/29/2026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11.75%</w:t>
            </w:r>
          </w:p>
        </w:tc>
        <w:tc>
          <w:tcPr>
            <w:tcW w:w="130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SOFR+715</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9,650</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9,592</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9,554</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Riverpoint Medical, LLC</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6/21/2025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9.85%</w:t>
            </w: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3,932</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3,919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3,936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8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6/16/2029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90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10.74%</w:t>
            </w:r>
          </w:p>
        </w:tc>
        <w:tc>
          <w:tcPr>
            <w:tcW w:w="130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4,336</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4,268</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4,282</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S101 Holdings Inc.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12/29/2026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11.48%</w:t>
            </w: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SOFR+615</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6,467</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6,387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6,402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Sales Benchmark Index LLC</w:t>
            </w:r>
          </w:p>
        </w:tc>
        <w:tc>
          <w:tcPr>
            <w:tcW w:w="8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1/3/2025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10.80%</w:t>
            </w:r>
          </w:p>
        </w:tc>
        <w:tc>
          <w:tcPr>
            <w:tcW w:w="130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SOFR+620</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6,676</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6,668</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6,676</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90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12.45%</w:t>
            </w:r>
          </w:p>
        </w:tc>
        <w:tc>
          <w:tcPr>
            <w:tcW w:w="1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Sargent &amp; Greenleaf Inc.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12/20/2024</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0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(PIK 1.00%)</w:t>
            </w: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SOFR+760</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4,634</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4,634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4,634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Seaway Buyer, LLC</w:t>
            </w:r>
          </w:p>
        </w:tc>
        <w:tc>
          <w:tcPr>
            <w:tcW w:w="8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6/13/2029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90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10.75%</w:t>
            </w:r>
          </w:p>
        </w:tc>
        <w:tc>
          <w:tcPr>
            <w:tcW w:w="130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SOFR+615</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14,700</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14,510</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14,186</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Sigma Defense Systems,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12/18/2027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11.50%</w:t>
            </w: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SOFR+690</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14,621</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14,465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14,475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Simplicity Financial Marketing Group Holdings, Inc</w:t>
            </w:r>
          </w:p>
        </w:tc>
        <w:tc>
          <w:tcPr>
            <w:tcW w:w="8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12/2/2026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Banking, Finance, Insurance &amp; Real Estate</w:t>
            </w:r>
          </w:p>
        </w:tc>
        <w:tc>
          <w:tcPr>
            <w:tcW w:w="90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11.38%</w:t>
            </w:r>
          </w:p>
        </w:tc>
        <w:tc>
          <w:tcPr>
            <w:tcW w:w="130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SOFR+640</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11,359</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11,207</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11,472</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5/17/2028</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9.46%</w:t>
            </w: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SOFR+461</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1,290</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Smartronix,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11/23/2028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10.35%</w:t>
            </w:r>
          </w:p>
        </w:tc>
        <w:tc>
          <w:tcPr>
            <w:tcW w:w="130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SOFR+610</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25,078</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24,798</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25,073</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Solutionreach, Inc.</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7/17/2025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Communications</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12.40%</w:t>
            </w: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SOFR+715</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9,239</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9,216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9,239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SpendMend Holdings, LLC</w:t>
            </w:r>
          </w:p>
        </w:tc>
        <w:tc>
          <w:tcPr>
            <w:tcW w:w="8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3/1/2028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10.26%</w:t>
            </w:r>
          </w:p>
        </w:tc>
        <w:tc>
          <w:tcPr>
            <w:tcW w:w="130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SOFR+565</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9,510</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9,302</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9,510</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11/24/2028</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9.31%</w:t>
            </w: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SOFR+425</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3,554</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3,305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w w:val="99"/>
              </w:rPr>
              <w:t>System Planning and Analysis, Inc. (f/k/a Management Consulting</w:t>
            </w:r>
          </w:p>
        </w:tc>
        <w:tc>
          <w:tcPr>
            <w:tcW w:w="88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13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&amp; Research, LLC)</w:t>
            </w:r>
          </w:p>
        </w:tc>
        <w:tc>
          <w:tcPr>
            <w:tcW w:w="8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8/16/2027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10.26%</w:t>
            </w:r>
          </w:p>
        </w:tc>
        <w:tc>
          <w:tcPr>
            <w:tcW w:w="130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SOFR+500</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15,803</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15,600</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15,772</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TCG 3.0 Jogger Acquisitionco, Inc.</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1/23/2029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11.10%</w:t>
            </w: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SOFR+650</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9,950</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9,800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9,851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TPC US Parent,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11/24/2025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90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10.98%</w:t>
            </w:r>
          </w:p>
        </w:tc>
        <w:tc>
          <w:tcPr>
            <w:tcW w:w="130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SOFR+565</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11,392</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11,330</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11,392</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6/6/2025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11.33%</w:t>
            </w: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SOFR+640</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1,568</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Team Services Group,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11/24/2028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9.95%</w:t>
            </w:r>
          </w:p>
        </w:tc>
        <w:tc>
          <w:tcPr>
            <w:tcW w:w="130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SOFR+510</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9,661</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9,462</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9,537</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Teneo Holdings LLC</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3/13/2031</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9.60%</w:t>
            </w: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SOFR+475</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2,985</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2,955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2,994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The Bluebird Group LLC</w:t>
            </w:r>
          </w:p>
        </w:tc>
        <w:tc>
          <w:tcPr>
            <w:tcW w:w="8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7/27/2026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11.25%</w:t>
            </w:r>
          </w:p>
        </w:tc>
        <w:tc>
          <w:tcPr>
            <w:tcW w:w="130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SOFR+665</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14,445</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14,404</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14,445</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The Vertex Companies, LLC</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8/31/2027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10.99%</w:t>
            </w: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SOFR+610</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7,611</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7,536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7,611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Transgo,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12/29/2028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0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10.60%</w:t>
            </w:r>
          </w:p>
        </w:tc>
        <w:tc>
          <w:tcPr>
            <w:tcW w:w="130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14,479</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14,282</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14,479</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Tyto Athene, LLC</w:t>
            </w:r>
          </w:p>
        </w:tc>
        <w:tc>
          <w:tcPr>
            <w:tcW w:w="880" w:type="dxa"/>
            <w:vAlign w:val="bottom"/>
            <w:vMerge w:val="restart"/>
          </w:tcPr>
          <w:p>
            <w:pPr>
              <w:jc w:val="center"/>
              <w:ind w:right="52"/>
              <w:spacing w:after="0"/>
              <w:rPr>
                <w:sz w:val="20"/>
                <w:szCs w:val="20"/>
                <w:color w:val="auto"/>
              </w:rPr>
            </w:pPr>
            <w:r>
              <w:rPr>
                <w:rFonts w:ascii="Times New Roman" w:cs="Times New Roman" w:eastAsia="Times New Roman" w:hAnsi="Times New Roman"/>
                <w:sz w:val="10"/>
                <w:szCs w:val="10"/>
                <w:color w:val="auto"/>
                <w:w w:val="95"/>
              </w:rPr>
              <w:t>4/3/2028</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vMerge w:val="restart"/>
          </w:tcPr>
          <w:p>
            <w:pPr>
              <w:jc w:val="right"/>
              <w:ind w:right="91"/>
              <w:spacing w:after="0"/>
              <w:rPr>
                <w:sz w:val="20"/>
                <w:szCs w:val="20"/>
                <w:color w:val="auto"/>
              </w:rPr>
            </w:pPr>
            <w:r>
              <w:rPr>
                <w:rFonts w:ascii="Times New Roman" w:cs="Times New Roman" w:eastAsia="Times New Roman" w:hAnsi="Times New Roman"/>
                <w:sz w:val="10"/>
                <w:szCs w:val="10"/>
                <w:color w:val="auto"/>
              </w:rPr>
              <w:t>10.23%</w:t>
            </w:r>
          </w:p>
        </w:tc>
        <w:tc>
          <w:tcPr>
            <w:tcW w:w="1300" w:type="dxa"/>
            <w:vAlign w:val="bottom"/>
            <w:vMerge w:val="restart"/>
          </w:tcPr>
          <w:p>
            <w:pPr>
              <w:jc w:val="right"/>
              <w:ind w:right="191"/>
              <w:spacing w:after="0"/>
              <w:rPr>
                <w:sz w:val="20"/>
                <w:szCs w:val="20"/>
                <w:color w:val="auto"/>
              </w:rPr>
            </w:pPr>
            <w:r>
              <w:rPr>
                <w:rFonts w:ascii="Times New Roman" w:cs="Times New Roman" w:eastAsia="Times New Roman" w:hAnsi="Times New Roman"/>
                <w:sz w:val="10"/>
                <w:szCs w:val="10"/>
                <w:color w:val="auto"/>
              </w:rPr>
              <w:t>SOFR+490</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11,393</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11,306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11,165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70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96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8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6/15/2026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11.46%</w:t>
            </w:r>
          </w:p>
        </w:tc>
        <w:tc>
          <w:tcPr>
            <w:tcW w:w="130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SOFR+550</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10,928</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10,836</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10,819</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Watchtower Buyer, LLC</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12/1/2029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10.60%</w:t>
            </w: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SOFR+600</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13,942</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13,769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13,803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Wildcat Buyerco, Inc.</w:t>
            </w:r>
          </w:p>
        </w:tc>
        <w:tc>
          <w:tcPr>
            <w:tcW w:w="8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2/27/2027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0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10.60%</w:t>
            </w:r>
          </w:p>
        </w:tc>
        <w:tc>
          <w:tcPr>
            <w:tcW w:w="130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19,256</w:t>
            </w: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19,126</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19,256</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90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12.46%</w:t>
            </w:r>
          </w:p>
        </w:tc>
        <w:tc>
          <w:tcPr>
            <w:tcW w:w="1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Zips Car Wash,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12/31/2024</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(PIK 1.5%)</w:t>
            </w: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SOFR+740</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19,687</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19,648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18,801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26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13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8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1,033,954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1,028,874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Equity Security - 2.1% of Net Assets</w:t>
            </w:r>
          </w:p>
        </w:tc>
        <w:tc>
          <w:tcPr>
            <w:tcW w:w="88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13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Dynata, LLC - Common Equity</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134</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2,351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2,351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13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2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26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Total Investments - 918.5% of Net Assets </w:t>
            </w:r>
            <w:r>
              <w:rPr>
                <w:rFonts w:ascii="Times New Roman" w:cs="Times New Roman" w:eastAsia="Times New Roman" w:hAnsi="Times New Roman"/>
                <w:sz w:val="12"/>
                <w:szCs w:val="12"/>
                <w:b w:val="1"/>
                <w:bCs w:val="1"/>
                <w:color w:val="auto"/>
                <w:vertAlign w:val="superscript"/>
              </w:rPr>
              <w:t>(3)(4)</w:t>
            </w:r>
          </w:p>
        </w:tc>
        <w:tc>
          <w:tcPr>
            <w:tcW w:w="88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13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1,036,305</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1,031,225</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Cash and Cash Equivalents - 32.6% o f Net Assets</w:t>
            </w:r>
          </w:p>
        </w:tc>
        <w:tc>
          <w:tcPr>
            <w:tcW w:w="8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BlackRock Federal FD Institutional 30 (Money Market Fund)</w:t>
            </w:r>
          </w:p>
        </w:tc>
        <w:tc>
          <w:tcPr>
            <w:tcW w:w="88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13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36,595</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36,595</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8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36,595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36,595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 - 951.1% of Net</w:t>
            </w:r>
          </w:p>
        </w:tc>
        <w:tc>
          <w:tcPr>
            <w:tcW w:w="88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1300" w:type="dxa"/>
            <w:vAlign w:val="bottom"/>
            <w:shd w:val="clear" w:color="auto" w:fill="CCECFF"/>
          </w:tcPr>
          <w:p>
            <w:pPr>
              <w:spacing w:after="0"/>
              <w:rPr>
                <w:sz w:val="10"/>
                <w:szCs w:val="10"/>
                <w:color w:val="auto"/>
              </w:rPr>
            </w:pPr>
          </w:p>
        </w:tc>
        <w:tc>
          <w:tcPr>
            <w:tcW w:w="880" w:type="dxa"/>
            <w:vAlign w:val="bottom"/>
            <w:vMerge w:val="restart"/>
            <w:shd w:val="clear" w:color="auto" w:fill="CCECFF"/>
          </w:tcPr>
          <w:p>
            <w:pPr>
              <w:spacing w:after="0"/>
              <w:rPr>
                <w:sz w:val="10"/>
                <w:szCs w:val="10"/>
                <w:color w:val="auto"/>
              </w:rPr>
            </w:pPr>
          </w:p>
        </w:tc>
        <w:tc>
          <w:tcPr>
            <w:tcW w:w="140" w:type="dxa"/>
            <w:vAlign w:val="bottom"/>
            <w:vMerge w:val="restart"/>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1,072,900</w:t>
            </w:r>
          </w:p>
        </w:tc>
        <w:tc>
          <w:tcPr>
            <w:tcW w:w="200" w:type="dxa"/>
            <w:vAlign w:val="bottom"/>
            <w:vMerge w:val="restart"/>
            <w:shd w:val="clear" w:color="auto" w:fill="CCECFF"/>
          </w:tcPr>
          <w:p>
            <w:pPr>
              <w:spacing w:after="0"/>
              <w:rPr>
                <w:sz w:val="10"/>
                <w:szCs w:val="10"/>
                <w:color w:val="auto"/>
              </w:rPr>
            </w:pPr>
          </w:p>
        </w:tc>
        <w:tc>
          <w:tcPr>
            <w:tcW w:w="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1,067,820</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80" w:type="dxa"/>
            <w:vAlign w:val="bottom"/>
            <w:tcBorders>
              <w:bottom w:val="single" w:sz="8" w:color="CCECFF"/>
            </w:tcBorders>
            <w:shd w:val="clear" w:color="auto" w:fill="CCECFF"/>
          </w:tcPr>
          <w:p>
            <w:pPr>
              <w:spacing w:after="0" w:line="78" w:lineRule="exact"/>
              <w:rPr>
                <w:sz w:val="20"/>
                <w:szCs w:val="20"/>
                <w:color w:val="auto"/>
              </w:rPr>
            </w:pPr>
            <w:r>
              <w:rPr>
                <w:rFonts w:ascii="Times New Roman" w:cs="Times New Roman" w:eastAsia="Times New Roman" w:hAnsi="Times New Roman"/>
                <w:sz w:val="8"/>
                <w:szCs w:val="8"/>
                <w:b w:val="1"/>
                <w:bCs w:val="1"/>
                <w:color w:val="auto"/>
              </w:rPr>
              <w:t>Assets</w:t>
            </w:r>
          </w:p>
        </w:tc>
        <w:tc>
          <w:tcPr>
            <w:tcW w:w="880" w:type="dxa"/>
            <w:vAlign w:val="bottom"/>
            <w:tcBorders>
              <w:bottom w:val="single" w:sz="8" w:color="CCECFF"/>
            </w:tcBorders>
            <w:shd w:val="clear" w:color="auto" w:fill="CCECFF"/>
          </w:tcPr>
          <w:p>
            <w:pPr>
              <w:spacing w:after="0"/>
              <w:rPr>
                <w:sz w:val="10"/>
                <w:szCs w:val="10"/>
                <w:color w:val="auto"/>
              </w:rPr>
            </w:pPr>
          </w:p>
        </w:tc>
        <w:tc>
          <w:tcPr>
            <w:tcW w:w="1960" w:type="dxa"/>
            <w:vAlign w:val="bottom"/>
            <w:tcBorders>
              <w:bottom w:val="single" w:sz="8" w:color="CCECFF"/>
            </w:tcBorders>
            <w:shd w:val="clear" w:color="auto" w:fill="CCECFF"/>
          </w:tcPr>
          <w:p>
            <w:pPr>
              <w:spacing w:after="0"/>
              <w:rPr>
                <w:sz w:val="10"/>
                <w:szCs w:val="10"/>
                <w:color w:val="auto"/>
              </w:rPr>
            </w:pPr>
          </w:p>
        </w:tc>
        <w:tc>
          <w:tcPr>
            <w:tcW w:w="900" w:type="dxa"/>
            <w:vAlign w:val="bottom"/>
            <w:tcBorders>
              <w:bottom w:val="single" w:sz="8" w:color="CCECFF"/>
            </w:tcBorders>
            <w:shd w:val="clear" w:color="auto" w:fill="CCECFF"/>
          </w:tcPr>
          <w:p>
            <w:pPr>
              <w:spacing w:after="0"/>
              <w:rPr>
                <w:sz w:val="10"/>
                <w:szCs w:val="10"/>
                <w:color w:val="auto"/>
              </w:rPr>
            </w:pPr>
          </w:p>
        </w:tc>
        <w:tc>
          <w:tcPr>
            <w:tcW w:w="1300" w:type="dxa"/>
            <w:vAlign w:val="bottom"/>
            <w:tcBorders>
              <w:bottom w:val="single" w:sz="8" w:color="CCECFF"/>
            </w:tcBorders>
            <w:shd w:val="clear" w:color="auto" w:fill="CCECFF"/>
          </w:tcPr>
          <w:p>
            <w:pPr>
              <w:spacing w:after="0"/>
              <w:rPr>
                <w:sz w:val="10"/>
                <w:szCs w:val="10"/>
                <w:color w:val="auto"/>
              </w:rPr>
            </w:pPr>
          </w:p>
        </w:tc>
        <w:tc>
          <w:tcPr>
            <w:tcW w:w="880" w:type="dxa"/>
            <w:vAlign w:val="bottom"/>
            <w:tcBorders>
              <w:bottom w:val="single" w:sz="8" w:color="CCECFF"/>
            </w:tcBorders>
            <w:vMerge w:val="continue"/>
            <w:shd w:val="clear" w:color="auto" w:fill="CCECFF"/>
          </w:tcPr>
          <w:p>
            <w:pPr>
              <w:spacing w:after="0"/>
              <w:rPr>
                <w:sz w:val="10"/>
                <w:szCs w:val="10"/>
                <w:color w:val="auto"/>
              </w:rPr>
            </w:pPr>
          </w:p>
        </w:tc>
        <w:tc>
          <w:tcPr>
            <w:tcW w:w="140" w:type="dxa"/>
            <w:vAlign w:val="bottom"/>
            <w:tcBorders>
              <w:bottom w:val="single" w:sz="8" w:color="auto"/>
            </w:tcBorders>
            <w:vMerge w:val="continue"/>
            <w:shd w:val="clear" w:color="auto" w:fill="CCECFF"/>
          </w:tcPr>
          <w:p>
            <w:pPr>
              <w:spacing w:after="0"/>
              <w:rPr>
                <w:sz w:val="10"/>
                <w:szCs w:val="10"/>
                <w:color w:val="auto"/>
              </w:rPr>
            </w:pPr>
          </w:p>
        </w:tc>
        <w:tc>
          <w:tcPr>
            <w:tcW w:w="560" w:type="dxa"/>
            <w:vAlign w:val="bottom"/>
            <w:tcBorders>
              <w:bottom w:val="single" w:sz="8" w:color="auto"/>
            </w:tcBorders>
            <w:vMerge w:val="continue"/>
            <w:shd w:val="clear" w:color="auto" w:fill="CCECFF"/>
          </w:tcPr>
          <w:p>
            <w:pPr>
              <w:spacing w:after="0"/>
              <w:rPr>
                <w:sz w:val="10"/>
                <w:szCs w:val="10"/>
                <w:color w:val="auto"/>
              </w:rPr>
            </w:pPr>
          </w:p>
        </w:tc>
        <w:tc>
          <w:tcPr>
            <w:tcW w:w="200" w:type="dxa"/>
            <w:vAlign w:val="bottom"/>
            <w:tcBorders>
              <w:bottom w:val="single" w:sz="8" w:color="CCECFF"/>
            </w:tcBorders>
            <w:vMerge w:val="continue"/>
            <w:shd w:val="clear" w:color="auto" w:fill="CCECFF"/>
          </w:tcPr>
          <w:p>
            <w:pPr>
              <w:spacing w:after="0"/>
              <w:rPr>
                <w:sz w:val="10"/>
                <w:szCs w:val="10"/>
                <w:color w:val="auto"/>
              </w:rPr>
            </w:pPr>
          </w:p>
        </w:tc>
        <w:tc>
          <w:tcPr>
            <w:tcW w:w="80" w:type="dxa"/>
            <w:vAlign w:val="bottom"/>
            <w:tcBorders>
              <w:bottom w:val="single" w:sz="8" w:color="auto"/>
            </w:tcBorders>
            <w:vMerge w:val="continue"/>
            <w:shd w:val="clear" w:color="auto" w:fill="CCECFF"/>
          </w:tcPr>
          <w:p>
            <w:pPr>
              <w:spacing w:after="0"/>
              <w:rPr>
                <w:sz w:val="10"/>
                <w:szCs w:val="10"/>
                <w:color w:val="auto"/>
              </w:rPr>
            </w:pPr>
          </w:p>
        </w:tc>
        <w:tc>
          <w:tcPr>
            <w:tcW w:w="880" w:type="dxa"/>
            <w:vAlign w:val="bottom"/>
            <w:tcBorders>
              <w:bottom w:val="single" w:sz="8" w:color="auto"/>
            </w:tcBorders>
            <w:vMerge w:val="continue"/>
            <w:shd w:val="clear" w:color="auto" w:fill="CCECFF"/>
          </w:tcPr>
          <w:p>
            <w:pPr>
              <w:spacing w:after="0"/>
              <w:rPr>
                <w:sz w:val="10"/>
                <w:szCs w:val="10"/>
                <w:color w:val="auto"/>
              </w:rPr>
            </w:pPr>
          </w:p>
        </w:tc>
        <w:tc>
          <w:tcPr>
            <w:tcW w:w="8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680" w:type="dxa"/>
            <w:vAlign w:val="bottom"/>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(851.1)% of Net Assets</w:t>
            </w:r>
          </w:p>
        </w:tc>
        <w:tc>
          <w:tcPr>
            <w:tcW w:w="8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tcPr>
          <w:p>
            <w:pPr>
              <w:jc w:val="right"/>
              <w:ind w:right="60"/>
              <w:spacing w:after="0" w:line="96" w:lineRule="exact"/>
              <w:rPr>
                <w:sz w:val="20"/>
                <w:szCs w:val="20"/>
                <w:color w:val="auto"/>
              </w:rPr>
            </w:pPr>
            <w:r>
              <w:rPr>
                <w:rFonts w:ascii="Times New Roman" w:cs="Times New Roman" w:eastAsia="Times New Roman" w:hAnsi="Times New Roman"/>
                <w:sz w:val="10"/>
                <w:szCs w:val="10"/>
                <w:color w:val="auto"/>
              </w:rPr>
              <w:t>(955,549)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80" w:type="dxa"/>
            <w:vAlign w:val="bottom"/>
            <w:tcBorders>
              <w:bottom w:val="single" w:sz="8" w:color="CCECFF"/>
            </w:tcBorders>
            <w:shd w:val="clear" w:color="auto" w:fill="CCECFF"/>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Members' Equity—100.0%</w:t>
            </w:r>
          </w:p>
        </w:tc>
        <w:tc>
          <w:tcPr>
            <w:tcW w:w="880" w:type="dxa"/>
            <w:vAlign w:val="bottom"/>
            <w:tcBorders>
              <w:bottom w:val="single" w:sz="8" w:color="CCECFF"/>
            </w:tcBorders>
            <w:shd w:val="clear" w:color="auto" w:fill="CCECFF"/>
          </w:tcPr>
          <w:p>
            <w:pPr>
              <w:spacing w:after="0"/>
              <w:rPr>
                <w:sz w:val="13"/>
                <w:szCs w:val="13"/>
                <w:color w:val="auto"/>
              </w:rPr>
            </w:pPr>
          </w:p>
        </w:tc>
        <w:tc>
          <w:tcPr>
            <w:tcW w:w="1960" w:type="dxa"/>
            <w:vAlign w:val="bottom"/>
            <w:tcBorders>
              <w:bottom w:val="single" w:sz="8" w:color="CCECFF"/>
            </w:tcBorders>
            <w:shd w:val="clear" w:color="auto" w:fill="CCECFF"/>
          </w:tcPr>
          <w:p>
            <w:pPr>
              <w:spacing w:after="0"/>
              <w:rPr>
                <w:sz w:val="13"/>
                <w:szCs w:val="13"/>
                <w:color w:val="auto"/>
              </w:rPr>
            </w:pPr>
          </w:p>
        </w:tc>
        <w:tc>
          <w:tcPr>
            <w:tcW w:w="900" w:type="dxa"/>
            <w:vAlign w:val="bottom"/>
            <w:tcBorders>
              <w:bottom w:val="single" w:sz="8" w:color="CCECFF"/>
            </w:tcBorders>
            <w:shd w:val="clear" w:color="auto" w:fill="CCECFF"/>
          </w:tcPr>
          <w:p>
            <w:pPr>
              <w:spacing w:after="0"/>
              <w:rPr>
                <w:sz w:val="13"/>
                <w:szCs w:val="13"/>
                <w:color w:val="auto"/>
              </w:rPr>
            </w:pPr>
          </w:p>
        </w:tc>
        <w:tc>
          <w:tcPr>
            <w:tcW w:w="1300" w:type="dxa"/>
            <w:vAlign w:val="bottom"/>
            <w:tcBorders>
              <w:bottom w:val="single" w:sz="8" w:color="CCECFF"/>
            </w:tcBorders>
            <w:shd w:val="clear" w:color="auto" w:fill="CCECFF"/>
          </w:tcPr>
          <w:p>
            <w:pPr>
              <w:spacing w:after="0"/>
              <w:rPr>
                <w:sz w:val="13"/>
                <w:szCs w:val="13"/>
                <w:color w:val="auto"/>
              </w:rPr>
            </w:pPr>
          </w:p>
        </w:tc>
        <w:tc>
          <w:tcPr>
            <w:tcW w:w="88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56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112,271</w:t>
            </w:r>
          </w:p>
        </w:tc>
        <w:tc>
          <w:tcPr>
            <w:tcW w:w="8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60"/>
        <w:spacing w:after="0" w:line="219"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Secured Overnight Financing Rate, or "SOFR" or Prime rate or “P”. The spread may change based on the type of rate used. The terms in the Schedule of Investments disclose the actual interest rate in effect as of the reporting period. SOFR loans are typically indexed to a 30-day, 60-day, 90-day or 180-day SOFR rate (1M S, 2M S, 3M S, or 6M S, respectively), at the borrower’s option. All securities are subject to a SOFR or Prime rate floor where a spread is provided, unless noted. The spread provided includes PIK interest and other fee rates, if any.</w:t>
      </w:r>
    </w:p>
    <w:p>
      <w:pPr>
        <w:spacing w:after="0" w:line="231"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1"/>
          <w:szCs w:val="11"/>
          <w:color w:val="auto"/>
        </w:rPr>
        <w:t>Valued based on PSLF’s accounting policy.</w:t>
      </w:r>
    </w:p>
    <w:p>
      <w:pPr>
        <w:spacing w:after="0" w:line="203" w:lineRule="auto"/>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1"/>
          <w:szCs w:val="11"/>
          <w:color w:val="auto"/>
        </w:rPr>
        <w:t>As of September 30, 2024, all investments are in US Companies. Total cost, fair value, and percentage of Net Assets for U.S. Companies were $1,036.3 million, $1,031.2 million and 918.5%</w:t>
      </w:r>
    </w:p>
    <w:p>
      <w:pPr>
        <w:spacing w:after="0" w:line="201" w:lineRule="auto"/>
        <w:rPr>
          <w:sz w:val="20"/>
          <w:szCs w:val="20"/>
          <w:color w:val="auto"/>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1"/>
          <w:szCs w:val="11"/>
          <w:color w:val="auto"/>
        </w:rPr>
        <w:t>All of our investments are not registered under the 1933 Act and have restrictions on resale.</w:t>
      </w:r>
    </w:p>
    <w:p>
      <w:pPr>
        <w:spacing w:after="0" w:line="185" w:lineRule="auto"/>
        <w:rPr>
          <w:sz w:val="20"/>
          <w:szCs w:val="20"/>
          <w:color w:val="auto"/>
        </w:rPr>
      </w:pPr>
      <w:r>
        <w:rPr>
          <w:rFonts w:ascii="Times New Roman" w:cs="Times New Roman" w:eastAsia="Times New Roman" w:hAnsi="Times New Roman"/>
          <w:sz w:val="19"/>
          <w:szCs w:val="19"/>
          <w:color w:val="auto"/>
          <w:vertAlign w:val="superscript"/>
        </w:rPr>
        <w:t>(5)</w:t>
      </w:r>
      <w:r>
        <w:rPr>
          <w:rFonts w:ascii="Times New Roman" w:cs="Times New Roman" w:eastAsia="Times New Roman" w:hAnsi="Times New Roman"/>
          <w:sz w:val="10"/>
          <w:szCs w:val="10"/>
          <w:color w:val="auto"/>
        </w:rPr>
        <w:t>The securities are, 1) pledged as collateral under the BNP Credit Facility and held through Funding I; or, 2) securing the 2034 Asset-Backed Debt and held through PennantPark CLO IV, LLC; or, 3)</w:t>
      </w:r>
    </w:p>
    <w:p>
      <w:pPr>
        <w:spacing w:after="0"/>
        <w:rPr>
          <w:sz w:val="20"/>
          <w:szCs w:val="20"/>
          <w:color w:val="auto"/>
        </w:rPr>
      </w:pPr>
      <w:r>
        <w:rPr>
          <w:rFonts w:ascii="Times New Roman" w:cs="Times New Roman" w:eastAsia="Times New Roman" w:hAnsi="Times New Roman"/>
          <w:sz w:val="10"/>
          <w:szCs w:val="10"/>
          <w:color w:val="auto"/>
        </w:rPr>
        <w:t>securing the 2035 Asset-Backed Debt held through PennantPark CLO VII, LLC</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1</w:t>
      </w:r>
    </w:p>
    <w:tbl>
      <w:tblPr>
        <w:tblLayout w:type="fixed"/>
        <w:tblInd w:w="0" w:type="dxa"/>
        <w:tblCellMar>
          <w:top w:w="0" w:type="dxa"/>
          <w:left w:w="0" w:type="dxa"/>
          <w:bottom w:w="0" w:type="dxa"/>
          <w:right w:w="0" w:type="dxa"/>
        </w:tblCellMar>
      </w:tblPr>
      <w:tr>
        <w:trPr>
          <w:trHeight w:val="172"/>
        </w:trPr>
        <w:tc>
          <w:tcPr>
            <w:tcW w:w="674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is the consolidated statements of assets and liabilities for PSLF ($ in thousands):</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67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60" w:type="dxa"/>
            <w:vAlign w:val="bottom"/>
          </w:tcPr>
          <w:p>
            <w:pPr>
              <w:spacing w:after="0"/>
              <w:rPr>
                <w:sz w:val="24"/>
                <w:szCs w:val="24"/>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0" w:type="dxa"/>
            <w:vAlign w:val="bottom"/>
          </w:tcPr>
          <w:p>
            <w:pPr>
              <w:spacing w:after="0"/>
              <w:rPr>
                <w:sz w:val="1"/>
                <w:szCs w:val="1"/>
                <w:color w:val="auto"/>
              </w:rPr>
            </w:pPr>
          </w:p>
        </w:tc>
      </w:tr>
      <w:tr>
        <w:trPr>
          <w:trHeight w:val="152"/>
        </w:trPr>
        <w:tc>
          <w:tcPr>
            <w:tcW w:w="67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7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Investments at fair value (amortized cost—$1,289,319 and $1,036,305, respectively)</w:t>
            </w:r>
          </w:p>
        </w:tc>
        <w:tc>
          <w:tcPr>
            <w:tcW w:w="160" w:type="dxa"/>
            <w:vAlign w:val="bottom"/>
            <w:shd w:val="clear" w:color="auto" w:fill="CCEC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1,265,901</w:t>
            </w:r>
          </w:p>
        </w:tc>
        <w:tc>
          <w:tcPr>
            <w:tcW w:w="140" w:type="dxa"/>
            <w:vAlign w:val="bottom"/>
            <w:shd w:val="clear" w:color="auto" w:fill="CCECFF"/>
          </w:tcPr>
          <w:p>
            <w:pPr>
              <w:spacing w:after="0"/>
              <w:rPr>
                <w:sz w:val="13"/>
                <w:szCs w:val="13"/>
                <w:color w:val="auto"/>
              </w:rPr>
            </w:pPr>
          </w:p>
        </w:tc>
        <w:tc>
          <w:tcPr>
            <w:tcW w:w="3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1,031,225</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74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 (cost—$40,985 and $36,595, respectively)</w:t>
            </w:r>
          </w:p>
        </w:tc>
        <w:tc>
          <w:tcPr>
            <w:tcW w:w="160" w:type="dxa"/>
            <w:vAlign w:val="bottom"/>
          </w:tcPr>
          <w:p>
            <w:pPr>
              <w:spacing w:after="0"/>
              <w:rPr>
                <w:sz w:val="13"/>
                <w:szCs w:val="13"/>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40,985</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36,595</w:t>
            </w:r>
          </w:p>
        </w:tc>
        <w:tc>
          <w:tcPr>
            <w:tcW w:w="0" w:type="dxa"/>
            <w:vAlign w:val="bottom"/>
          </w:tcPr>
          <w:p>
            <w:pPr>
              <w:spacing w:after="0"/>
              <w:rPr>
                <w:sz w:val="1"/>
                <w:szCs w:val="1"/>
                <w:color w:val="auto"/>
              </w:rPr>
            </w:pPr>
          </w:p>
        </w:tc>
      </w:tr>
      <w:tr>
        <w:trPr>
          <w:trHeight w:val="156"/>
        </w:trPr>
        <w:tc>
          <w:tcPr>
            <w:tcW w:w="67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Interest receivable</w:t>
            </w:r>
          </w:p>
        </w:tc>
        <w:tc>
          <w:tcPr>
            <w:tcW w:w="160" w:type="dxa"/>
            <w:vAlign w:val="bottom"/>
            <w:shd w:val="clear" w:color="auto" w:fill="CCECFF"/>
          </w:tcPr>
          <w:p>
            <w:pPr>
              <w:spacing w:after="0"/>
              <w:rPr>
                <w:sz w:val="13"/>
                <w:szCs w:val="13"/>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5,271</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5,089</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740" w:type="dxa"/>
            <w:vAlign w:val="bottom"/>
          </w:tcPr>
          <w:p>
            <w:pPr>
              <w:spacing w:after="0"/>
              <w:rPr>
                <w:sz w:val="20"/>
                <w:szCs w:val="20"/>
                <w:color w:val="auto"/>
              </w:rPr>
            </w:pPr>
            <w:r>
              <w:rPr>
                <w:rFonts w:ascii="Times New Roman" w:cs="Times New Roman" w:eastAsia="Times New Roman" w:hAnsi="Times New Roman"/>
                <w:sz w:val="13"/>
                <w:szCs w:val="13"/>
                <w:color w:val="auto"/>
              </w:rPr>
              <w:t>Receivable for investments sold</w:t>
            </w:r>
          </w:p>
        </w:tc>
        <w:tc>
          <w:tcPr>
            <w:tcW w:w="1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67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60" w:type="dxa"/>
            <w:vAlign w:val="bottom"/>
            <w:shd w:val="clear" w:color="auto" w:fill="CCECFF"/>
          </w:tcPr>
          <w:p>
            <w:pPr>
              <w:spacing w:after="0"/>
              <w:rPr>
                <w:sz w:val="13"/>
                <w:szCs w:val="13"/>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2,148</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740" w:type="dxa"/>
            <w:vAlign w:val="bottom"/>
          </w:tcPr>
          <w:p>
            <w:pPr>
              <w:spacing w:after="0"/>
              <w:rPr>
                <w:sz w:val="20"/>
                <w:szCs w:val="20"/>
                <w:color w:val="auto"/>
              </w:rPr>
            </w:pPr>
            <w:r>
              <w:rPr>
                <w:rFonts w:ascii="Times New Roman" w:cs="Times New Roman" w:eastAsia="Times New Roman" w:hAnsi="Times New Roman"/>
                <w:sz w:val="13"/>
                <w:szCs w:val="13"/>
                <w:color w:val="auto"/>
              </w:rPr>
              <w:t>Due from affiliate</w:t>
            </w:r>
          </w:p>
        </w:tc>
        <w:tc>
          <w:tcPr>
            <w:tcW w:w="1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74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60" w:type="dxa"/>
            <w:vAlign w:val="bottom"/>
            <w:shd w:val="clear" w:color="auto" w:fill="CCECFF"/>
          </w:tcPr>
          <w:p>
            <w:pPr>
              <w:spacing w:after="0"/>
              <w:rPr>
                <w:sz w:val="13"/>
                <w:szCs w:val="13"/>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1,315,447</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1,073,352</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740" w:type="dxa"/>
            <w:vAlign w:val="bottom"/>
            <w:shd w:val="clear" w:color="auto" w:fill="CCECFF"/>
          </w:tcPr>
          <w:p>
            <w:pPr>
              <w:spacing w:after="0" w:line="144" w:lineRule="exact"/>
              <w:rPr>
                <w:sz w:val="20"/>
                <w:szCs w:val="20"/>
                <w:color w:val="auto"/>
              </w:rPr>
            </w:pPr>
            <w:r>
              <w:rPr>
                <w:rFonts w:ascii="Times New Roman" w:cs="Times New Roman" w:eastAsia="Times New Roman" w:hAnsi="Times New Roman"/>
                <w:sz w:val="13"/>
                <w:szCs w:val="13"/>
                <w:color w:val="auto"/>
              </w:rPr>
              <w:t>2037 Asset-backed debt, net (par—$328,000 and $0, respectively and unamortized deferred financing cost of $1,887 and</w:t>
            </w:r>
          </w:p>
        </w:tc>
        <w:tc>
          <w:tcPr>
            <w:tcW w:w="160" w:type="dxa"/>
            <w:vAlign w:val="bottom"/>
            <w:shd w:val="clear" w:color="auto" w:fill="CCECFF"/>
          </w:tcPr>
          <w:p>
            <w:pPr>
              <w:spacing w:after="0"/>
              <w:rPr>
                <w:sz w:val="12"/>
                <w:szCs w:val="12"/>
                <w:color w:val="auto"/>
              </w:rPr>
            </w:pPr>
          </w:p>
        </w:tc>
        <w:tc>
          <w:tcPr>
            <w:tcW w:w="14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6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7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$0, respectively)</w:t>
            </w:r>
          </w:p>
        </w:tc>
        <w:tc>
          <w:tcPr>
            <w:tcW w:w="16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326,113</w:t>
            </w:r>
          </w:p>
        </w:tc>
        <w:tc>
          <w:tcPr>
            <w:tcW w:w="1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6740" w:type="dxa"/>
            <w:vAlign w:val="bottom"/>
          </w:tcPr>
          <w:p>
            <w:pPr>
              <w:spacing w:after="0"/>
              <w:rPr>
                <w:sz w:val="20"/>
                <w:szCs w:val="20"/>
                <w:color w:val="auto"/>
              </w:rPr>
            </w:pPr>
            <w:r>
              <w:rPr>
                <w:rFonts w:ascii="Times New Roman" w:cs="Times New Roman" w:eastAsia="Times New Roman" w:hAnsi="Times New Roman"/>
                <w:sz w:val="13"/>
                <w:szCs w:val="13"/>
                <w:color w:val="auto"/>
              </w:rPr>
              <w:t>2034 Asset-backed debt, net (par—$246,000, unamortized deferred financing cost of $940 and $1,328, respectively)</w:t>
            </w:r>
          </w:p>
        </w:tc>
        <w:tc>
          <w:tcPr>
            <w:tcW w:w="1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245,060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244,672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7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2035 Asset-backed debt, net (par—$246,000, unamortized deferred financing cost of $1,434 and $1,882, respectively)</w:t>
            </w:r>
          </w:p>
        </w:tc>
        <w:tc>
          <w:tcPr>
            <w:tcW w:w="160" w:type="dxa"/>
            <w:vAlign w:val="bottom"/>
            <w:shd w:val="clear" w:color="auto" w:fill="CCECFF"/>
          </w:tcPr>
          <w:p>
            <w:pPr>
              <w:spacing w:after="0"/>
              <w:rPr>
                <w:sz w:val="13"/>
                <w:szCs w:val="13"/>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244,566</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244,118</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740" w:type="dxa"/>
            <w:vAlign w:val="bottom"/>
          </w:tcPr>
          <w:p>
            <w:pPr>
              <w:spacing w:after="0"/>
              <w:rPr>
                <w:sz w:val="20"/>
                <w:szCs w:val="20"/>
                <w:color w:val="auto"/>
              </w:rPr>
            </w:pPr>
            <w:r>
              <w:rPr>
                <w:rFonts w:ascii="Times New Roman" w:cs="Times New Roman" w:eastAsia="Times New Roman" w:hAnsi="Times New Roman"/>
                <w:sz w:val="13"/>
                <w:szCs w:val="13"/>
                <w:color w:val="auto"/>
              </w:rPr>
              <w:t>Credit facility payable</w:t>
            </w:r>
          </w:p>
        </w:tc>
        <w:tc>
          <w:tcPr>
            <w:tcW w:w="160" w:type="dxa"/>
            <w:vAlign w:val="bottom"/>
          </w:tcPr>
          <w:p>
            <w:pPr>
              <w:spacing w:after="0"/>
              <w:rPr>
                <w:sz w:val="13"/>
                <w:szCs w:val="13"/>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99,600</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247,600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7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Subordinated notes payable to members</w:t>
            </w:r>
          </w:p>
        </w:tc>
        <w:tc>
          <w:tcPr>
            <w:tcW w:w="160" w:type="dxa"/>
            <w:vAlign w:val="bottom"/>
            <w:shd w:val="clear" w:color="auto" w:fill="CCECFF"/>
          </w:tcPr>
          <w:p>
            <w:pPr>
              <w:spacing w:after="0"/>
              <w:rPr>
                <w:sz w:val="13"/>
                <w:szCs w:val="13"/>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250,808</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191,546</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740" w:type="dxa"/>
            <w:vAlign w:val="bottom"/>
          </w:tcPr>
          <w:p>
            <w:pPr>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160" w:type="dxa"/>
            <w:vAlign w:val="bottom"/>
          </w:tcPr>
          <w:p>
            <w:pPr>
              <w:spacing w:after="0"/>
              <w:rPr>
                <w:sz w:val="13"/>
                <w:szCs w:val="13"/>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7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Interest payable on credit facility and asset backed debt</w:t>
            </w:r>
          </w:p>
        </w:tc>
        <w:tc>
          <w:tcPr>
            <w:tcW w:w="160" w:type="dxa"/>
            <w:vAlign w:val="bottom"/>
            <w:shd w:val="clear" w:color="auto" w:fill="CCECFF"/>
          </w:tcPr>
          <w:p>
            <w:pPr>
              <w:spacing w:after="0"/>
              <w:rPr>
                <w:sz w:val="13"/>
                <w:szCs w:val="13"/>
                <w:color w:val="auto"/>
              </w:rPr>
            </w:pPr>
          </w:p>
        </w:tc>
        <w:tc>
          <w:tcPr>
            <w:tcW w:w="16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13,730</w:t>
            </w:r>
          </w:p>
        </w:tc>
        <w:tc>
          <w:tcPr>
            <w:tcW w:w="1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6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12,525</w:t>
            </w:r>
          </w:p>
        </w:tc>
        <w:tc>
          <w:tcPr>
            <w:tcW w:w="0" w:type="dxa"/>
            <w:vAlign w:val="bottom"/>
          </w:tcPr>
          <w:p>
            <w:pPr>
              <w:spacing w:after="0"/>
              <w:rPr>
                <w:sz w:val="1"/>
                <w:szCs w:val="1"/>
                <w:color w:val="auto"/>
              </w:rPr>
            </w:pPr>
          </w:p>
        </w:tc>
      </w:tr>
      <w:tr>
        <w:trPr>
          <w:trHeight w:val="156"/>
        </w:trPr>
        <w:tc>
          <w:tcPr>
            <w:tcW w:w="6740" w:type="dxa"/>
            <w:vAlign w:val="bottom"/>
          </w:tcPr>
          <w:p>
            <w:pPr>
              <w:spacing w:after="0"/>
              <w:rPr>
                <w:sz w:val="20"/>
                <w:szCs w:val="20"/>
                <w:color w:val="auto"/>
              </w:rPr>
            </w:pPr>
            <w:r>
              <w:rPr>
                <w:rFonts w:ascii="Times New Roman" w:cs="Times New Roman" w:eastAsia="Times New Roman" w:hAnsi="Times New Roman"/>
                <w:sz w:val="13"/>
                <w:szCs w:val="13"/>
                <w:color w:val="auto"/>
              </w:rPr>
              <w:t>Distribution payable to members</w:t>
            </w:r>
          </w:p>
        </w:tc>
        <w:tc>
          <w:tcPr>
            <w:tcW w:w="1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7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Interest payable on subordinated notes to members</w:t>
            </w:r>
          </w:p>
        </w:tc>
        <w:tc>
          <w:tcPr>
            <w:tcW w:w="160" w:type="dxa"/>
            <w:vAlign w:val="bottom"/>
            <w:shd w:val="clear" w:color="auto" w:fill="CCECFF"/>
          </w:tcPr>
          <w:p>
            <w:pPr>
              <w:spacing w:after="0"/>
              <w:rPr>
                <w:sz w:val="13"/>
                <w:szCs w:val="13"/>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5,305</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4,372</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740" w:type="dxa"/>
            <w:vAlign w:val="bottom"/>
          </w:tcPr>
          <w:p>
            <w:pPr>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1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7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Due to affiliate</w:t>
            </w:r>
          </w:p>
        </w:tc>
        <w:tc>
          <w:tcPr>
            <w:tcW w:w="160" w:type="dxa"/>
            <w:vAlign w:val="bottom"/>
            <w:shd w:val="clear" w:color="auto" w:fill="CCECFF"/>
          </w:tcPr>
          <w:p>
            <w:pPr>
              <w:spacing w:after="0"/>
              <w:rPr>
                <w:sz w:val="13"/>
                <w:szCs w:val="13"/>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6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674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1,194,421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961,081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7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4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6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74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1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121,026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74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160" w:type="dxa"/>
            <w:vAlign w:val="bottom"/>
            <w:shd w:val="clear" w:color="auto" w:fill="CCEC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1,315,447</w:t>
            </w:r>
          </w:p>
        </w:tc>
        <w:tc>
          <w:tcPr>
            <w:tcW w:w="140" w:type="dxa"/>
            <w:vAlign w:val="bottom"/>
            <w:shd w:val="clear" w:color="auto" w:fill="CCECFF"/>
          </w:tcPr>
          <w:p>
            <w:pPr>
              <w:spacing w:after="0"/>
              <w:rPr>
                <w:sz w:val="17"/>
                <w:szCs w:val="17"/>
                <w:color w:val="auto"/>
              </w:rPr>
            </w:pPr>
          </w:p>
        </w:tc>
        <w:tc>
          <w:tcPr>
            <w:tcW w:w="3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1,073,352</w:t>
            </w: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740" w:type="dxa"/>
            <w:vAlign w:val="bottom"/>
            <w:tcBorders>
              <w:top w:val="single" w:sz="8" w:color="CCECFF"/>
            </w:tcBorders>
          </w:tcPr>
          <w:p>
            <w:pPr>
              <w:spacing w:after="0"/>
              <w:rPr>
                <w:sz w:val="20"/>
                <w:szCs w:val="20"/>
                <w:color w:val="auto"/>
              </w:rPr>
            </w:pPr>
            <w:r>
              <w:rPr>
                <w:rFonts w:ascii="Times New Roman" w:cs="Times New Roman" w:eastAsia="Times New Roman" w:hAnsi="Times New Roman"/>
                <w:sz w:val="11"/>
                <w:szCs w:val="11"/>
                <w:color w:val="auto"/>
              </w:rPr>
              <w:t>*For the years ended of September 30, 2025 and 2024, PSLF had zero of unfunded commitments to fund investments.</w:t>
            </w: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40" w:type="dxa"/>
            <w:vAlign w:val="bottom"/>
            <w:tcBorders>
              <w:top w:val="single" w:sz="8" w:color="CCECFF"/>
            </w:tcBorders>
          </w:tcPr>
          <w:p>
            <w:pPr>
              <w:spacing w:after="0"/>
              <w:rPr>
                <w:sz w:val="15"/>
                <w:szCs w:val="15"/>
                <w:color w:val="auto"/>
              </w:rPr>
            </w:pPr>
          </w:p>
        </w:tc>
        <w:tc>
          <w:tcPr>
            <w:tcW w:w="160" w:type="dxa"/>
            <w:vAlign w:val="bottom"/>
            <w:tcBorders>
              <w:top w:val="single" w:sz="8" w:color="CCEC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80" w:type="dxa"/>
            <w:vAlign w:val="bottom"/>
            <w:tcBorders>
              <w:top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674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consolidated statements of operations for PSLF ($ in thousands):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5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700" w:type="dxa"/>
            <w:vAlign w:val="bottom"/>
            <w:gridSpan w:val="4"/>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Year Ended September 30,</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5560" w:type="dxa"/>
            <w:vAlign w:val="bottom"/>
          </w:tcPr>
          <w:p>
            <w:pPr>
              <w:spacing w:after="0"/>
              <w:rPr>
                <w:sz w:val="14"/>
                <w:szCs w:val="14"/>
                <w:color w:val="auto"/>
              </w:rPr>
            </w:pPr>
          </w:p>
        </w:tc>
        <w:tc>
          <w:tcPr>
            <w:tcW w:w="264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5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168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5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5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w:t>
            </w:r>
          </w:p>
        </w:tc>
        <w:tc>
          <w:tcPr>
            <w:tcW w:w="2640" w:type="dxa"/>
            <w:vAlign w:val="bottom"/>
            <w:gridSpan w:val="2"/>
          </w:tcPr>
          <w:p>
            <w:pPr>
              <w:jc w:val="right"/>
              <w:ind w:right="834"/>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138,501</w:t>
            </w:r>
          </w:p>
        </w:tc>
        <w:tc>
          <w:tcPr>
            <w:tcW w:w="220" w:type="dxa"/>
            <w:vAlign w:val="bottom"/>
          </w:tcPr>
          <w:p>
            <w:pPr>
              <w:spacing w:after="0"/>
              <w:rPr>
                <w:sz w:val="13"/>
                <w:szCs w:val="13"/>
                <w:color w:val="auto"/>
              </w:rPr>
            </w:pPr>
          </w:p>
        </w:tc>
        <w:tc>
          <w:tcPr>
            <w:tcW w:w="980" w:type="dxa"/>
            <w:vAlign w:val="bottom"/>
          </w:tcPr>
          <w:p>
            <w:pPr>
              <w:jc w:val="right"/>
              <w:ind w:right="861"/>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114,231</w:t>
            </w:r>
          </w:p>
        </w:tc>
        <w:tc>
          <w:tcPr>
            <w:tcW w:w="100" w:type="dxa"/>
            <w:vAlign w:val="bottom"/>
          </w:tcPr>
          <w:p>
            <w:pPr>
              <w:spacing w:after="0"/>
              <w:rPr>
                <w:sz w:val="13"/>
                <w:szCs w:val="13"/>
                <w:color w:val="auto"/>
              </w:rPr>
            </w:pPr>
          </w:p>
        </w:tc>
      </w:tr>
      <w:tr>
        <w:trPr>
          <w:trHeight w:val="156"/>
        </w:trPr>
        <w:tc>
          <w:tcPr>
            <w:tcW w:w="55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Other income</w:t>
            </w:r>
          </w:p>
        </w:tc>
        <w:tc>
          <w:tcPr>
            <w:tcW w:w="168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1,875</w:t>
            </w:r>
          </w:p>
        </w:tc>
        <w:tc>
          <w:tcPr>
            <w:tcW w:w="22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1,023</w:t>
            </w:r>
          </w:p>
        </w:tc>
        <w:tc>
          <w:tcPr>
            <w:tcW w:w="100" w:type="dxa"/>
            <w:vAlign w:val="bottom"/>
            <w:shd w:val="clear" w:color="auto" w:fill="CCECFF"/>
          </w:tcPr>
          <w:p>
            <w:pPr>
              <w:spacing w:after="0"/>
              <w:rPr>
                <w:sz w:val="13"/>
                <w:szCs w:val="13"/>
                <w:color w:val="auto"/>
              </w:rPr>
            </w:pPr>
          </w:p>
        </w:tc>
      </w:tr>
      <w:tr>
        <w:trPr>
          <w:trHeight w:val="156"/>
        </w:trPr>
        <w:tc>
          <w:tcPr>
            <w:tcW w:w="55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1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140,376</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115,254</w:t>
            </w:r>
          </w:p>
        </w:tc>
        <w:tc>
          <w:tcPr>
            <w:tcW w:w="100" w:type="dxa"/>
            <w:vAlign w:val="bottom"/>
          </w:tcPr>
          <w:p>
            <w:pPr>
              <w:spacing w:after="0"/>
              <w:rPr>
                <w:sz w:val="13"/>
                <w:szCs w:val="13"/>
                <w:color w:val="auto"/>
              </w:rPr>
            </w:pPr>
          </w:p>
        </w:tc>
      </w:tr>
      <w:tr>
        <w:trPr>
          <w:trHeight w:val="156"/>
        </w:trPr>
        <w:tc>
          <w:tcPr>
            <w:tcW w:w="55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68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5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5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 on credit facility and asset-backed debt</w:t>
            </w:r>
          </w:p>
        </w:tc>
        <w:tc>
          <w:tcPr>
            <w:tcW w:w="1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67,975</w:t>
            </w:r>
          </w:p>
        </w:tc>
        <w:tc>
          <w:tcPr>
            <w:tcW w:w="9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54,405</w:t>
            </w:r>
          </w:p>
        </w:tc>
      </w:tr>
      <w:tr>
        <w:trPr>
          <w:trHeight w:val="156"/>
        </w:trPr>
        <w:tc>
          <w:tcPr>
            <w:tcW w:w="55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Interest expense on subordinated notes to members</w:t>
            </w:r>
          </w:p>
        </w:tc>
        <w:tc>
          <w:tcPr>
            <w:tcW w:w="168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7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30,436</w:t>
            </w:r>
          </w:p>
        </w:tc>
        <w:tc>
          <w:tcPr>
            <w:tcW w:w="980" w:type="dxa"/>
            <w:vAlign w:val="bottom"/>
            <w:shd w:val="clear" w:color="auto" w:fill="CCECFF"/>
          </w:tcPr>
          <w:p>
            <w:pPr>
              <w:spacing w:after="0"/>
              <w:rPr>
                <w:sz w:val="13"/>
                <w:szCs w:val="13"/>
                <w:color w:val="auto"/>
              </w:rPr>
            </w:pPr>
          </w:p>
        </w:tc>
        <w:tc>
          <w:tcPr>
            <w:tcW w:w="6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24,861</w:t>
            </w:r>
          </w:p>
        </w:tc>
      </w:tr>
      <w:tr>
        <w:trPr>
          <w:trHeight w:val="156"/>
        </w:trPr>
        <w:tc>
          <w:tcPr>
            <w:tcW w:w="5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Administration services expense</w:t>
            </w:r>
          </w:p>
        </w:tc>
        <w:tc>
          <w:tcPr>
            <w:tcW w:w="1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3,457</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2,423</w:t>
            </w:r>
          </w:p>
        </w:tc>
        <w:tc>
          <w:tcPr>
            <w:tcW w:w="100" w:type="dxa"/>
            <w:vAlign w:val="bottom"/>
          </w:tcPr>
          <w:p>
            <w:pPr>
              <w:spacing w:after="0"/>
              <w:rPr>
                <w:sz w:val="13"/>
                <w:szCs w:val="13"/>
                <w:color w:val="auto"/>
              </w:rPr>
            </w:pPr>
          </w:p>
        </w:tc>
      </w:tr>
      <w:tr>
        <w:trPr>
          <w:trHeight w:val="156"/>
        </w:trPr>
        <w:tc>
          <w:tcPr>
            <w:tcW w:w="55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68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1,494</w:t>
            </w:r>
          </w:p>
        </w:tc>
        <w:tc>
          <w:tcPr>
            <w:tcW w:w="22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1,360</w:t>
            </w:r>
          </w:p>
        </w:tc>
        <w:tc>
          <w:tcPr>
            <w:tcW w:w="100" w:type="dxa"/>
            <w:vAlign w:val="bottom"/>
            <w:shd w:val="clear" w:color="auto" w:fill="CCECFF"/>
          </w:tcPr>
          <w:p>
            <w:pPr>
              <w:spacing w:after="0"/>
              <w:rPr>
                <w:sz w:val="13"/>
                <w:szCs w:val="13"/>
                <w:color w:val="auto"/>
              </w:rPr>
            </w:pPr>
          </w:p>
        </w:tc>
      </w:tr>
      <w:tr>
        <w:trPr>
          <w:trHeight w:val="156"/>
        </w:trPr>
        <w:tc>
          <w:tcPr>
            <w:tcW w:w="55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Expenses before debt issuance costs</w:t>
            </w:r>
          </w:p>
        </w:tc>
        <w:tc>
          <w:tcPr>
            <w:tcW w:w="1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103,362</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83,049</w:t>
            </w:r>
          </w:p>
        </w:tc>
      </w:tr>
      <w:tr>
        <w:trPr>
          <w:trHeight w:val="156"/>
        </w:trPr>
        <w:tc>
          <w:tcPr>
            <w:tcW w:w="55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Debt issuance costs</w:t>
            </w:r>
          </w:p>
        </w:tc>
        <w:tc>
          <w:tcPr>
            <w:tcW w:w="168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22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6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55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1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103,612</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83,049</w:t>
            </w:r>
          </w:p>
        </w:tc>
      </w:tr>
      <w:tr>
        <w:trPr>
          <w:trHeight w:val="156"/>
        </w:trPr>
        <w:tc>
          <w:tcPr>
            <w:tcW w:w="55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168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7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36,764</w:t>
            </w:r>
          </w:p>
        </w:tc>
        <w:tc>
          <w:tcPr>
            <w:tcW w:w="980" w:type="dxa"/>
            <w:vAlign w:val="bottom"/>
            <w:shd w:val="clear" w:color="auto" w:fill="CCECFF"/>
          </w:tcPr>
          <w:p>
            <w:pPr>
              <w:spacing w:after="0"/>
              <w:rPr>
                <w:sz w:val="13"/>
                <w:szCs w:val="13"/>
                <w:color w:val="auto"/>
              </w:rPr>
            </w:pPr>
          </w:p>
        </w:tc>
        <w:tc>
          <w:tcPr>
            <w:tcW w:w="6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32,205</w:t>
            </w:r>
          </w:p>
        </w:tc>
      </w:tr>
      <w:tr>
        <w:trPr>
          <w:trHeight w:val="156"/>
        </w:trPr>
        <w:tc>
          <w:tcPr>
            <w:tcW w:w="5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 and debt:</w:t>
            </w:r>
          </w:p>
        </w:tc>
        <w:tc>
          <w:tcPr>
            <w:tcW w:w="1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5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68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7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(9,215)</w:t>
            </w:r>
          </w:p>
        </w:tc>
        <w:tc>
          <w:tcPr>
            <w:tcW w:w="980" w:type="dxa"/>
            <w:vAlign w:val="bottom"/>
            <w:shd w:val="clear" w:color="auto" w:fill="CCECFF"/>
          </w:tcPr>
          <w:p>
            <w:pPr>
              <w:spacing w:after="0"/>
              <w:rPr>
                <w:sz w:val="13"/>
                <w:szCs w:val="13"/>
                <w:color w:val="auto"/>
              </w:rPr>
            </w:pPr>
          </w:p>
        </w:tc>
        <w:tc>
          <w:tcPr>
            <w:tcW w:w="6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(2,838)</w:t>
            </w:r>
          </w:p>
        </w:tc>
      </w:tr>
      <w:tr>
        <w:trPr>
          <w:trHeight w:val="156"/>
        </w:trPr>
        <w:tc>
          <w:tcPr>
            <w:tcW w:w="5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realized gain (loss) on debt extinguishment</w:t>
            </w:r>
          </w:p>
        </w:tc>
        <w:tc>
          <w:tcPr>
            <w:tcW w:w="1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(187)</w:t>
            </w:r>
          </w:p>
        </w:tc>
        <w:tc>
          <w:tcPr>
            <w:tcW w:w="9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55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168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7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(18,344)</w:t>
            </w:r>
          </w:p>
        </w:tc>
        <w:tc>
          <w:tcPr>
            <w:tcW w:w="9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1,462</w:t>
            </w:r>
          </w:p>
        </w:tc>
        <w:tc>
          <w:tcPr>
            <w:tcW w:w="100" w:type="dxa"/>
            <w:vAlign w:val="bottom"/>
            <w:shd w:val="clear" w:color="auto" w:fill="CCECFF"/>
          </w:tcPr>
          <w:p>
            <w:pPr>
              <w:spacing w:after="0"/>
              <w:rPr>
                <w:sz w:val="13"/>
                <w:szCs w:val="13"/>
                <w:color w:val="auto"/>
              </w:rPr>
            </w:pPr>
          </w:p>
        </w:tc>
      </w:tr>
      <w:tr>
        <w:trPr>
          <w:trHeight w:val="156"/>
        </w:trPr>
        <w:tc>
          <w:tcPr>
            <w:tcW w:w="55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on investments</w:t>
            </w:r>
          </w:p>
        </w:tc>
        <w:tc>
          <w:tcPr>
            <w:tcW w:w="1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(27,746)</w:t>
            </w:r>
          </w:p>
        </w:tc>
        <w:tc>
          <w:tcPr>
            <w:tcW w:w="98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(1,376)</w:t>
            </w:r>
          </w:p>
        </w:tc>
      </w:tr>
      <w:tr>
        <w:trPr>
          <w:trHeight w:val="176"/>
        </w:trPr>
        <w:tc>
          <w:tcPr>
            <w:tcW w:w="55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Net increase (decrease) in members' equity resulting from operations</w:t>
            </w:r>
          </w:p>
        </w:tc>
        <w:tc>
          <w:tcPr>
            <w:tcW w:w="2640" w:type="dxa"/>
            <w:vAlign w:val="bottom"/>
            <w:gridSpan w:val="2"/>
            <w:shd w:val="clear" w:color="auto" w:fill="CCECFF"/>
          </w:tcPr>
          <w:p>
            <w:pPr>
              <w:jc w:val="right"/>
              <w:ind w:right="834"/>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9,018</w:t>
            </w:r>
          </w:p>
        </w:tc>
        <w:tc>
          <w:tcPr>
            <w:tcW w:w="220" w:type="dxa"/>
            <w:vAlign w:val="bottom"/>
            <w:shd w:val="clear" w:color="auto" w:fill="CCECFF"/>
          </w:tcPr>
          <w:p>
            <w:pPr>
              <w:spacing w:after="0"/>
              <w:rPr>
                <w:sz w:val="15"/>
                <w:szCs w:val="15"/>
                <w:color w:val="auto"/>
              </w:rPr>
            </w:pPr>
          </w:p>
        </w:tc>
        <w:tc>
          <w:tcPr>
            <w:tcW w:w="980" w:type="dxa"/>
            <w:vAlign w:val="bottom"/>
            <w:shd w:val="clear" w:color="auto" w:fill="CCECFF"/>
          </w:tcPr>
          <w:p>
            <w:pPr>
              <w:jc w:val="right"/>
              <w:ind w:right="86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30,829</w:t>
            </w:r>
          </w:p>
        </w:tc>
      </w:tr>
      <w:tr>
        <w:trPr>
          <w:trHeight w:val="20"/>
        </w:trPr>
        <w:tc>
          <w:tcPr>
            <w:tcW w:w="5560" w:type="dxa"/>
            <w:vAlign w:val="bottom"/>
            <w:tcBorders>
              <w:top w:val="single" w:sz="8" w:color="CCECFF"/>
            </w:tcBorders>
            <w:shd w:val="clear" w:color="auto" w:fill="CCECFF"/>
          </w:tcPr>
          <w:p>
            <w:pPr>
              <w:spacing w:after="0" w:line="20" w:lineRule="exact"/>
              <w:rPr>
                <w:sz w:val="1"/>
                <w:szCs w:val="1"/>
                <w:color w:val="auto"/>
              </w:rPr>
            </w:pPr>
          </w:p>
        </w:tc>
        <w:tc>
          <w:tcPr>
            <w:tcW w:w="1680" w:type="dxa"/>
            <w:vAlign w:val="bottom"/>
            <w:tcBorders>
              <w:top w:val="single" w:sz="8" w:color="CCECFF"/>
            </w:tcBorders>
            <w:shd w:val="clear" w:color="auto" w:fill="CCEC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No management or incentive fees are payable by PSLF</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 FAIR VALUE OF FINANCIAL INSTRUMENTS</w:t>
      </w:r>
    </w:p>
    <w:p>
      <w:pPr>
        <w:spacing w:after="0" w:line="129"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2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ASC 820 classifies the inputs used to measure these fair values into the following hierarchies: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Level 1: Inputs that are quoted prices (unadjusted) in active markets for identical assets or liabilities, accessible by us at the measurement date.</w:t>
      </w:r>
    </w:p>
    <w:p>
      <w:pPr>
        <w:spacing w:after="0" w:line="127" w:lineRule="exact"/>
        <w:rPr>
          <w:sz w:val="20"/>
          <w:szCs w:val="20"/>
          <w:color w:val="auto"/>
        </w:rPr>
      </w:pPr>
    </w:p>
    <w:p>
      <w:pPr>
        <w:ind w:left="540" w:right="200"/>
        <w:spacing w:after="0" w:line="286" w:lineRule="auto"/>
        <w:rPr>
          <w:sz w:val="20"/>
          <w:szCs w:val="20"/>
          <w:color w:val="auto"/>
        </w:rPr>
      </w:pPr>
      <w:r>
        <w:rPr>
          <w:rFonts w:ascii="Times New Roman" w:cs="Times New Roman" w:eastAsia="Times New Roman" w:hAnsi="Times New Roman"/>
          <w:sz w:val="13"/>
          <w:szCs w:val="13"/>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Level 3: Inputs that are unobservable for an asset or liability because they are based on our own assumptions about how market participants would price the asset or liability.</w:t>
      </w:r>
    </w:p>
    <w:p>
      <w:pPr>
        <w:spacing w:after="0" w:line="127"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A financial instrument’s categorization within the valuation hierarchy is based upon the lowest level of input that is significant to the fair value measurement. Generally, most of our investments, our Truist Credit Facility and our SBA debentures are classified as Level 3. Our 2026 Notes and 2026 Notes-2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91"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94" w:lineRule="exact"/>
        <w:rPr>
          <w:sz w:val="20"/>
          <w:szCs w:val="20"/>
          <w:color w:val="auto"/>
        </w:rPr>
      </w:pPr>
    </w:p>
    <w:p>
      <w:pPr>
        <w:ind w:right="20" w:firstLine="420"/>
        <w:spacing w:after="0" w:line="260" w:lineRule="auto"/>
        <w:rPr>
          <w:sz w:val="20"/>
          <w:szCs w:val="20"/>
          <w:color w:val="auto"/>
        </w:rPr>
      </w:pPr>
      <w:r>
        <w:rPr>
          <w:rFonts w:ascii="Times New Roman" w:cs="Times New Roman" w:eastAsia="Times New Roman" w:hAnsi="Times New Roman"/>
          <w:sz w:val="13"/>
          <w:szCs w:val="13"/>
          <w:color w:val="auto"/>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252" w:lineRule="exact"/>
        <w:rPr>
          <w:sz w:val="20"/>
          <w:szCs w:val="20"/>
          <w:color w:val="auto"/>
        </w:rPr>
      </w:pPr>
    </w:p>
    <w:p>
      <w:pPr>
        <w:ind w:firstLine="420"/>
        <w:spacing w:after="0" w:line="286" w:lineRule="auto"/>
        <w:rPr>
          <w:sz w:val="20"/>
          <w:szCs w:val="20"/>
          <w:color w:val="auto"/>
        </w:rPr>
      </w:pPr>
      <w:r>
        <w:rPr>
          <w:rFonts w:ascii="Times New Roman" w:cs="Times New Roman" w:eastAsia="Times New Roman" w:hAnsi="Times New Roman"/>
          <w:sz w:val="13"/>
          <w:szCs w:val="13"/>
          <w:color w:val="auto"/>
        </w:rPr>
        <w:t>A review of fair value hierarchy classifications is conducted on a quarterly basis. Changes in our ability to observe valuation inputs may result in a reclassification for certain financial assets or liabilities.</w:t>
      </w:r>
    </w:p>
    <w:p>
      <w:pPr>
        <w:spacing w:after="0" w:line="76"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In addition to using the above inputs to value cash equivalents, investments, our SBA debentures, our 2026 Notes, our 2026-2 Notes and our Truist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23"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within the fair value hierarchy.</w:t>
      </w:r>
    </w:p>
    <w:p>
      <w:pPr>
        <w:spacing w:after="0" w:line="94" w:lineRule="exact"/>
        <w:rPr>
          <w:sz w:val="20"/>
          <w:szCs w:val="20"/>
          <w:color w:val="auto"/>
        </w:rPr>
      </w:pPr>
    </w:p>
    <w:p>
      <w:pPr>
        <w:ind w:right="80" w:firstLine="420"/>
        <w:spacing w:after="0" w:line="254" w:lineRule="auto"/>
        <w:rPr>
          <w:sz w:val="20"/>
          <w:szCs w:val="20"/>
          <w:color w:val="auto"/>
        </w:rPr>
      </w:pPr>
      <w:r>
        <w:rPr>
          <w:rFonts w:ascii="Times New Roman" w:cs="Times New Roman" w:eastAsia="Times New Roman" w:hAnsi="Times New Roman"/>
          <w:sz w:val="13"/>
          <w:szCs w:val="13"/>
          <w:color w:val="auto"/>
        </w:rPr>
        <w:t>The remainder of our investment portfolio and our long -term Truist Credit Facility are valued using a market comparable or an enterprise market value technique.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Level 3 valuation techniques, unobservable inputs and ranges were categorized as follows for ASC 820 purposes ($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19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Range of Input</w:t>
            </w:r>
          </w:p>
        </w:tc>
      </w:tr>
      <w:tr>
        <w:trPr>
          <w:trHeight w:val="169"/>
        </w:trPr>
        <w:tc>
          <w:tcPr>
            <w:tcW w:w="2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Asset Category ($ in thousands)</w:t>
            </w:r>
          </w:p>
        </w:tc>
        <w:tc>
          <w:tcPr>
            <w:tcW w:w="140" w:type="dxa"/>
            <w:vAlign w:val="bottom"/>
          </w:tcPr>
          <w:p>
            <w:pPr>
              <w:spacing w:after="0"/>
              <w:rPr>
                <w:sz w:val="14"/>
                <w:szCs w:val="14"/>
                <w:color w:val="auto"/>
              </w:rPr>
            </w:pPr>
          </w:p>
        </w:tc>
        <w:tc>
          <w:tcPr>
            <w:tcW w:w="16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2020" w:type="dxa"/>
            <w:vAlign w:val="bottom"/>
          </w:tcPr>
          <w:p>
            <w:pPr>
              <w:jc w:val="center"/>
              <w:spacing w:after="0" w:line="169" w:lineRule="exact"/>
              <w:rPr>
                <w:sz w:val="20"/>
                <w:szCs w:val="20"/>
                <w:color w:val="auto"/>
              </w:rPr>
            </w:pPr>
            <w:r>
              <w:rPr>
                <w:rFonts w:ascii="Times New Roman" w:cs="Times New Roman" w:eastAsia="Times New Roman" w:hAnsi="Times New Roman"/>
                <w:sz w:val="13"/>
                <w:szCs w:val="13"/>
                <w:b w:val="1"/>
                <w:bCs w:val="1"/>
                <w:color w:val="auto"/>
                <w:w w:val="97"/>
              </w:rPr>
              <w:t xml:space="preserve">(Weighted Average) </w:t>
            </w:r>
            <w:r>
              <w:rPr>
                <w:rFonts w:ascii="Times New Roman" w:cs="Times New Roman" w:eastAsia="Times New Roman" w:hAnsi="Times New Roman"/>
                <w:sz w:val="16"/>
                <w:szCs w:val="16"/>
                <w:b w:val="1"/>
                <w:bCs w:val="1"/>
                <w:color w:val="auto"/>
                <w:w w:val="97"/>
                <w:vertAlign w:val="superscript"/>
              </w:rPr>
              <w:t>(1)</w:t>
            </w:r>
          </w:p>
        </w:tc>
      </w:tr>
      <w:tr>
        <w:trPr>
          <w:trHeight w:val="168"/>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First lien</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31,018</w:t>
            </w: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Comparable</w:t>
            </w: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2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25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First lien</w:t>
            </w:r>
          </w:p>
        </w:tc>
        <w:tc>
          <w:tcPr>
            <w:tcW w:w="140" w:type="dxa"/>
            <w:vAlign w:val="bottom"/>
            <w:shd w:val="clear" w:color="auto" w:fill="CCECFF"/>
          </w:tcPr>
          <w:p>
            <w:pPr>
              <w:spacing w:after="0"/>
              <w:rPr>
                <w:sz w:val="13"/>
                <w:szCs w:val="13"/>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550,259</w:t>
            </w:r>
          </w:p>
        </w:tc>
        <w:tc>
          <w:tcPr>
            <w:tcW w:w="280" w:type="dxa"/>
            <w:vAlign w:val="bottom"/>
            <w:shd w:val="clear" w:color="auto" w:fill="CCECFF"/>
          </w:tcPr>
          <w:p>
            <w:pPr>
              <w:spacing w:after="0"/>
              <w:rPr>
                <w:sz w:val="13"/>
                <w:szCs w:val="13"/>
                <w:color w:val="auto"/>
              </w:rPr>
            </w:pP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Comparable</w:t>
            </w: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8"/>
              </w:rPr>
              <w:t>Market yield</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4.0% - 24.5% (10.1%)</w:t>
            </w:r>
          </w:p>
        </w:tc>
      </w:tr>
      <w:tr>
        <w:trPr>
          <w:trHeight w:val="156"/>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First lien</w:t>
            </w:r>
          </w:p>
        </w:tc>
        <w:tc>
          <w:tcPr>
            <w:tcW w:w="1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w:t>
            </w:r>
          </w:p>
        </w:tc>
        <w:tc>
          <w:tcPr>
            <w:tcW w:w="28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Enterprise Market Value</w:t>
            </w: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2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7.5x - 8.3x (8.1x)</w:t>
            </w:r>
          </w:p>
        </w:tc>
      </w:tr>
      <w:tr>
        <w:trPr>
          <w:trHeight w:val="156"/>
        </w:trPr>
        <w:tc>
          <w:tcPr>
            <w:tcW w:w="25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Second lien</w:t>
            </w:r>
          </w:p>
        </w:tc>
        <w:tc>
          <w:tcPr>
            <w:tcW w:w="140" w:type="dxa"/>
            <w:vAlign w:val="bottom"/>
            <w:shd w:val="clear" w:color="auto" w:fill="CCECFF"/>
          </w:tcPr>
          <w:p>
            <w:pPr>
              <w:spacing w:after="0"/>
              <w:rPr>
                <w:sz w:val="13"/>
                <w:szCs w:val="13"/>
                <w:color w:val="auto"/>
              </w:rPr>
            </w:pPr>
          </w:p>
        </w:tc>
        <w:tc>
          <w:tcPr>
            <w:tcW w:w="168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3"/>
                <w:szCs w:val="13"/>
                <w:color w:val="auto"/>
              </w:rPr>
              <w:t>14,750</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Comparable</w:t>
            </w: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8"/>
              </w:rPr>
              <w:t>Market yield</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13.2% - 15.5% (14.3%)</w:t>
            </w:r>
          </w:p>
        </w:tc>
      </w:tr>
      <w:tr>
        <w:trPr>
          <w:trHeight w:val="156"/>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Second lien</w:t>
            </w:r>
          </w:p>
        </w:tc>
        <w:tc>
          <w:tcPr>
            <w:tcW w:w="1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3,411</w:t>
            </w:r>
          </w:p>
        </w:tc>
        <w:tc>
          <w:tcPr>
            <w:tcW w:w="28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Comparable</w:t>
            </w: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2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25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Subordinated debt / corporate notes</w:t>
            </w:r>
          </w:p>
        </w:tc>
        <w:tc>
          <w:tcPr>
            <w:tcW w:w="140" w:type="dxa"/>
            <w:vAlign w:val="bottom"/>
            <w:shd w:val="clear" w:color="auto" w:fill="CCECFF"/>
          </w:tcPr>
          <w:p>
            <w:pPr>
              <w:spacing w:after="0"/>
              <w:rPr>
                <w:sz w:val="13"/>
                <w:szCs w:val="13"/>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201,220</w:t>
            </w:r>
          </w:p>
        </w:tc>
        <w:tc>
          <w:tcPr>
            <w:tcW w:w="280" w:type="dxa"/>
            <w:vAlign w:val="bottom"/>
            <w:shd w:val="clear" w:color="auto" w:fill="CCECFF"/>
          </w:tcPr>
          <w:p>
            <w:pPr>
              <w:spacing w:after="0"/>
              <w:rPr>
                <w:sz w:val="13"/>
                <w:szCs w:val="13"/>
                <w:color w:val="auto"/>
              </w:rPr>
            </w:pP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Comparable</w:t>
            </w: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8"/>
              </w:rPr>
              <w:t>Market yield</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7.0% - 25.4% (13.2%)</w:t>
            </w:r>
          </w:p>
        </w:tc>
      </w:tr>
      <w:tr>
        <w:trPr>
          <w:trHeight w:val="156"/>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Equity</w:t>
            </w:r>
          </w:p>
        </w:tc>
        <w:tc>
          <w:tcPr>
            <w:tcW w:w="1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286,210</w:t>
            </w:r>
          </w:p>
        </w:tc>
        <w:tc>
          <w:tcPr>
            <w:tcW w:w="28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Enterprise Market Value</w:t>
            </w: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2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1.5x - 28.3x (9.4x)</w:t>
            </w:r>
          </w:p>
        </w:tc>
      </w:tr>
      <w:tr>
        <w:trPr>
          <w:trHeight w:val="156"/>
        </w:trPr>
        <w:tc>
          <w:tcPr>
            <w:tcW w:w="258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140" w:type="dxa"/>
            <w:vAlign w:val="bottom"/>
            <w:shd w:val="clear" w:color="auto" w:fill="CCEC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1,087,964</w:t>
            </w:r>
          </w:p>
        </w:tc>
        <w:tc>
          <w:tcPr>
            <w:tcW w:w="280" w:type="dxa"/>
            <w:vAlign w:val="bottom"/>
            <w:shd w:val="clear" w:color="auto" w:fill="CCECFF"/>
          </w:tcPr>
          <w:p>
            <w:pPr>
              <w:spacing w:after="0"/>
              <w:rPr>
                <w:sz w:val="13"/>
                <w:szCs w:val="13"/>
                <w:color w:val="auto"/>
              </w:rPr>
            </w:pPr>
          </w:p>
        </w:tc>
        <w:tc>
          <w:tcPr>
            <w:tcW w:w="1920" w:type="dxa"/>
            <w:vAlign w:val="bottom"/>
            <w:shd w:val="clear" w:color="auto" w:fill="CCECFF"/>
          </w:tcPr>
          <w:p>
            <w:pPr>
              <w:spacing w:after="0"/>
              <w:rPr>
                <w:sz w:val="13"/>
                <w:szCs w:val="13"/>
                <w:color w:val="auto"/>
              </w:rPr>
            </w:pPr>
          </w:p>
        </w:tc>
        <w:tc>
          <w:tcPr>
            <w:tcW w:w="2220" w:type="dxa"/>
            <w:vAlign w:val="bottom"/>
            <w:shd w:val="clear" w:color="auto" w:fill="CCECFF"/>
          </w:tcPr>
          <w:p>
            <w:pPr>
              <w:spacing w:after="0"/>
              <w:rPr>
                <w:sz w:val="13"/>
                <w:szCs w:val="13"/>
                <w:color w:val="auto"/>
              </w:rPr>
            </w:pPr>
          </w:p>
        </w:tc>
        <w:tc>
          <w:tcPr>
            <w:tcW w:w="2020" w:type="dxa"/>
            <w:vAlign w:val="bottom"/>
            <w:shd w:val="clear" w:color="auto" w:fill="CCECFF"/>
          </w:tcPr>
          <w:p>
            <w:pPr>
              <w:spacing w:after="0"/>
              <w:rPr>
                <w:sz w:val="13"/>
                <w:szCs w:val="13"/>
                <w:color w:val="auto"/>
              </w:rPr>
            </w:pPr>
          </w:p>
        </w:tc>
      </w:tr>
      <w:tr>
        <w:trPr>
          <w:trHeight w:val="156"/>
        </w:trPr>
        <w:tc>
          <w:tcPr>
            <w:tcW w:w="2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xml:space="preserve">Debt Category </w:t>
            </w:r>
            <w:r>
              <w:rPr>
                <w:rFonts w:ascii="Times New Roman" w:cs="Times New Roman" w:eastAsia="Times New Roman" w:hAnsi="Times New Roman"/>
                <w:sz w:val="13"/>
                <w:szCs w:val="13"/>
                <w:color w:val="auto"/>
              </w:rPr>
              <w:t>($ in thousands)</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196"/>
        </w:trPr>
        <w:tc>
          <w:tcPr>
            <w:tcW w:w="2580" w:type="dxa"/>
            <w:vAlign w:val="bottom"/>
            <w:tcBorders>
              <w:bottom w:val="single" w:sz="8" w:color="CCECFF"/>
            </w:tcBorders>
            <w:shd w:val="clear" w:color="auto" w:fill="CCECFF"/>
          </w:tcPr>
          <w:p>
            <w:pPr>
              <w:spacing w:after="0" w:line="136" w:lineRule="exact"/>
              <w:rPr>
                <w:sz w:val="20"/>
                <w:szCs w:val="20"/>
                <w:color w:val="auto"/>
              </w:rPr>
            </w:pPr>
            <w:r>
              <w:rPr>
                <w:rFonts w:ascii="Times New Roman" w:cs="Times New Roman" w:eastAsia="Times New Roman" w:hAnsi="Times New Roman"/>
                <w:sz w:val="13"/>
                <w:szCs w:val="13"/>
                <w:color w:val="auto"/>
              </w:rPr>
              <w:t>Truist Credit Facility</w:t>
            </w:r>
          </w:p>
        </w:tc>
        <w:tc>
          <w:tcPr>
            <w:tcW w:w="140" w:type="dxa"/>
            <w:vAlign w:val="bottom"/>
            <w:tcBorders>
              <w:bottom w:val="single" w:sz="8" w:color="auto"/>
            </w:tcBorders>
            <w:shd w:val="clear" w:color="auto" w:fill="CCEC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425,477</w:t>
            </w:r>
          </w:p>
        </w:tc>
        <w:tc>
          <w:tcPr>
            <w:tcW w:w="280" w:type="dxa"/>
            <w:vAlign w:val="bottom"/>
            <w:tcBorders>
              <w:bottom w:val="single" w:sz="8" w:color="CCECFF"/>
            </w:tcBorders>
            <w:shd w:val="clear" w:color="auto" w:fill="CCECFF"/>
          </w:tcPr>
          <w:p>
            <w:pPr>
              <w:spacing w:after="0"/>
              <w:rPr>
                <w:sz w:val="17"/>
                <w:szCs w:val="17"/>
                <w:color w:val="auto"/>
              </w:rPr>
            </w:pPr>
          </w:p>
        </w:tc>
        <w:tc>
          <w:tcPr>
            <w:tcW w:w="1920" w:type="dxa"/>
            <w:vAlign w:val="bottom"/>
            <w:tcBorders>
              <w:bottom w:val="single" w:sz="8" w:color="CCECFF"/>
            </w:tcBorders>
            <w:shd w:val="clear" w:color="auto" w:fill="CCECFF"/>
          </w:tcPr>
          <w:p>
            <w:pPr>
              <w:jc w:val="center"/>
              <w:spacing w:after="0" w:line="136" w:lineRule="exact"/>
              <w:rPr>
                <w:sz w:val="20"/>
                <w:szCs w:val="20"/>
                <w:color w:val="auto"/>
              </w:rPr>
            </w:pPr>
            <w:r>
              <w:rPr>
                <w:rFonts w:ascii="Times New Roman" w:cs="Times New Roman" w:eastAsia="Times New Roman" w:hAnsi="Times New Roman"/>
                <w:sz w:val="13"/>
                <w:szCs w:val="13"/>
                <w:color w:val="auto"/>
              </w:rPr>
              <w:t>Market Comparable</w:t>
            </w:r>
          </w:p>
        </w:tc>
        <w:tc>
          <w:tcPr>
            <w:tcW w:w="2220" w:type="dxa"/>
            <w:vAlign w:val="bottom"/>
            <w:tcBorders>
              <w:bottom w:val="single" w:sz="8" w:color="CCECFF"/>
            </w:tcBorders>
            <w:shd w:val="clear" w:color="auto" w:fill="CCECFF"/>
          </w:tcPr>
          <w:p>
            <w:pPr>
              <w:jc w:val="center"/>
              <w:spacing w:after="0" w:line="136" w:lineRule="exact"/>
              <w:rPr>
                <w:sz w:val="20"/>
                <w:szCs w:val="20"/>
                <w:color w:val="auto"/>
              </w:rPr>
            </w:pPr>
            <w:r>
              <w:rPr>
                <w:rFonts w:ascii="Times New Roman" w:cs="Times New Roman" w:eastAsia="Times New Roman" w:hAnsi="Times New Roman"/>
                <w:sz w:val="13"/>
                <w:szCs w:val="13"/>
                <w:color w:val="auto"/>
                <w:w w:val="98"/>
              </w:rPr>
              <w:t>Market yield</w:t>
            </w:r>
          </w:p>
        </w:tc>
        <w:tc>
          <w:tcPr>
            <w:tcW w:w="2020" w:type="dxa"/>
            <w:vAlign w:val="bottom"/>
            <w:tcBorders>
              <w:bottom w:val="single" w:sz="8" w:color="CCECFF"/>
            </w:tcBorders>
            <w:shd w:val="clear" w:color="auto" w:fill="CCECFF"/>
          </w:tcPr>
          <w:p>
            <w:pPr>
              <w:jc w:val="center"/>
              <w:spacing w:after="0" w:line="136" w:lineRule="exact"/>
              <w:rPr>
                <w:sz w:val="20"/>
                <w:szCs w:val="20"/>
                <w:color w:val="auto"/>
              </w:rPr>
            </w:pPr>
            <w:r>
              <w:rPr>
                <w:rFonts w:ascii="Times New Roman" w:cs="Times New Roman" w:eastAsia="Times New Roman" w:hAnsi="Times New Roman"/>
                <w:sz w:val="13"/>
                <w:szCs w:val="13"/>
                <w:color w:val="auto"/>
              </w:rPr>
              <w:t>4.9%</w:t>
            </w:r>
          </w:p>
        </w:tc>
      </w:tr>
    </w:tbl>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1"/>
          <w:szCs w:val="11"/>
          <w:color w:val="auto"/>
        </w:rPr>
        <w:t>The weighted averages disclosed in the table above were weighted by their relative fair value.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19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Range of Input</w:t>
            </w:r>
          </w:p>
        </w:tc>
        <w:tc>
          <w:tcPr>
            <w:tcW w:w="0" w:type="dxa"/>
            <w:vAlign w:val="bottom"/>
          </w:tcPr>
          <w:p>
            <w:pPr>
              <w:spacing w:after="0"/>
              <w:rPr>
                <w:sz w:val="1"/>
                <w:szCs w:val="1"/>
                <w:color w:val="auto"/>
              </w:rPr>
            </w:pPr>
          </w:p>
        </w:tc>
      </w:tr>
      <w:tr>
        <w:trPr>
          <w:trHeight w:val="181"/>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xml:space="preserve">Asset Category </w:t>
            </w:r>
            <w:r>
              <w:rPr>
                <w:rFonts w:ascii="Times New Roman" w:cs="Times New Roman" w:eastAsia="Times New Roman" w:hAnsi="Times New Roman"/>
                <w:sz w:val="13"/>
                <w:szCs w:val="13"/>
                <w:color w:val="auto"/>
              </w:rPr>
              <w:t>($ in thousands)</w:t>
            </w:r>
          </w:p>
        </w:tc>
        <w:tc>
          <w:tcPr>
            <w:tcW w:w="160" w:type="dxa"/>
            <w:vAlign w:val="bottom"/>
          </w:tcPr>
          <w:p>
            <w:pPr>
              <w:spacing w:after="0"/>
              <w:rPr>
                <w:sz w:val="15"/>
                <w:szCs w:val="15"/>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1940" w:type="dxa"/>
            <w:vAlign w:val="bottom"/>
          </w:tcPr>
          <w:p>
            <w:pPr>
              <w:jc w:val="center"/>
              <w:spacing w:after="0" w:line="181" w:lineRule="exact"/>
              <w:rPr>
                <w:sz w:val="20"/>
                <w:szCs w:val="20"/>
                <w:color w:val="auto"/>
              </w:rPr>
            </w:pPr>
            <w:r>
              <w:rPr>
                <w:rFonts w:ascii="Times New Roman" w:cs="Times New Roman" w:eastAsia="Times New Roman" w:hAnsi="Times New Roman"/>
                <w:sz w:val="13"/>
                <w:szCs w:val="13"/>
                <w:b w:val="1"/>
                <w:bCs w:val="1"/>
                <w:color w:val="auto"/>
                <w:w w:val="98"/>
              </w:rPr>
              <w:t xml:space="preserve">(Weighted Average) </w:t>
            </w:r>
            <w:r>
              <w:rPr>
                <w:rFonts w:ascii="Times New Roman" w:cs="Times New Roman" w:eastAsia="Times New Roman" w:hAnsi="Times New Roman"/>
                <w:sz w:val="16"/>
                <w:szCs w:val="16"/>
                <w:b w:val="1"/>
                <w:bCs w:val="1"/>
                <w:color w:val="auto"/>
                <w:w w:val="98"/>
                <w:vertAlign w:val="superscript"/>
              </w:rPr>
              <w:t>(1)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First lien</w:t>
            </w:r>
          </w:p>
        </w:tc>
        <w:tc>
          <w:tcPr>
            <w:tcW w:w="16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3"/>
                <w:szCs w:val="13"/>
                <w:color w:val="auto"/>
              </w:rPr>
              <w:t>13,841</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3"/>
                <w:szCs w:val="13"/>
                <w:color w:val="auto"/>
              </w:rPr>
              <w:t>First lien</w:t>
            </w:r>
          </w:p>
        </w:tc>
        <w:tc>
          <w:tcPr>
            <w:tcW w:w="1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621,998</w:t>
            </w:r>
          </w:p>
        </w:tc>
        <w:tc>
          <w:tcPr>
            <w:tcW w:w="28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 – 21.4% (10.2%)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First lien</w:t>
            </w:r>
          </w:p>
        </w:tc>
        <w:tc>
          <w:tcPr>
            <w:tcW w:w="160" w:type="dxa"/>
            <w:vAlign w:val="bottom"/>
            <w:shd w:val="clear" w:color="auto" w:fill="CCECFF"/>
          </w:tcPr>
          <w:p>
            <w:pPr>
              <w:spacing w:after="0"/>
              <w:rPr>
                <w:sz w:val="13"/>
                <w:szCs w:val="13"/>
                <w:color w:val="auto"/>
              </w:rPr>
            </w:pPr>
          </w:p>
        </w:tc>
        <w:tc>
          <w:tcPr>
            <w:tcW w:w="17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3"/>
                <w:szCs w:val="13"/>
                <w:color w:val="auto"/>
              </w:rPr>
              <w:t>32,087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Enterprise Market Value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0.9x - 8.4x (8.4x)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3"/>
                <w:szCs w:val="13"/>
                <w:color w:val="auto"/>
              </w:rPr>
              <w:t>Second lien</w:t>
            </w:r>
          </w:p>
        </w:tc>
        <w:tc>
          <w:tcPr>
            <w:tcW w:w="160" w:type="dxa"/>
            <w:vAlign w:val="bottom"/>
          </w:tcPr>
          <w:p>
            <w:pPr>
              <w:spacing w:after="0"/>
              <w:rPr>
                <w:sz w:val="13"/>
                <w:szCs w:val="13"/>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63,803</w:t>
            </w: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13.1% - 18.5% (13.9%)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Second lien</w:t>
            </w:r>
          </w:p>
        </w:tc>
        <w:tc>
          <w:tcPr>
            <w:tcW w:w="160" w:type="dxa"/>
            <w:vAlign w:val="bottom"/>
            <w:shd w:val="clear" w:color="auto" w:fill="CCECFF"/>
          </w:tcPr>
          <w:p>
            <w:pPr>
              <w:spacing w:after="0"/>
              <w:rPr>
                <w:sz w:val="13"/>
                <w:szCs w:val="13"/>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3,377</w:t>
            </w:r>
          </w:p>
        </w:tc>
        <w:tc>
          <w:tcPr>
            <w:tcW w:w="280" w:type="dxa"/>
            <w:vAlign w:val="bottom"/>
            <w:shd w:val="clear" w:color="auto" w:fill="CCECFF"/>
          </w:tcPr>
          <w:p>
            <w:pPr>
              <w:spacing w:after="0"/>
              <w:rPr>
                <w:sz w:val="13"/>
                <w:szCs w:val="13"/>
                <w:color w:val="auto"/>
              </w:rPr>
            </w:pP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3"/>
                <w:szCs w:val="13"/>
                <w:color w:val="auto"/>
              </w:rPr>
              <w:t>Subordinated debt / corporate notes</w:t>
            </w:r>
          </w:p>
        </w:tc>
        <w:tc>
          <w:tcPr>
            <w:tcW w:w="1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181,690</w:t>
            </w:r>
          </w:p>
        </w:tc>
        <w:tc>
          <w:tcPr>
            <w:tcW w:w="28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5.0% - 16.5% (14.1%)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Equity</w:t>
            </w:r>
          </w:p>
        </w:tc>
        <w:tc>
          <w:tcPr>
            <w:tcW w:w="160" w:type="dxa"/>
            <w:vAlign w:val="bottom"/>
            <w:shd w:val="clear" w:color="auto" w:fill="CCECFF"/>
          </w:tcPr>
          <w:p>
            <w:pPr>
              <w:spacing w:after="0"/>
              <w:rPr>
                <w:sz w:val="13"/>
                <w:szCs w:val="13"/>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235,573</w:t>
            </w:r>
          </w:p>
        </w:tc>
        <w:tc>
          <w:tcPr>
            <w:tcW w:w="280" w:type="dxa"/>
            <w:vAlign w:val="bottom"/>
            <w:shd w:val="clear" w:color="auto" w:fill="CCECFF"/>
          </w:tcPr>
          <w:p>
            <w:pPr>
              <w:spacing w:after="0"/>
              <w:rPr>
                <w:sz w:val="13"/>
                <w:szCs w:val="13"/>
                <w:color w:val="auto"/>
              </w:rPr>
            </w:pP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Enterprise Market Value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0.4x - 18.8x (9.4x)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1,152,369</w:t>
            </w:r>
          </w:p>
        </w:tc>
        <w:tc>
          <w:tcPr>
            <w:tcW w:w="2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256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 xml:space="preserve">Debt Category </w:t>
            </w:r>
            <w:r>
              <w:rPr>
                <w:rFonts w:ascii="Times New Roman" w:cs="Times New Roman" w:eastAsia="Times New Roman" w:hAnsi="Times New Roman"/>
                <w:sz w:val="13"/>
                <w:szCs w:val="13"/>
                <w:color w:val="auto"/>
              </w:rPr>
              <w:t>($ in thousands)</w:t>
            </w:r>
          </w:p>
        </w:tc>
        <w:tc>
          <w:tcPr>
            <w:tcW w:w="160" w:type="dxa"/>
            <w:vAlign w:val="bottom"/>
            <w:shd w:val="clear" w:color="auto" w:fill="CCECFF"/>
          </w:tcPr>
          <w:p>
            <w:pPr>
              <w:spacing w:after="0"/>
              <w:rPr>
                <w:sz w:val="11"/>
                <w:szCs w:val="11"/>
                <w:color w:val="auto"/>
              </w:rPr>
            </w:pPr>
          </w:p>
        </w:tc>
        <w:tc>
          <w:tcPr>
            <w:tcW w:w="144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1920" w:type="dxa"/>
            <w:vAlign w:val="bottom"/>
            <w:shd w:val="clear" w:color="auto" w:fill="CCECFF"/>
          </w:tcPr>
          <w:p>
            <w:pPr>
              <w:spacing w:after="0"/>
              <w:rPr>
                <w:sz w:val="11"/>
                <w:szCs w:val="11"/>
                <w:color w:val="auto"/>
              </w:rPr>
            </w:pPr>
          </w:p>
        </w:tc>
        <w:tc>
          <w:tcPr>
            <w:tcW w:w="2240" w:type="dxa"/>
            <w:vAlign w:val="bottom"/>
            <w:shd w:val="clear" w:color="auto" w:fill="CCECFF"/>
          </w:tcPr>
          <w:p>
            <w:pPr>
              <w:spacing w:after="0"/>
              <w:rPr>
                <w:sz w:val="11"/>
                <w:szCs w:val="11"/>
                <w:color w:val="auto"/>
              </w:rPr>
            </w:pPr>
          </w:p>
        </w:tc>
        <w:tc>
          <w:tcPr>
            <w:tcW w:w="19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58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Truist Credit Facility</w:t>
            </w:r>
          </w:p>
        </w:tc>
        <w:tc>
          <w:tcPr>
            <w:tcW w:w="160" w:type="dxa"/>
            <w:vAlign w:val="bottom"/>
            <w:tcBorders>
              <w:bottom w:val="single" w:sz="8" w:color="auto"/>
            </w:tcBorders>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460,361</w:t>
            </w:r>
          </w:p>
        </w:tc>
        <w:tc>
          <w:tcPr>
            <w:tcW w:w="280" w:type="dxa"/>
            <w:vAlign w:val="bottom"/>
          </w:tcPr>
          <w:p>
            <w:pPr>
              <w:spacing w:after="0"/>
              <w:rPr>
                <w:sz w:val="13"/>
                <w:szCs w:val="13"/>
                <w:color w:val="auto"/>
              </w:rPr>
            </w:pPr>
          </w:p>
        </w:tc>
        <w:tc>
          <w:tcPr>
            <w:tcW w:w="19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1"/>
          <w:szCs w:val="11"/>
          <w:color w:val="auto"/>
        </w:rPr>
        <w:t>The weighted averages disclosed in the table above were weighted by their relative fair value.</w:t>
      </w: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investments, cash and cash equivalents, Credit Facility, 2026 Notes and 2026 Notes-2 were categorized as follows in the fair value hierarchy ($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Measured at Net</w:t>
            </w:r>
          </w:p>
        </w:tc>
        <w:tc>
          <w:tcPr>
            <w:tcW w:w="0" w:type="dxa"/>
            <w:vAlign w:val="bottom"/>
          </w:tcPr>
          <w:p>
            <w:pPr>
              <w:spacing w:after="0"/>
              <w:rPr>
                <w:sz w:val="1"/>
                <w:szCs w:val="1"/>
                <w:color w:val="auto"/>
              </w:rPr>
            </w:pPr>
          </w:p>
        </w:tc>
      </w:tr>
      <w:tr>
        <w:trPr>
          <w:trHeight w:val="127"/>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 xml:space="preserve">Description </w:t>
            </w:r>
            <w:r>
              <w:rPr>
                <w:rFonts w:ascii="Times New Roman" w:cs="Times New Roman" w:eastAsia="Times New Roman" w:hAnsi="Times New Roman"/>
                <w:sz w:val="13"/>
                <w:szCs w:val="13"/>
                <w:color w:val="auto"/>
              </w:rPr>
              <w:t>($ in thousands)</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1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80"/>
              <w:spacing w:after="0" w:line="169" w:lineRule="exact"/>
              <w:rPr>
                <w:sz w:val="20"/>
                <w:szCs w:val="20"/>
                <w:color w:val="auto"/>
              </w:rPr>
            </w:pPr>
            <w:r>
              <w:rPr>
                <w:rFonts w:ascii="Times New Roman" w:cs="Times New Roman" w:eastAsia="Times New Roman" w:hAnsi="Times New Roman"/>
                <w:sz w:val="13"/>
                <w:szCs w:val="13"/>
                <w:b w:val="1"/>
                <w:bCs w:val="1"/>
                <w:color w:val="auto"/>
                <w:w w:val="96"/>
              </w:rPr>
              <w:t xml:space="preserve">Asset Value </w:t>
            </w:r>
            <w:r>
              <w:rPr>
                <w:rFonts w:ascii="Times New Roman" w:cs="Times New Roman" w:eastAsia="Times New Roman" w:hAnsi="Times New Roman"/>
                <w:sz w:val="16"/>
                <w:szCs w:val="16"/>
                <w:b w:val="1"/>
                <w:bCs w:val="1"/>
                <w:color w:val="auto"/>
                <w:w w:val="96"/>
                <w:vertAlign w:val="superscript"/>
              </w:rPr>
              <w:t>(1)</w:t>
            </w:r>
          </w:p>
        </w:tc>
        <w:tc>
          <w:tcPr>
            <w:tcW w:w="0" w:type="dxa"/>
            <w:vAlign w:val="bottom"/>
          </w:tcPr>
          <w:p>
            <w:pPr>
              <w:spacing w:after="0"/>
              <w:rPr>
                <w:sz w:val="1"/>
                <w:szCs w:val="1"/>
                <w:color w:val="auto"/>
              </w:rPr>
            </w:pPr>
          </w:p>
        </w:tc>
      </w:tr>
      <w:tr>
        <w:trPr>
          <w:trHeight w:val="168"/>
        </w:trPr>
        <w:tc>
          <w:tcPr>
            <w:tcW w:w="3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Debt investments</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801,754</w:t>
            </w:r>
          </w:p>
        </w:tc>
        <w:tc>
          <w:tcPr>
            <w:tcW w:w="1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801,754</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shd w:val="clear" w:color="auto" w:fill="CCECFF"/>
          </w:tcPr>
          <w:p>
            <w:pPr>
              <w:spacing w:after="0" w:line="156" w:lineRule="exact"/>
              <w:rPr>
                <w:sz w:val="20"/>
                <w:szCs w:val="20"/>
                <w:color w:val="auto"/>
              </w:rPr>
            </w:pPr>
            <w:r>
              <w:rPr>
                <w:rFonts w:ascii="Times New Roman" w:cs="Times New Roman" w:eastAsia="Times New Roman" w:hAnsi="Times New Roman"/>
                <w:sz w:val="13"/>
                <w:szCs w:val="13"/>
                <w:color w:val="auto"/>
              </w:rPr>
              <w:t>U.S. Government Securities</w:t>
            </w:r>
            <w:r>
              <w:rPr>
                <w:rFonts w:ascii="Times New Roman" w:cs="Times New Roman" w:eastAsia="Times New Roman" w:hAnsi="Times New Roman"/>
                <w:sz w:val="16"/>
                <w:szCs w:val="16"/>
                <w:color w:val="auto"/>
                <w:vertAlign w:val="superscript"/>
              </w:rPr>
              <w:t>(3)</w:t>
            </w:r>
          </w:p>
        </w:tc>
        <w:tc>
          <w:tcPr>
            <w:tcW w:w="4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124,788</w:t>
            </w: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124,788</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2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Equity investments</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360,731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286,210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74,521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Total investments</w:t>
            </w:r>
          </w:p>
        </w:tc>
        <w:tc>
          <w:tcPr>
            <w:tcW w:w="4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1,287,273</w:t>
            </w: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124,788</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1,087,964</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2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74,521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51,783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51,783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6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1,339,056</w:t>
            </w:r>
          </w:p>
        </w:tc>
        <w:tc>
          <w:tcPr>
            <w:tcW w:w="100" w:type="dxa"/>
            <w:vAlign w:val="bottom"/>
            <w:shd w:val="clear" w:color="auto" w:fill="CCECFF"/>
          </w:tcPr>
          <w:p>
            <w:pPr>
              <w:spacing w:after="0"/>
              <w:rPr>
                <w:sz w:val="15"/>
                <w:szCs w:val="15"/>
                <w:color w:val="auto"/>
              </w:rPr>
            </w:pPr>
          </w:p>
        </w:tc>
        <w:tc>
          <w:tcPr>
            <w:tcW w:w="3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51,783</w:t>
            </w:r>
          </w:p>
        </w:tc>
        <w:tc>
          <w:tcPr>
            <w:tcW w:w="240" w:type="dxa"/>
            <w:vAlign w:val="bottom"/>
            <w:gridSpan w:val="2"/>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124,788</w:t>
            </w:r>
          </w:p>
        </w:tc>
        <w:tc>
          <w:tcPr>
            <w:tcW w:w="4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1,087,964</w:t>
            </w:r>
          </w:p>
        </w:tc>
        <w:tc>
          <w:tcPr>
            <w:tcW w:w="3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74,521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40" w:type="dxa"/>
            <w:vAlign w:val="bottom"/>
            <w:tcBorders>
              <w:top w:val="single" w:sz="8" w:color="CCECFF"/>
            </w:tcBorders>
            <w:shd w:val="clear" w:color="auto" w:fill="CCECFF"/>
          </w:tcPr>
          <w:p>
            <w:pPr>
              <w:spacing w:after="0" w:line="20" w:lineRule="exact"/>
              <w:rPr>
                <w:sz w:val="1"/>
                <w:szCs w:val="1"/>
                <w:color w:val="auto"/>
              </w:rPr>
            </w:pPr>
          </w:p>
        </w:tc>
        <w:tc>
          <w:tcPr>
            <w:tcW w:w="48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31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Truist Credit Facility</w:t>
            </w:r>
          </w:p>
        </w:tc>
        <w:tc>
          <w:tcPr>
            <w:tcW w:w="6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425,477</w:t>
            </w:r>
          </w:p>
        </w:tc>
        <w:tc>
          <w:tcPr>
            <w:tcW w:w="100" w:type="dxa"/>
            <w:vAlign w:val="bottom"/>
          </w:tcPr>
          <w:p>
            <w:pPr>
              <w:spacing w:after="0"/>
              <w:rPr>
                <w:sz w:val="11"/>
                <w:szCs w:val="11"/>
                <w:color w:val="auto"/>
              </w:rPr>
            </w:pPr>
          </w:p>
        </w:tc>
        <w:tc>
          <w:tcPr>
            <w:tcW w:w="34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425,477</w:t>
            </w:r>
          </w:p>
        </w:tc>
        <w:tc>
          <w:tcPr>
            <w:tcW w:w="32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shd w:val="clear" w:color="auto" w:fill="CCECFF"/>
          </w:tcPr>
          <w:p>
            <w:pPr>
              <w:spacing w:after="0" w:line="156" w:lineRule="exact"/>
              <w:rPr>
                <w:sz w:val="20"/>
                <w:szCs w:val="20"/>
                <w:color w:val="auto"/>
              </w:rPr>
            </w:pPr>
            <w:r>
              <w:rPr>
                <w:rFonts w:ascii="Times New Roman" w:cs="Times New Roman" w:eastAsia="Times New Roman" w:hAnsi="Times New Roman"/>
                <w:sz w:val="13"/>
                <w:szCs w:val="13"/>
                <w:color w:val="auto"/>
              </w:rPr>
              <w:t>2026 Notes</w:t>
            </w:r>
            <w:r>
              <w:rPr>
                <w:rFonts w:ascii="Times New Roman" w:cs="Times New Roman" w:eastAsia="Times New Roman" w:hAnsi="Times New Roman"/>
                <w:sz w:val="16"/>
                <w:szCs w:val="16"/>
                <w:color w:val="auto"/>
                <w:vertAlign w:val="superscript"/>
              </w:rPr>
              <w:t>(2)</w:t>
            </w:r>
          </w:p>
        </w:tc>
        <w:tc>
          <w:tcPr>
            <w:tcW w:w="4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149,473</w:t>
            </w: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149,473</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2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2026 Notes-2</w:t>
            </w:r>
            <w:r>
              <w:rPr>
                <w:rFonts w:ascii="Times New Roman" w:cs="Times New Roman" w:eastAsia="Times New Roman" w:hAnsi="Times New Roman"/>
                <w:sz w:val="16"/>
                <w:szCs w:val="16"/>
                <w:color w:val="auto"/>
                <w:vertAlign w:val="superscript"/>
              </w:rPr>
              <w:t>(2)</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163,933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163,933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Total debt</w:t>
            </w:r>
          </w:p>
        </w:tc>
        <w:tc>
          <w:tcPr>
            <w:tcW w:w="6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738,883</w:t>
            </w:r>
          </w:p>
        </w:tc>
        <w:tc>
          <w:tcPr>
            <w:tcW w:w="100" w:type="dxa"/>
            <w:vAlign w:val="bottom"/>
            <w:shd w:val="clear" w:color="auto" w:fill="CCECFF"/>
          </w:tcPr>
          <w:p>
            <w:pPr>
              <w:spacing w:after="0"/>
              <w:rPr>
                <w:sz w:val="15"/>
                <w:szCs w:val="15"/>
                <w:color w:val="auto"/>
              </w:rPr>
            </w:pPr>
          </w:p>
        </w:tc>
        <w:tc>
          <w:tcPr>
            <w:tcW w:w="3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313,406</w:t>
            </w:r>
          </w:p>
        </w:tc>
        <w:tc>
          <w:tcPr>
            <w:tcW w:w="4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425,477</w:t>
            </w:r>
          </w:p>
        </w:tc>
        <w:tc>
          <w:tcPr>
            <w:tcW w:w="3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ECFF"/>
            </w:tcBorders>
            <w:shd w:val="clear" w:color="auto" w:fill="CCECFF"/>
          </w:tcPr>
          <w:p>
            <w:pPr>
              <w:spacing w:after="0" w:line="20" w:lineRule="exact"/>
              <w:rPr>
                <w:sz w:val="1"/>
                <w:szCs w:val="1"/>
                <w:color w:val="auto"/>
              </w:rPr>
            </w:pPr>
          </w:p>
        </w:tc>
        <w:tc>
          <w:tcPr>
            <w:tcW w:w="48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jc w:val="both"/>
        <w:ind w:right="80"/>
        <w:spacing w:after="0" w:line="210" w:lineRule="auto"/>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1"/>
          <w:szCs w:val="11"/>
          <w:color w:val="auto"/>
        </w:rPr>
        <w:t>In accordance with ASC Subtopic 820-10, Fair Value Measurements and Disclosures, or ASC 820-10, our equity investment in PSLF and PTSF II is measured using the net asset value per share (or its equivalent) as a practical expedient for fair value in accordance with the specialized accounting guidance for investment companies, and thus has not been classified in the fair value hierarchy.</w:t>
      </w:r>
    </w:p>
    <w:p>
      <w:pPr>
        <w:spacing w:after="0" w:line="230" w:lineRule="auto"/>
        <w:rPr>
          <w:sz w:val="20"/>
          <w:szCs w:val="20"/>
          <w:color w:val="auto"/>
        </w:rPr>
      </w:pP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1"/>
          <w:szCs w:val="11"/>
          <w:color w:val="auto"/>
        </w:rPr>
        <w:t>We elected not to apply ASC 825-10 to the 2026 Notes, and the 2026 Notes-2 and thus the balance reported in the Consolidated Statement of Assets and Liabilities represents the carrying value.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vertAlign w:val="superscript"/>
        </w:rPr>
        <w:t>(3)</w:t>
      </w:r>
      <w:r>
        <w:rPr>
          <w:rFonts w:ascii="Times New Roman" w:cs="Times New Roman" w:eastAsia="Times New Roman" w:hAnsi="Times New Roman"/>
          <w:sz w:val="11"/>
          <w:szCs w:val="11"/>
          <w:color w:val="auto"/>
        </w:rPr>
        <w:t>Our U.S. Treasury Bills are classified as Level 2, as they were valued by the pricing service who utilize broker-supplied prices.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80" w:type="dxa"/>
            <w:vAlign w:val="bottom"/>
            <w:gridSpan w:val="8"/>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Fair Value at September 30, 2024</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Measured at Net</w:t>
            </w:r>
          </w:p>
        </w:tc>
        <w:tc>
          <w:tcPr>
            <w:tcW w:w="0" w:type="dxa"/>
            <w:vAlign w:val="bottom"/>
          </w:tcPr>
          <w:p>
            <w:pPr>
              <w:spacing w:after="0"/>
              <w:rPr>
                <w:sz w:val="1"/>
                <w:szCs w:val="1"/>
                <w:color w:val="auto"/>
              </w:rPr>
            </w:pPr>
          </w:p>
        </w:tc>
      </w:tr>
      <w:tr>
        <w:trPr>
          <w:trHeight w:val="127"/>
        </w:trPr>
        <w:tc>
          <w:tcPr>
            <w:tcW w:w="36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 xml:space="preserve">Description </w:t>
            </w:r>
            <w:r>
              <w:rPr>
                <w:rFonts w:ascii="Times New Roman" w:cs="Times New Roman" w:eastAsia="Times New Roman" w:hAnsi="Times New Roman"/>
                <w:sz w:val="13"/>
                <w:szCs w:val="13"/>
                <w:color w:val="auto"/>
              </w:rPr>
              <w:t>($ in thousands)</w:t>
            </w:r>
          </w:p>
        </w:tc>
        <w:tc>
          <w:tcPr>
            <w:tcW w:w="180" w:type="dxa"/>
            <w:vAlign w:val="bottom"/>
          </w:tcPr>
          <w:p>
            <w:pPr>
              <w:spacing w:after="0"/>
              <w:rPr>
                <w:sz w:val="11"/>
                <w:szCs w:val="11"/>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80"/>
              <w:spacing w:after="0" w:line="181" w:lineRule="exact"/>
              <w:rPr>
                <w:sz w:val="20"/>
                <w:szCs w:val="20"/>
                <w:color w:val="auto"/>
              </w:rPr>
            </w:pPr>
            <w:r>
              <w:rPr>
                <w:rFonts w:ascii="Times New Roman" w:cs="Times New Roman" w:eastAsia="Times New Roman" w:hAnsi="Times New Roman"/>
                <w:sz w:val="13"/>
                <w:szCs w:val="13"/>
                <w:b w:val="1"/>
                <w:bCs w:val="1"/>
                <w:color w:val="auto"/>
                <w:w w:val="96"/>
              </w:rPr>
              <w:t xml:space="preserve">Asset Value </w:t>
            </w:r>
            <w:r>
              <w:rPr>
                <w:rFonts w:ascii="Times New Roman" w:cs="Times New Roman" w:eastAsia="Times New Roman" w:hAnsi="Times New Roman"/>
                <w:sz w:val="16"/>
                <w:szCs w:val="16"/>
                <w:b w:val="1"/>
                <w:bCs w:val="1"/>
                <w:color w:val="auto"/>
                <w:w w:val="96"/>
                <w:vertAlign w:val="superscript"/>
              </w:rPr>
              <w:t>(1)</w:t>
            </w:r>
          </w:p>
        </w:tc>
        <w:tc>
          <w:tcPr>
            <w:tcW w:w="0" w:type="dxa"/>
            <w:vAlign w:val="bottom"/>
          </w:tcPr>
          <w:p>
            <w:pPr>
              <w:spacing w:after="0"/>
              <w:rPr>
                <w:sz w:val="1"/>
                <w:szCs w:val="1"/>
                <w:color w:val="auto"/>
              </w:rPr>
            </w:pPr>
          </w:p>
        </w:tc>
      </w:tr>
      <w:tr>
        <w:trPr>
          <w:trHeight w:val="156"/>
        </w:trPr>
        <w:tc>
          <w:tcPr>
            <w:tcW w:w="36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Debt investments</w:t>
            </w:r>
          </w:p>
        </w:tc>
        <w:tc>
          <w:tcPr>
            <w:tcW w:w="180" w:type="dxa"/>
            <w:vAlign w:val="bottom"/>
            <w:shd w:val="clear" w:color="auto" w:fill="CCEC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916,796</w:t>
            </w:r>
          </w:p>
        </w:tc>
        <w:tc>
          <w:tcPr>
            <w:tcW w:w="120" w:type="dxa"/>
            <w:vAlign w:val="bottom"/>
            <w:shd w:val="clear" w:color="auto" w:fill="CCECFF"/>
          </w:tcPr>
          <w:p>
            <w:pPr>
              <w:spacing w:after="0"/>
              <w:rPr>
                <w:sz w:val="13"/>
                <w:szCs w:val="13"/>
                <w:color w:val="auto"/>
              </w:rPr>
            </w:pPr>
          </w:p>
        </w:tc>
        <w:tc>
          <w:tcPr>
            <w:tcW w:w="340" w:type="dxa"/>
            <w:vAlign w:val="bottom"/>
            <w:gridSpan w:val="2"/>
            <w:shd w:val="clear" w:color="auto" w:fill="CCECFF"/>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CFF"/>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CFF"/>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916,796</w:t>
            </w:r>
          </w:p>
        </w:tc>
        <w:tc>
          <w:tcPr>
            <w:tcW w:w="3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0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U.S. Government Securities</w:t>
            </w:r>
            <w:r>
              <w:rPr>
                <w:rFonts w:ascii="Times New Roman" w:cs="Times New Roman" w:eastAsia="Times New Roman" w:hAnsi="Times New Roman"/>
                <w:sz w:val="16"/>
                <w:szCs w:val="16"/>
                <w:color w:val="auto"/>
                <w:vertAlign w:val="superscript"/>
              </w:rPr>
              <w:t>(3)</w:t>
            </w:r>
          </w:p>
        </w:tc>
        <w:tc>
          <w:tcPr>
            <w:tcW w:w="18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99,632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99,632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60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3"/>
                <w:szCs w:val="13"/>
                <w:color w:val="auto"/>
              </w:rPr>
              <w:t>Equity investments</w:t>
            </w:r>
          </w:p>
        </w:tc>
        <w:tc>
          <w:tcPr>
            <w:tcW w:w="18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311,622</w:t>
            </w: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00" w:type="dxa"/>
            <w:vAlign w:val="bottom"/>
            <w:gridSpan w:val="2"/>
            <w:vMerge w:val="restart"/>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00" w:type="dxa"/>
            <w:vAlign w:val="bottom"/>
            <w:gridSpan w:val="2"/>
            <w:vMerge w:val="restart"/>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235,573</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60" w:type="dxa"/>
            <w:vAlign w:val="bottom"/>
            <w:gridSpan w:val="2"/>
            <w:vMerge w:val="restart"/>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76,049</w:t>
            </w:r>
          </w:p>
        </w:tc>
        <w:tc>
          <w:tcPr>
            <w:tcW w:w="0" w:type="dxa"/>
            <w:vAlign w:val="bottom"/>
          </w:tcPr>
          <w:p>
            <w:pPr>
              <w:spacing w:after="0"/>
              <w:rPr>
                <w:sz w:val="1"/>
                <w:szCs w:val="1"/>
                <w:color w:val="auto"/>
              </w:rPr>
            </w:pPr>
          </w:p>
        </w:tc>
      </w:tr>
      <w:tr>
        <w:trPr>
          <w:trHeight w:val="76"/>
        </w:trPr>
        <w:tc>
          <w:tcPr>
            <w:tcW w:w="3600" w:type="dxa"/>
            <w:vAlign w:val="bottom"/>
            <w:tcBorders>
              <w:bottom w:val="single" w:sz="8" w:color="CCECFF"/>
            </w:tcBorders>
            <w:vMerge w:val="continue"/>
            <w:shd w:val="clear" w:color="auto" w:fill="CCECFF"/>
          </w:tcPr>
          <w:p>
            <w:pPr>
              <w:spacing w:after="0"/>
              <w:rPr>
                <w:sz w:val="6"/>
                <w:szCs w:val="6"/>
                <w:color w:val="auto"/>
              </w:rPr>
            </w:pPr>
          </w:p>
        </w:tc>
        <w:tc>
          <w:tcPr>
            <w:tcW w:w="180" w:type="dxa"/>
            <w:vAlign w:val="bottom"/>
            <w:tcBorders>
              <w:bottom w:val="single" w:sz="8" w:color="CCECFF"/>
            </w:tcBorders>
            <w:shd w:val="clear" w:color="auto" w:fill="CCECFF"/>
          </w:tcPr>
          <w:p>
            <w:pPr>
              <w:spacing w:after="0"/>
              <w:rPr>
                <w:sz w:val="6"/>
                <w:szCs w:val="6"/>
                <w:color w:val="auto"/>
              </w:rPr>
            </w:pPr>
          </w:p>
        </w:tc>
        <w:tc>
          <w:tcPr>
            <w:tcW w:w="1020" w:type="dxa"/>
            <w:vAlign w:val="bottom"/>
            <w:tcBorders>
              <w:bottom w:val="single" w:sz="8" w:color="CCECFF"/>
            </w:tcBorders>
            <w:shd w:val="clear" w:color="auto" w:fill="CCECFF"/>
          </w:tcPr>
          <w:p>
            <w:pPr>
              <w:spacing w:after="0"/>
              <w:rPr>
                <w:sz w:val="6"/>
                <w:szCs w:val="6"/>
                <w:color w:val="auto"/>
              </w:rPr>
            </w:pPr>
          </w:p>
        </w:tc>
        <w:tc>
          <w:tcPr>
            <w:tcW w:w="120" w:type="dxa"/>
            <w:vAlign w:val="bottom"/>
            <w:tcBorders>
              <w:bottom w:val="single" w:sz="8" w:color="CCECFF"/>
            </w:tcBorders>
            <w:shd w:val="clear" w:color="auto" w:fill="CCECFF"/>
          </w:tcPr>
          <w:p>
            <w:pPr>
              <w:spacing w:after="0"/>
              <w:rPr>
                <w:sz w:val="6"/>
                <w:szCs w:val="6"/>
                <w:color w:val="auto"/>
              </w:rPr>
            </w:pPr>
          </w:p>
        </w:tc>
        <w:tc>
          <w:tcPr>
            <w:tcW w:w="120" w:type="dxa"/>
            <w:vAlign w:val="bottom"/>
            <w:tcBorders>
              <w:bottom w:val="single" w:sz="8" w:color="CCECFF"/>
            </w:tcBorders>
            <w:shd w:val="clear" w:color="auto" w:fill="CCECFF"/>
          </w:tcPr>
          <w:p>
            <w:pPr>
              <w:spacing w:after="0"/>
              <w:rPr>
                <w:sz w:val="6"/>
                <w:szCs w:val="6"/>
                <w:color w:val="auto"/>
              </w:rPr>
            </w:pPr>
          </w:p>
        </w:tc>
        <w:tc>
          <w:tcPr>
            <w:tcW w:w="220" w:type="dxa"/>
            <w:vAlign w:val="bottom"/>
            <w:tcBorders>
              <w:bottom w:val="single" w:sz="8" w:color="CCECFF"/>
            </w:tcBorders>
            <w:shd w:val="clear" w:color="auto" w:fill="CCECFF"/>
          </w:tcPr>
          <w:p>
            <w:pPr>
              <w:spacing w:after="0"/>
              <w:rPr>
                <w:sz w:val="6"/>
                <w:szCs w:val="6"/>
                <w:color w:val="auto"/>
              </w:rPr>
            </w:pPr>
          </w:p>
        </w:tc>
        <w:tc>
          <w:tcPr>
            <w:tcW w:w="1100" w:type="dxa"/>
            <w:vAlign w:val="bottom"/>
            <w:tcBorders>
              <w:bottom w:val="single" w:sz="8" w:color="CCECFF"/>
            </w:tcBorders>
            <w:gridSpan w:val="2"/>
            <w:vMerge w:val="continue"/>
            <w:shd w:val="clear" w:color="auto" w:fill="CCECFF"/>
          </w:tcPr>
          <w:p>
            <w:pPr>
              <w:spacing w:after="0"/>
              <w:rPr>
                <w:sz w:val="6"/>
                <w:szCs w:val="6"/>
                <w:color w:val="auto"/>
              </w:rPr>
            </w:pPr>
          </w:p>
        </w:tc>
        <w:tc>
          <w:tcPr>
            <w:tcW w:w="120" w:type="dxa"/>
            <w:vAlign w:val="bottom"/>
            <w:tcBorders>
              <w:bottom w:val="single" w:sz="8" w:color="CCECFF"/>
            </w:tcBorders>
            <w:shd w:val="clear" w:color="auto" w:fill="CCECFF"/>
          </w:tcPr>
          <w:p>
            <w:pPr>
              <w:spacing w:after="0"/>
              <w:rPr>
                <w:sz w:val="6"/>
                <w:szCs w:val="6"/>
                <w:color w:val="auto"/>
              </w:rPr>
            </w:pPr>
          </w:p>
        </w:tc>
        <w:tc>
          <w:tcPr>
            <w:tcW w:w="220" w:type="dxa"/>
            <w:vAlign w:val="bottom"/>
            <w:tcBorders>
              <w:bottom w:val="single" w:sz="8" w:color="CCECFF"/>
            </w:tcBorders>
            <w:shd w:val="clear" w:color="auto" w:fill="CCECFF"/>
          </w:tcPr>
          <w:p>
            <w:pPr>
              <w:spacing w:after="0"/>
              <w:rPr>
                <w:sz w:val="6"/>
                <w:szCs w:val="6"/>
                <w:color w:val="auto"/>
              </w:rPr>
            </w:pPr>
          </w:p>
        </w:tc>
        <w:tc>
          <w:tcPr>
            <w:tcW w:w="1100" w:type="dxa"/>
            <w:vAlign w:val="bottom"/>
            <w:tcBorders>
              <w:bottom w:val="single" w:sz="8" w:color="CCECFF"/>
            </w:tcBorders>
            <w:gridSpan w:val="2"/>
            <w:vMerge w:val="continue"/>
            <w:shd w:val="clear" w:color="auto" w:fill="CCECFF"/>
          </w:tcPr>
          <w:p>
            <w:pPr>
              <w:spacing w:after="0"/>
              <w:rPr>
                <w:sz w:val="6"/>
                <w:szCs w:val="6"/>
                <w:color w:val="auto"/>
              </w:rPr>
            </w:pPr>
          </w:p>
        </w:tc>
        <w:tc>
          <w:tcPr>
            <w:tcW w:w="120" w:type="dxa"/>
            <w:vAlign w:val="bottom"/>
            <w:tcBorders>
              <w:bottom w:val="single" w:sz="8" w:color="CCECFF"/>
            </w:tcBorders>
            <w:shd w:val="clear" w:color="auto" w:fill="CCECFF"/>
          </w:tcPr>
          <w:p>
            <w:pPr>
              <w:spacing w:after="0"/>
              <w:rPr>
                <w:sz w:val="6"/>
                <w:szCs w:val="6"/>
                <w:color w:val="auto"/>
              </w:rPr>
            </w:pPr>
          </w:p>
        </w:tc>
        <w:tc>
          <w:tcPr>
            <w:tcW w:w="220" w:type="dxa"/>
            <w:vAlign w:val="bottom"/>
            <w:tcBorders>
              <w:bottom w:val="single" w:sz="8" w:color="CCECFF"/>
            </w:tcBorders>
            <w:shd w:val="clear" w:color="auto" w:fill="CCECFF"/>
          </w:tcPr>
          <w:p>
            <w:pPr>
              <w:spacing w:after="0"/>
              <w:rPr>
                <w:sz w:val="6"/>
                <w:szCs w:val="6"/>
                <w:color w:val="auto"/>
              </w:rPr>
            </w:pPr>
          </w:p>
        </w:tc>
        <w:tc>
          <w:tcPr>
            <w:tcW w:w="960" w:type="dxa"/>
            <w:vAlign w:val="bottom"/>
            <w:tcBorders>
              <w:bottom w:val="single" w:sz="8" w:color="CCECFF"/>
            </w:tcBorders>
            <w:vMerge w:val="continue"/>
            <w:shd w:val="clear" w:color="auto" w:fill="CCECFF"/>
          </w:tcPr>
          <w:p>
            <w:pPr>
              <w:spacing w:after="0"/>
              <w:rPr>
                <w:sz w:val="6"/>
                <w:szCs w:val="6"/>
                <w:color w:val="auto"/>
              </w:rPr>
            </w:pPr>
          </w:p>
        </w:tc>
        <w:tc>
          <w:tcPr>
            <w:tcW w:w="200" w:type="dxa"/>
            <w:vAlign w:val="bottom"/>
            <w:tcBorders>
              <w:bottom w:val="single" w:sz="8" w:color="CCECFF"/>
            </w:tcBorders>
            <w:shd w:val="clear" w:color="auto" w:fill="CCECFF"/>
          </w:tcPr>
          <w:p>
            <w:pPr>
              <w:spacing w:after="0"/>
              <w:rPr>
                <w:sz w:val="6"/>
                <w:szCs w:val="6"/>
                <w:color w:val="auto"/>
              </w:rPr>
            </w:pPr>
          </w:p>
        </w:tc>
        <w:tc>
          <w:tcPr>
            <w:tcW w:w="100" w:type="dxa"/>
            <w:vAlign w:val="bottom"/>
            <w:tcBorders>
              <w:bottom w:val="single" w:sz="8" w:color="CCECFF"/>
            </w:tcBorders>
            <w:shd w:val="clear" w:color="auto" w:fill="CCECFF"/>
          </w:tcPr>
          <w:p>
            <w:pPr>
              <w:spacing w:after="0"/>
              <w:rPr>
                <w:sz w:val="6"/>
                <w:szCs w:val="6"/>
                <w:color w:val="auto"/>
              </w:rPr>
            </w:pPr>
          </w:p>
        </w:tc>
        <w:tc>
          <w:tcPr>
            <w:tcW w:w="1160" w:type="dxa"/>
            <w:vAlign w:val="bottom"/>
            <w:tcBorders>
              <w:bottom w:val="single" w:sz="8" w:color="CCECFF"/>
            </w:tcBorders>
            <w:gridSpan w:val="2"/>
            <w:vMerge w:val="continue"/>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investments</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1,328,050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99,632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1,152,369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76,049</w:t>
            </w:r>
          </w:p>
        </w:tc>
        <w:tc>
          <w:tcPr>
            <w:tcW w:w="0" w:type="dxa"/>
            <w:vAlign w:val="bottom"/>
          </w:tcPr>
          <w:p>
            <w:pPr>
              <w:spacing w:after="0"/>
              <w:rPr>
                <w:sz w:val="1"/>
                <w:szCs w:val="1"/>
                <w:color w:val="auto"/>
              </w:rPr>
            </w:pPr>
          </w:p>
        </w:tc>
      </w:tr>
      <w:tr>
        <w:trPr>
          <w:trHeight w:val="156"/>
        </w:trPr>
        <w:tc>
          <w:tcPr>
            <w:tcW w:w="36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49,861</w:t>
            </w:r>
          </w:p>
        </w:tc>
        <w:tc>
          <w:tcPr>
            <w:tcW w:w="1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49,861</w:t>
            </w:r>
          </w:p>
        </w:tc>
        <w:tc>
          <w:tcPr>
            <w:tcW w:w="1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1,377,911</w:t>
            </w:r>
          </w:p>
        </w:tc>
        <w:tc>
          <w:tcPr>
            <w:tcW w:w="120" w:type="dxa"/>
            <w:vAlign w:val="bottom"/>
          </w:tcPr>
          <w:p>
            <w:pPr>
              <w:spacing w:after="0"/>
              <w:rPr>
                <w:sz w:val="13"/>
                <w:szCs w:val="13"/>
                <w:color w:val="auto"/>
              </w:rPr>
            </w:pPr>
          </w:p>
        </w:tc>
        <w:tc>
          <w:tcPr>
            <w:tcW w:w="340" w:type="dxa"/>
            <w:vAlign w:val="bottom"/>
            <w:gridSpan w:val="2"/>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49,861</w:t>
            </w:r>
          </w:p>
        </w:tc>
        <w:tc>
          <w:tcPr>
            <w:tcW w:w="340" w:type="dxa"/>
            <w:vAlign w:val="bottom"/>
            <w:gridSpan w:val="2"/>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99,632</w:t>
            </w:r>
          </w:p>
        </w:tc>
        <w:tc>
          <w:tcPr>
            <w:tcW w:w="340" w:type="dxa"/>
            <w:vAlign w:val="bottom"/>
            <w:gridSpan w:val="2"/>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1,152,369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76,049</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60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3"/>
                <w:szCs w:val="13"/>
                <w:color w:val="auto"/>
              </w:rPr>
              <w:t>Truist Credit Facility</w:t>
            </w:r>
          </w:p>
        </w:tc>
        <w:tc>
          <w:tcPr>
            <w:tcW w:w="180" w:type="dxa"/>
            <w:vAlign w:val="bottom"/>
            <w:shd w:val="clear" w:color="auto" w:fill="CCEC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460,361</w:t>
            </w: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20" w:type="dxa"/>
            <w:vAlign w:val="bottom"/>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20" w:type="dxa"/>
            <w:vAlign w:val="bottom"/>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20" w:type="dxa"/>
            <w:vAlign w:val="bottom"/>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460,361</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60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2026 Notes</w:t>
            </w:r>
            <w:r>
              <w:rPr>
                <w:rFonts w:ascii="Times New Roman" w:cs="Times New Roman" w:eastAsia="Times New Roman" w:hAnsi="Times New Roman"/>
                <w:sz w:val="16"/>
                <w:szCs w:val="16"/>
                <w:color w:val="auto"/>
                <w:vertAlign w:val="superscript"/>
              </w:rPr>
              <w:t>(2)</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148,571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148,571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00" w:type="dxa"/>
            <w:vAlign w:val="bottom"/>
            <w:shd w:val="clear" w:color="auto" w:fill="CCECFF"/>
          </w:tcPr>
          <w:p>
            <w:pPr>
              <w:spacing w:after="0" w:line="156" w:lineRule="exact"/>
              <w:rPr>
                <w:sz w:val="20"/>
                <w:szCs w:val="20"/>
                <w:color w:val="auto"/>
              </w:rPr>
            </w:pPr>
            <w:r>
              <w:rPr>
                <w:rFonts w:ascii="Times New Roman" w:cs="Times New Roman" w:eastAsia="Times New Roman" w:hAnsi="Times New Roman"/>
                <w:sz w:val="13"/>
                <w:szCs w:val="13"/>
                <w:color w:val="auto"/>
              </w:rPr>
              <w:t>2026 Notes-2</w:t>
            </w:r>
            <w:r>
              <w:rPr>
                <w:rFonts w:ascii="Times New Roman" w:cs="Times New Roman" w:eastAsia="Times New Roman" w:hAnsi="Times New Roman"/>
                <w:sz w:val="16"/>
                <w:szCs w:val="16"/>
                <w:color w:val="auto"/>
                <w:vertAlign w:val="superscript"/>
              </w:rPr>
              <w:t>(2)</w:t>
            </w:r>
          </w:p>
        </w:tc>
        <w:tc>
          <w:tcPr>
            <w:tcW w:w="18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163,080</w:t>
            </w:r>
          </w:p>
        </w:tc>
        <w:tc>
          <w:tcPr>
            <w:tcW w:w="1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163,080</w:t>
            </w:r>
          </w:p>
        </w:tc>
        <w:tc>
          <w:tcPr>
            <w:tcW w:w="1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debt</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772,012</w:t>
            </w:r>
          </w:p>
        </w:tc>
        <w:tc>
          <w:tcPr>
            <w:tcW w:w="120" w:type="dxa"/>
            <w:vAlign w:val="bottom"/>
          </w:tcPr>
          <w:p>
            <w:pPr>
              <w:spacing w:after="0"/>
              <w:rPr>
                <w:sz w:val="13"/>
                <w:szCs w:val="13"/>
                <w:color w:val="auto"/>
              </w:rPr>
            </w:pPr>
          </w:p>
        </w:tc>
        <w:tc>
          <w:tcPr>
            <w:tcW w:w="340" w:type="dxa"/>
            <w:vAlign w:val="bottom"/>
            <w:gridSpan w:val="2"/>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311,651</w:t>
            </w:r>
          </w:p>
        </w:tc>
        <w:tc>
          <w:tcPr>
            <w:tcW w:w="120" w:type="dxa"/>
            <w:vAlign w:val="bottom"/>
          </w:tcPr>
          <w:p>
            <w:pPr>
              <w:spacing w:after="0"/>
              <w:rPr>
                <w:sz w:val="13"/>
                <w:szCs w:val="13"/>
                <w:color w:val="auto"/>
              </w:rPr>
            </w:pPr>
          </w:p>
        </w:tc>
        <w:tc>
          <w:tcPr>
            <w:tcW w:w="340" w:type="dxa"/>
            <w:vAlign w:val="bottom"/>
            <w:gridSpan w:val="2"/>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460,361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jc w:val="both"/>
        <w:ind w:right="80"/>
        <w:spacing w:after="0" w:line="210" w:lineRule="auto"/>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1"/>
          <w:szCs w:val="11"/>
          <w:color w:val="auto"/>
        </w:rPr>
        <w:t>In accordance with ASC Subtopic 820-10, Fair Value Measurements and Disclosures, or ASC 820-10, our equity investment in PSLF and PTSF II is measured using the net asset value per share (or its equivalent) as a practical expedient for fair value in accordance with the specialized accounting guidance for investment companies, and thus has not been classified in the fair value hierarchy.</w:t>
      </w:r>
    </w:p>
    <w:p>
      <w:pPr>
        <w:spacing w:after="0" w:line="230" w:lineRule="auto"/>
        <w:rPr>
          <w:sz w:val="20"/>
          <w:szCs w:val="20"/>
          <w:color w:val="auto"/>
        </w:rPr>
      </w:pP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1"/>
          <w:szCs w:val="11"/>
          <w:color w:val="auto"/>
        </w:rPr>
        <w:t>We elected not to apply ASC 825-10 to the 2026 Notes, and the 2026 Notes-2 and thus the balance reported in the Consolidated Statement of Assets and Liabilities represents the carrying value.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vertAlign w:val="superscript"/>
        </w:rPr>
        <w:t>(3)</w:t>
      </w:r>
      <w:r>
        <w:rPr>
          <w:rFonts w:ascii="Times New Roman" w:cs="Times New Roman" w:eastAsia="Times New Roman" w:hAnsi="Times New Roman"/>
          <w:sz w:val="11"/>
          <w:szCs w:val="11"/>
          <w:color w:val="auto"/>
        </w:rPr>
        <w:t>Our U.S. Treasury Bills are classified as Level 2, as they were valued by the pricing service who utilize broker-supplied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2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tables below show a reconciliation of the beginning and ending balances for investments measured at fair value using significant unobservable inputs (Level 3) ($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Year Ended September 30, 2025</w:t>
            </w: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3"/>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Debt</w:t>
            </w:r>
          </w:p>
        </w:tc>
        <w:tc>
          <w:tcPr>
            <w:tcW w:w="220" w:type="dxa"/>
            <w:vAlign w:val="bottom"/>
          </w:tcPr>
          <w:p>
            <w:pPr>
              <w:spacing w:after="0"/>
              <w:rPr>
                <w:sz w:val="13"/>
                <w:szCs w:val="13"/>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60" w:type="dxa"/>
            <w:vAlign w:val="bottom"/>
          </w:tcPr>
          <w:p>
            <w:pPr>
              <w:spacing w:after="0"/>
              <w:rPr>
                <w:sz w:val="13"/>
                <w:szCs w:val="13"/>
                <w:color w:val="auto"/>
              </w:rPr>
            </w:pPr>
          </w:p>
        </w:tc>
        <w:tc>
          <w:tcPr>
            <w:tcW w:w="11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9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 xml:space="preserve">Description </w:t>
            </w:r>
            <w:r>
              <w:rPr>
                <w:rFonts w:ascii="Times New Roman" w:cs="Times New Roman" w:eastAsia="Times New Roman" w:hAnsi="Times New Roman"/>
                <w:sz w:val="13"/>
                <w:szCs w:val="13"/>
                <w:color w:val="auto"/>
              </w:rPr>
              <w:t>($ in thousands)</w:t>
            </w:r>
          </w:p>
        </w:tc>
        <w:tc>
          <w:tcPr>
            <w:tcW w:w="220" w:type="dxa"/>
            <w:vAlign w:val="bottom"/>
          </w:tcPr>
          <w:p>
            <w:pPr>
              <w:spacing w:after="0"/>
              <w:rPr>
                <w:sz w:val="7"/>
                <w:szCs w:val="7"/>
                <w:color w:val="auto"/>
              </w:rPr>
            </w:pPr>
          </w:p>
        </w:tc>
        <w:tc>
          <w:tcPr>
            <w:tcW w:w="138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20" w:type="dxa"/>
            <w:vAlign w:val="bottom"/>
          </w:tcPr>
          <w:p>
            <w:pPr>
              <w:spacing w:after="0"/>
              <w:rPr>
                <w:sz w:val="7"/>
                <w:szCs w:val="7"/>
                <w:color w:val="auto"/>
              </w:rPr>
            </w:pPr>
          </w:p>
        </w:tc>
        <w:tc>
          <w:tcPr>
            <w:tcW w:w="13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6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59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Beginning balance</w:t>
            </w:r>
          </w:p>
        </w:tc>
        <w:tc>
          <w:tcPr>
            <w:tcW w:w="220" w:type="dxa"/>
            <w:vAlign w:val="bottom"/>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916,796</w:t>
            </w:r>
          </w:p>
        </w:tc>
        <w:tc>
          <w:tcPr>
            <w:tcW w:w="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235,573</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1,152,369</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realized gain (loss)</w:t>
            </w:r>
          </w:p>
        </w:tc>
        <w:tc>
          <w:tcPr>
            <w:tcW w:w="220" w:type="dxa"/>
            <w:vAlign w:val="bottom"/>
          </w:tcPr>
          <w:p>
            <w:pPr>
              <w:spacing w:after="0"/>
              <w:rPr>
                <w:sz w:val="13"/>
                <w:szCs w:val="13"/>
                <w:color w:val="auto"/>
              </w:rPr>
            </w:pP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(45,658)</w:t>
            </w:r>
          </w:p>
        </w:tc>
        <w:tc>
          <w:tcPr>
            <w:tcW w:w="220" w:type="dxa"/>
            <w:vAlign w:val="bottom"/>
          </w:tcPr>
          <w:p>
            <w:pPr>
              <w:spacing w:after="0"/>
              <w:rPr>
                <w:sz w:val="13"/>
                <w:szCs w:val="13"/>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(6,800)</w:t>
            </w:r>
          </w:p>
        </w:tc>
        <w:tc>
          <w:tcPr>
            <w:tcW w:w="260" w:type="dxa"/>
            <w:vAlign w:val="bottom"/>
          </w:tcPr>
          <w:p>
            <w:pPr>
              <w:spacing w:after="0"/>
              <w:rPr>
                <w:sz w:val="13"/>
                <w:szCs w:val="13"/>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(52,458)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3"/>
                <w:szCs w:val="13"/>
                <w:color w:val="auto"/>
              </w:rPr>
              <w:t>Net change in unrealized appreciation (depreciation)</w:t>
            </w:r>
          </w:p>
        </w:tc>
        <w:tc>
          <w:tcPr>
            <w:tcW w:w="220" w:type="dxa"/>
            <w:vAlign w:val="bottom"/>
            <w:shd w:val="clear" w:color="auto" w:fill="CCECFF"/>
          </w:tcPr>
          <w:p>
            <w:pPr>
              <w:spacing w:after="0"/>
              <w:rPr>
                <w:sz w:val="13"/>
                <w:szCs w:val="13"/>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9,159</w:t>
            </w:r>
          </w:p>
        </w:tc>
        <w:tc>
          <w:tcPr>
            <w:tcW w:w="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3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46,520</w:t>
            </w:r>
          </w:p>
        </w:tc>
        <w:tc>
          <w:tcPr>
            <w:tcW w:w="26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55,679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Purchases, PIK interest, net discount accretion and non-cash exchanges</w:t>
            </w: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726,966</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15,830</w:t>
            </w: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742,796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3"/>
                <w:szCs w:val="13"/>
                <w:color w:val="auto"/>
              </w:rPr>
              <w:t>Sales, repayments and non-cash exchanges</w:t>
            </w:r>
          </w:p>
        </w:tc>
        <w:tc>
          <w:tcPr>
            <w:tcW w:w="220" w:type="dxa"/>
            <w:vAlign w:val="bottom"/>
            <w:shd w:val="clear" w:color="auto" w:fill="CCECFF"/>
          </w:tcPr>
          <w:p>
            <w:pPr>
              <w:spacing w:after="0"/>
              <w:rPr>
                <w:sz w:val="13"/>
                <w:szCs w:val="13"/>
                <w:color w:val="auto"/>
              </w:rPr>
            </w:pPr>
          </w:p>
        </w:tc>
        <w:tc>
          <w:tcPr>
            <w:tcW w:w="1380" w:type="dxa"/>
            <w:vAlign w:val="bottom"/>
            <w:gridSpan w:val="3"/>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(805,509)</w:t>
            </w:r>
          </w:p>
        </w:tc>
        <w:tc>
          <w:tcPr>
            <w:tcW w:w="220" w:type="dxa"/>
            <w:vAlign w:val="bottom"/>
            <w:shd w:val="clear" w:color="auto" w:fill="CCECFF"/>
          </w:tcPr>
          <w:p>
            <w:pPr>
              <w:spacing w:after="0"/>
              <w:rPr>
                <w:sz w:val="13"/>
                <w:szCs w:val="13"/>
                <w:color w:val="auto"/>
              </w:rPr>
            </w:pPr>
          </w:p>
        </w:tc>
        <w:tc>
          <w:tcPr>
            <w:tcW w:w="13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(4,913)</w:t>
            </w:r>
          </w:p>
        </w:tc>
        <w:tc>
          <w:tcPr>
            <w:tcW w:w="26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(810,422)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Transfers in/out of Level 3</w:t>
            </w:r>
          </w:p>
        </w:tc>
        <w:tc>
          <w:tcPr>
            <w:tcW w:w="220" w:type="dxa"/>
            <w:vAlign w:val="bottom"/>
          </w:tcPr>
          <w:p>
            <w:pPr>
              <w:spacing w:after="0"/>
              <w:rPr>
                <w:sz w:val="13"/>
                <w:szCs w:val="13"/>
                <w:color w:val="auto"/>
              </w:rPr>
            </w:pP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3"/>
                <w:szCs w:val="13"/>
                <w:color w:val="auto"/>
              </w:rPr>
              <w:t>Ending balance</w:t>
            </w:r>
          </w:p>
        </w:tc>
        <w:tc>
          <w:tcPr>
            <w:tcW w:w="220" w:type="dxa"/>
            <w:vAlign w:val="bottom"/>
            <w:tcBorders>
              <w:bottom w:val="single" w:sz="8" w:color="auto"/>
            </w:tcBorders>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801,754</w:t>
            </w:r>
          </w:p>
        </w:tc>
        <w:tc>
          <w:tcPr>
            <w:tcW w:w="20" w:type="dxa"/>
            <w:vAlign w:val="bottom"/>
            <w:tcBorders>
              <w:bottom w:val="single" w:sz="8" w:color="auto"/>
            </w:tcBorders>
            <w:shd w:val="clear" w:color="auto" w:fill="CCECFF"/>
          </w:tcPr>
          <w:p>
            <w:pPr>
              <w:spacing w:after="0"/>
              <w:rPr>
                <w:sz w:val="17"/>
                <w:szCs w:val="17"/>
                <w:color w:val="auto"/>
              </w:rPr>
            </w:pPr>
          </w:p>
        </w:tc>
        <w:tc>
          <w:tcPr>
            <w:tcW w:w="24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286,210</w:t>
            </w:r>
          </w:p>
        </w:tc>
        <w:tc>
          <w:tcPr>
            <w:tcW w:w="240" w:type="dxa"/>
            <w:vAlign w:val="bottom"/>
            <w:tcBorders>
              <w:bottom w:val="single" w:sz="8" w:color="CCECFF"/>
            </w:tcBorders>
            <w:shd w:val="clear" w:color="auto" w:fill="CCECFF"/>
          </w:tcPr>
          <w:p>
            <w:pPr>
              <w:spacing w:after="0"/>
              <w:rPr>
                <w:sz w:val="17"/>
                <w:szCs w:val="17"/>
                <w:color w:val="auto"/>
              </w:rPr>
            </w:pPr>
          </w:p>
        </w:tc>
        <w:tc>
          <w:tcPr>
            <w:tcW w:w="260" w:type="dxa"/>
            <w:vAlign w:val="bottom"/>
            <w:tcBorders>
              <w:bottom w:val="single" w:sz="8" w:color="auto"/>
            </w:tcBorders>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1,087,964</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Net change in unrealized appreciation reported within the net change in</w:t>
            </w: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unrealized appreciation on investments in our consolidated statements of operations</w:t>
            </w:r>
          </w:p>
        </w:tc>
        <w:tc>
          <w:tcPr>
            <w:tcW w:w="220" w:type="dxa"/>
            <w:vAlign w:val="bottom"/>
            <w:vMerge w:val="restart"/>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3"/>
            <w:vMerge w:val="restart"/>
          </w:tcPr>
          <w:p>
            <w:pPr>
              <w:jc w:val="right"/>
              <w:ind w:right="200"/>
              <w:spacing w:after="0" w:line="267" w:lineRule="exact"/>
              <w:rPr>
                <w:sz w:val="20"/>
                <w:szCs w:val="20"/>
                <w:color w:val="auto"/>
              </w:rPr>
            </w:pPr>
            <w:r>
              <w:rPr>
                <w:rFonts w:ascii="Times New Roman" w:cs="Times New Roman" w:eastAsia="Times New Roman" w:hAnsi="Times New Roman"/>
                <w:sz w:val="13"/>
                <w:szCs w:val="13"/>
                <w:color w:val="auto"/>
              </w:rPr>
              <w:t>(1,219</w:t>
            </w:r>
            <w:r>
              <w:rPr>
                <w:rFonts w:ascii="Times New Roman" w:cs="Times New Roman" w:eastAsia="Times New Roman" w:hAnsi="Times New Roman"/>
                <w:sz w:val="26"/>
                <w:szCs w:val="26"/>
                <w:color w:val="auto"/>
                <w:vertAlign w:val="subscript"/>
              </w:rPr>
              <w:t>)</w:t>
            </w:r>
          </w:p>
        </w:tc>
        <w:tc>
          <w:tcPr>
            <w:tcW w:w="220" w:type="dxa"/>
            <w:vAlign w:val="bottom"/>
            <w:vMerge w:val="restart"/>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40,305</w:t>
            </w:r>
          </w:p>
        </w:tc>
        <w:tc>
          <w:tcPr>
            <w:tcW w:w="260" w:type="dxa"/>
            <w:vAlign w:val="bottom"/>
            <w:vMerge w:val="restart"/>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39,086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60" w:type="dxa"/>
            <w:vAlign w:val="bottom"/>
          </w:tcPr>
          <w:p>
            <w:pPr>
              <w:ind w:left="80"/>
              <w:spacing w:after="0" w:line="112" w:lineRule="exact"/>
              <w:rPr>
                <w:sz w:val="20"/>
                <w:szCs w:val="20"/>
                <w:color w:val="auto"/>
              </w:rPr>
            </w:pPr>
            <w:r>
              <w:rPr>
                <w:rFonts w:ascii="Times New Roman" w:cs="Times New Roman" w:eastAsia="Times New Roman" w:hAnsi="Times New Roman"/>
                <w:sz w:val="12"/>
                <w:szCs w:val="12"/>
                <w:color w:val="auto"/>
              </w:rPr>
              <w:t>attributable to our Level 3 assets still held at the reporting date</w:t>
            </w:r>
          </w:p>
        </w:tc>
        <w:tc>
          <w:tcPr>
            <w:tcW w:w="220" w:type="dxa"/>
            <w:vAlign w:val="bottom"/>
            <w:vMerge w:val="continue"/>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Year Ended September 30, 2024</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3"/>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Debt</w:t>
            </w:r>
          </w:p>
        </w:tc>
        <w:tc>
          <w:tcPr>
            <w:tcW w:w="220" w:type="dxa"/>
            <w:vAlign w:val="bottom"/>
          </w:tcPr>
          <w:p>
            <w:pPr>
              <w:spacing w:after="0"/>
              <w:rPr>
                <w:sz w:val="13"/>
                <w:szCs w:val="13"/>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60" w:type="dxa"/>
            <w:vAlign w:val="bottom"/>
          </w:tcPr>
          <w:p>
            <w:pPr>
              <w:spacing w:after="0"/>
              <w:rPr>
                <w:sz w:val="13"/>
                <w:szCs w:val="13"/>
                <w:color w:val="auto"/>
              </w:rPr>
            </w:pPr>
          </w:p>
        </w:tc>
        <w:tc>
          <w:tcPr>
            <w:tcW w:w="11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9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 xml:space="preserve">Description </w:t>
            </w:r>
            <w:r>
              <w:rPr>
                <w:rFonts w:ascii="Times New Roman" w:cs="Times New Roman" w:eastAsia="Times New Roman" w:hAnsi="Times New Roman"/>
                <w:sz w:val="13"/>
                <w:szCs w:val="13"/>
                <w:color w:val="auto"/>
              </w:rPr>
              <w:t>($ in thousands)</w:t>
            </w:r>
          </w:p>
        </w:tc>
        <w:tc>
          <w:tcPr>
            <w:tcW w:w="220" w:type="dxa"/>
            <w:vAlign w:val="bottom"/>
          </w:tcPr>
          <w:p>
            <w:pPr>
              <w:spacing w:after="0"/>
              <w:rPr>
                <w:sz w:val="7"/>
                <w:szCs w:val="7"/>
                <w:color w:val="auto"/>
              </w:rPr>
            </w:pPr>
          </w:p>
        </w:tc>
        <w:tc>
          <w:tcPr>
            <w:tcW w:w="138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20" w:type="dxa"/>
            <w:vAlign w:val="bottom"/>
          </w:tcPr>
          <w:p>
            <w:pPr>
              <w:spacing w:after="0"/>
              <w:rPr>
                <w:sz w:val="7"/>
                <w:szCs w:val="7"/>
                <w:color w:val="auto"/>
              </w:rPr>
            </w:pPr>
          </w:p>
        </w:tc>
        <w:tc>
          <w:tcPr>
            <w:tcW w:w="13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6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59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Beginning balance</w:t>
            </w:r>
          </w:p>
        </w:tc>
        <w:tc>
          <w:tcPr>
            <w:tcW w:w="220" w:type="dxa"/>
            <w:vAlign w:val="bottom"/>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764,275</w:t>
            </w:r>
          </w:p>
        </w:tc>
        <w:tc>
          <w:tcPr>
            <w:tcW w:w="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163,053</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927,328</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realized gain (loss)</w:t>
            </w:r>
          </w:p>
        </w:tc>
        <w:tc>
          <w:tcPr>
            <w:tcW w:w="220" w:type="dxa"/>
            <w:vAlign w:val="bottom"/>
          </w:tcPr>
          <w:p>
            <w:pPr>
              <w:spacing w:after="0"/>
              <w:rPr>
                <w:sz w:val="13"/>
                <w:szCs w:val="13"/>
                <w:color w:val="auto"/>
              </w:rPr>
            </w:pP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(23,028)</w:t>
            </w:r>
          </w:p>
        </w:tc>
        <w:tc>
          <w:tcPr>
            <w:tcW w:w="220" w:type="dxa"/>
            <w:vAlign w:val="bottom"/>
          </w:tcPr>
          <w:p>
            <w:pPr>
              <w:spacing w:after="0"/>
              <w:rPr>
                <w:sz w:val="13"/>
                <w:szCs w:val="13"/>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(10,053)</w:t>
            </w:r>
          </w:p>
        </w:tc>
        <w:tc>
          <w:tcPr>
            <w:tcW w:w="260" w:type="dxa"/>
            <w:vAlign w:val="bottom"/>
          </w:tcPr>
          <w:p>
            <w:pPr>
              <w:spacing w:after="0"/>
              <w:rPr>
                <w:sz w:val="13"/>
                <w:szCs w:val="13"/>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(33,081)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3"/>
                <w:szCs w:val="13"/>
                <w:color w:val="auto"/>
              </w:rPr>
              <w:t>Net change in unrealized appreciation (depreciation)</w:t>
            </w:r>
          </w:p>
        </w:tc>
        <w:tc>
          <w:tcPr>
            <w:tcW w:w="220" w:type="dxa"/>
            <w:vAlign w:val="bottom"/>
            <w:shd w:val="clear" w:color="auto" w:fill="CCECFF"/>
          </w:tcPr>
          <w:p>
            <w:pPr>
              <w:spacing w:after="0"/>
              <w:rPr>
                <w:sz w:val="13"/>
                <w:szCs w:val="13"/>
                <w:color w:val="auto"/>
              </w:rPr>
            </w:pPr>
          </w:p>
        </w:tc>
        <w:tc>
          <w:tcPr>
            <w:tcW w:w="1380" w:type="dxa"/>
            <w:vAlign w:val="bottom"/>
            <w:gridSpan w:val="3"/>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(5,374)</w:t>
            </w:r>
          </w:p>
        </w:tc>
        <w:tc>
          <w:tcPr>
            <w:tcW w:w="220" w:type="dxa"/>
            <w:vAlign w:val="bottom"/>
            <w:shd w:val="clear" w:color="auto" w:fill="CCECFF"/>
          </w:tcPr>
          <w:p>
            <w:pPr>
              <w:spacing w:after="0"/>
              <w:rPr>
                <w:sz w:val="13"/>
                <w:szCs w:val="13"/>
                <w:color w:val="auto"/>
              </w:rPr>
            </w:pPr>
          </w:p>
        </w:tc>
        <w:tc>
          <w:tcPr>
            <w:tcW w:w="13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35,990</w:t>
            </w:r>
          </w:p>
        </w:tc>
        <w:tc>
          <w:tcPr>
            <w:tcW w:w="26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30,616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Purchases, PIK interest, net discount accretion and non-cash exchanges</w:t>
            </w: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726,526</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59,520</w:t>
            </w: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786,046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3"/>
                <w:szCs w:val="13"/>
                <w:color w:val="auto"/>
              </w:rPr>
              <w:t>Sales, repayments and non-cash exchanges</w:t>
            </w:r>
          </w:p>
        </w:tc>
        <w:tc>
          <w:tcPr>
            <w:tcW w:w="220" w:type="dxa"/>
            <w:vAlign w:val="bottom"/>
            <w:shd w:val="clear" w:color="auto" w:fill="CCECFF"/>
          </w:tcPr>
          <w:p>
            <w:pPr>
              <w:spacing w:after="0"/>
              <w:rPr>
                <w:sz w:val="13"/>
                <w:szCs w:val="13"/>
                <w:color w:val="auto"/>
              </w:rPr>
            </w:pPr>
          </w:p>
        </w:tc>
        <w:tc>
          <w:tcPr>
            <w:tcW w:w="1380" w:type="dxa"/>
            <w:vAlign w:val="bottom"/>
            <w:gridSpan w:val="3"/>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(545,603)</w:t>
            </w:r>
          </w:p>
        </w:tc>
        <w:tc>
          <w:tcPr>
            <w:tcW w:w="220" w:type="dxa"/>
            <w:vAlign w:val="bottom"/>
            <w:shd w:val="clear" w:color="auto" w:fill="CCECFF"/>
          </w:tcPr>
          <w:p>
            <w:pPr>
              <w:spacing w:after="0"/>
              <w:rPr>
                <w:sz w:val="13"/>
                <w:szCs w:val="13"/>
                <w:color w:val="auto"/>
              </w:rPr>
            </w:pPr>
          </w:p>
        </w:tc>
        <w:tc>
          <w:tcPr>
            <w:tcW w:w="13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(12,937)</w:t>
            </w:r>
          </w:p>
        </w:tc>
        <w:tc>
          <w:tcPr>
            <w:tcW w:w="26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(558,540)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Transfers in/out of Level 3</w:t>
            </w:r>
          </w:p>
        </w:tc>
        <w:tc>
          <w:tcPr>
            <w:tcW w:w="220" w:type="dxa"/>
            <w:vAlign w:val="bottom"/>
          </w:tcPr>
          <w:p>
            <w:pPr>
              <w:spacing w:after="0"/>
              <w:rPr>
                <w:sz w:val="13"/>
                <w:szCs w:val="13"/>
                <w:color w:val="auto"/>
              </w:rPr>
            </w:pP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3"/>
                <w:szCs w:val="13"/>
                <w:color w:val="auto"/>
              </w:rPr>
              <w:t>Ending balance</w:t>
            </w:r>
          </w:p>
        </w:tc>
        <w:tc>
          <w:tcPr>
            <w:tcW w:w="220" w:type="dxa"/>
            <w:vAlign w:val="bottom"/>
            <w:tcBorders>
              <w:bottom w:val="single" w:sz="8" w:color="auto"/>
            </w:tcBorders>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916,796</w:t>
            </w:r>
          </w:p>
        </w:tc>
        <w:tc>
          <w:tcPr>
            <w:tcW w:w="20" w:type="dxa"/>
            <w:vAlign w:val="bottom"/>
            <w:tcBorders>
              <w:bottom w:val="single" w:sz="8" w:color="auto"/>
            </w:tcBorders>
            <w:shd w:val="clear" w:color="auto" w:fill="CCECFF"/>
          </w:tcPr>
          <w:p>
            <w:pPr>
              <w:spacing w:after="0"/>
              <w:rPr>
                <w:sz w:val="17"/>
                <w:szCs w:val="17"/>
                <w:color w:val="auto"/>
              </w:rPr>
            </w:pPr>
          </w:p>
        </w:tc>
        <w:tc>
          <w:tcPr>
            <w:tcW w:w="24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235,573</w:t>
            </w:r>
          </w:p>
        </w:tc>
        <w:tc>
          <w:tcPr>
            <w:tcW w:w="240" w:type="dxa"/>
            <w:vAlign w:val="bottom"/>
            <w:tcBorders>
              <w:bottom w:val="single" w:sz="8" w:color="CCECFF"/>
            </w:tcBorders>
            <w:shd w:val="clear" w:color="auto" w:fill="CCECFF"/>
          </w:tcPr>
          <w:p>
            <w:pPr>
              <w:spacing w:after="0"/>
              <w:rPr>
                <w:sz w:val="17"/>
                <w:szCs w:val="17"/>
                <w:color w:val="auto"/>
              </w:rPr>
            </w:pPr>
          </w:p>
        </w:tc>
        <w:tc>
          <w:tcPr>
            <w:tcW w:w="260" w:type="dxa"/>
            <w:vAlign w:val="bottom"/>
            <w:tcBorders>
              <w:bottom w:val="single" w:sz="8" w:color="auto"/>
            </w:tcBorders>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1,152,369</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Net change in unrealized appreciation reported within the net change in</w:t>
            </w: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unrealized appreciation on investments in our consolidated statements of operations</w:t>
            </w:r>
          </w:p>
        </w:tc>
        <w:tc>
          <w:tcPr>
            <w:tcW w:w="220" w:type="dxa"/>
            <w:vAlign w:val="bottom"/>
            <w:vMerge w:val="restart"/>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3"/>
            <w:vMerge w:val="restart"/>
          </w:tcPr>
          <w:p>
            <w:pPr>
              <w:jc w:val="right"/>
              <w:ind w:right="200"/>
              <w:spacing w:after="0" w:line="267" w:lineRule="exact"/>
              <w:rPr>
                <w:sz w:val="20"/>
                <w:szCs w:val="20"/>
                <w:color w:val="auto"/>
              </w:rPr>
            </w:pPr>
            <w:r>
              <w:rPr>
                <w:rFonts w:ascii="Times New Roman" w:cs="Times New Roman" w:eastAsia="Times New Roman" w:hAnsi="Times New Roman"/>
                <w:sz w:val="13"/>
                <w:szCs w:val="13"/>
                <w:color w:val="auto"/>
              </w:rPr>
              <w:t>(21,133</w:t>
            </w:r>
            <w:r>
              <w:rPr>
                <w:rFonts w:ascii="Times New Roman" w:cs="Times New Roman" w:eastAsia="Times New Roman" w:hAnsi="Times New Roman"/>
                <w:sz w:val="26"/>
                <w:szCs w:val="26"/>
                <w:color w:val="auto"/>
                <w:vertAlign w:val="subscript"/>
              </w:rPr>
              <w:t>)</w:t>
            </w:r>
          </w:p>
        </w:tc>
        <w:tc>
          <w:tcPr>
            <w:tcW w:w="220" w:type="dxa"/>
            <w:vAlign w:val="bottom"/>
            <w:vMerge w:val="restart"/>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25,461</w:t>
            </w:r>
          </w:p>
        </w:tc>
        <w:tc>
          <w:tcPr>
            <w:tcW w:w="260" w:type="dxa"/>
            <w:vAlign w:val="bottom"/>
            <w:vMerge w:val="restart"/>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4,328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60" w:type="dxa"/>
            <w:vAlign w:val="bottom"/>
          </w:tcPr>
          <w:p>
            <w:pPr>
              <w:ind w:left="80"/>
              <w:spacing w:after="0" w:line="112" w:lineRule="exact"/>
              <w:rPr>
                <w:sz w:val="20"/>
                <w:szCs w:val="20"/>
                <w:color w:val="auto"/>
              </w:rPr>
            </w:pPr>
            <w:r>
              <w:rPr>
                <w:rFonts w:ascii="Times New Roman" w:cs="Times New Roman" w:eastAsia="Times New Roman" w:hAnsi="Times New Roman"/>
                <w:sz w:val="12"/>
                <w:szCs w:val="12"/>
                <w:color w:val="auto"/>
              </w:rPr>
              <w:t>attributable to our Level 3 assets still held at the reporting date</w:t>
            </w:r>
          </w:p>
        </w:tc>
        <w:tc>
          <w:tcPr>
            <w:tcW w:w="220" w:type="dxa"/>
            <w:vAlign w:val="bottom"/>
            <w:vMerge w:val="continue"/>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table below shows a reconciliation of the beginning and ending balances for liabilities measured at fair value using significant unobservable inputs (Level 3) ($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gridSpan w:val="5"/>
          </w:tcPr>
          <w:p>
            <w:pPr>
              <w:jc w:val="right"/>
              <w:ind w:right="940"/>
              <w:spacing w:after="0"/>
              <w:rPr>
                <w:sz w:val="20"/>
                <w:szCs w:val="20"/>
                <w:color w:val="auto"/>
              </w:rPr>
            </w:pPr>
            <w:r>
              <w:rPr>
                <w:rFonts w:ascii="Times New Roman" w:cs="Times New Roman" w:eastAsia="Times New Roman" w:hAnsi="Times New Roman"/>
                <w:sz w:val="13"/>
                <w:szCs w:val="13"/>
                <w:b w:val="1"/>
                <w:bCs w:val="1"/>
                <w:color w:val="auto"/>
              </w:rPr>
              <w:t>Year Ended September 30,</w:t>
            </w:r>
          </w:p>
        </w:tc>
      </w:tr>
      <w:tr>
        <w:trPr>
          <w:trHeight w:val="170"/>
        </w:trPr>
        <w:tc>
          <w:tcPr>
            <w:tcW w:w="7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Long-Term Credit Facility</w:t>
            </w:r>
          </w:p>
        </w:tc>
        <w:tc>
          <w:tcPr>
            <w:tcW w:w="340" w:type="dxa"/>
            <w:vAlign w:val="bottom"/>
          </w:tcPr>
          <w:p>
            <w:pPr>
              <w:spacing w:after="0"/>
              <w:rPr>
                <w:sz w:val="14"/>
                <w:szCs w:val="14"/>
                <w:color w:val="auto"/>
              </w:rPr>
            </w:pPr>
          </w:p>
        </w:tc>
        <w:tc>
          <w:tcPr>
            <w:tcW w:w="114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r>
      <w:tr>
        <w:trPr>
          <w:trHeight w:val="156"/>
        </w:trPr>
        <w:tc>
          <w:tcPr>
            <w:tcW w:w="72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Beginning balance (cost – $461,456 and $212,420, respectively)</w:t>
            </w:r>
          </w:p>
        </w:tc>
        <w:tc>
          <w:tcPr>
            <w:tcW w:w="340" w:type="dxa"/>
            <w:vAlign w:val="bottom"/>
            <w:shd w:val="clear" w:color="auto" w:fill="CCEC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460,361</w:t>
            </w:r>
          </w:p>
        </w:tc>
        <w:tc>
          <w:tcPr>
            <w:tcW w:w="260" w:type="dxa"/>
            <w:vAlign w:val="bottom"/>
            <w:shd w:val="clear" w:color="auto" w:fill="CCECFF"/>
          </w:tcPr>
          <w:p>
            <w:pPr>
              <w:spacing w:after="0"/>
              <w:rPr>
                <w:sz w:val="13"/>
                <w:szCs w:val="13"/>
                <w:color w:val="auto"/>
              </w:rPr>
            </w:pPr>
          </w:p>
        </w:tc>
        <w:tc>
          <w:tcPr>
            <w:tcW w:w="34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206,940</w:t>
            </w:r>
          </w:p>
        </w:tc>
        <w:tc>
          <w:tcPr>
            <w:tcW w:w="80" w:type="dxa"/>
            <w:vAlign w:val="bottom"/>
            <w:shd w:val="clear" w:color="auto" w:fill="CCECFF"/>
          </w:tcPr>
          <w:p>
            <w:pPr>
              <w:spacing w:after="0"/>
              <w:rPr>
                <w:sz w:val="13"/>
                <w:szCs w:val="13"/>
                <w:color w:val="auto"/>
              </w:rPr>
            </w:pPr>
          </w:p>
        </w:tc>
      </w:tr>
      <w:tr>
        <w:trPr>
          <w:trHeight w:val="156"/>
        </w:trPr>
        <w:tc>
          <w:tcPr>
            <w:tcW w:w="7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change in unrealized appreciation (depreciation) included in earnings</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4,385</w:t>
            </w:r>
          </w:p>
        </w:tc>
        <w:tc>
          <w:tcPr>
            <w:tcW w:w="80" w:type="dxa"/>
            <w:vAlign w:val="bottom"/>
          </w:tcPr>
          <w:p>
            <w:pPr>
              <w:spacing w:after="0"/>
              <w:rPr>
                <w:sz w:val="13"/>
                <w:szCs w:val="13"/>
                <w:color w:val="auto"/>
              </w:rPr>
            </w:pPr>
          </w:p>
        </w:tc>
      </w:tr>
      <w:tr>
        <w:trPr>
          <w:trHeight w:val="156"/>
        </w:trPr>
        <w:tc>
          <w:tcPr>
            <w:tcW w:w="7260" w:type="dxa"/>
            <w:vAlign w:val="bottom"/>
            <w:shd w:val="clear" w:color="auto" w:fill="CCECFF"/>
          </w:tcPr>
          <w:p>
            <w:pPr>
              <w:ind w:left="260"/>
              <w:spacing w:after="0" w:line="156" w:lineRule="exact"/>
              <w:rPr>
                <w:sz w:val="20"/>
                <w:szCs w:val="20"/>
                <w:color w:val="auto"/>
              </w:rPr>
            </w:pPr>
            <w:r>
              <w:rPr>
                <w:rFonts w:ascii="Times New Roman" w:cs="Times New Roman" w:eastAsia="Times New Roman" w:hAnsi="Times New Roman"/>
                <w:sz w:val="13"/>
                <w:szCs w:val="13"/>
                <w:color w:val="auto"/>
              </w:rPr>
              <w:t xml:space="preserve">Borrowings </w:t>
            </w:r>
            <w:r>
              <w:rPr>
                <w:rFonts w:ascii="Times New Roman" w:cs="Times New Roman" w:eastAsia="Times New Roman" w:hAnsi="Times New Roman"/>
                <w:sz w:val="16"/>
                <w:szCs w:val="16"/>
                <w:color w:val="auto"/>
                <w:vertAlign w:val="superscript"/>
              </w:rPr>
              <w:t>(1)</w:t>
            </w:r>
          </w:p>
        </w:tc>
        <w:tc>
          <w:tcPr>
            <w:tcW w:w="340" w:type="dxa"/>
            <w:vAlign w:val="bottom"/>
            <w:shd w:val="clear" w:color="auto" w:fill="CCECFF"/>
          </w:tcPr>
          <w:p>
            <w:pPr>
              <w:spacing w:after="0"/>
              <w:rPr>
                <w:sz w:val="13"/>
                <w:szCs w:val="13"/>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207,000</w:t>
            </w:r>
          </w:p>
        </w:tc>
        <w:tc>
          <w:tcPr>
            <w:tcW w:w="26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524,036</w:t>
            </w:r>
          </w:p>
        </w:tc>
        <w:tc>
          <w:tcPr>
            <w:tcW w:w="80" w:type="dxa"/>
            <w:vAlign w:val="bottom"/>
            <w:shd w:val="clear" w:color="auto" w:fill="CCECFF"/>
          </w:tcPr>
          <w:p>
            <w:pPr>
              <w:spacing w:after="0"/>
              <w:rPr>
                <w:sz w:val="13"/>
                <w:szCs w:val="13"/>
                <w:color w:val="auto"/>
              </w:rPr>
            </w:pPr>
          </w:p>
        </w:tc>
      </w:tr>
      <w:tr>
        <w:trPr>
          <w:trHeight w:val="156"/>
        </w:trPr>
        <w:tc>
          <w:tcPr>
            <w:tcW w:w="7260" w:type="dxa"/>
            <w:vAlign w:val="bottom"/>
          </w:tcPr>
          <w:p>
            <w:pPr>
              <w:ind w:left="260"/>
              <w:spacing w:after="0" w:line="156" w:lineRule="exact"/>
              <w:rPr>
                <w:sz w:val="20"/>
                <w:szCs w:val="20"/>
                <w:color w:val="auto"/>
              </w:rPr>
            </w:pPr>
            <w:r>
              <w:rPr>
                <w:rFonts w:ascii="Times New Roman" w:cs="Times New Roman" w:eastAsia="Times New Roman" w:hAnsi="Times New Roman"/>
                <w:sz w:val="13"/>
                <w:szCs w:val="13"/>
                <w:color w:val="auto"/>
              </w:rPr>
              <w:t xml:space="preserve">Repayments </w:t>
            </w:r>
            <w:r>
              <w:rPr>
                <w:rFonts w:ascii="Times New Roman" w:cs="Times New Roman" w:eastAsia="Times New Roman" w:hAnsi="Times New Roman"/>
                <w:sz w:val="16"/>
                <w:szCs w:val="16"/>
                <w:color w:val="auto"/>
                <w:vertAlign w:val="superscript"/>
              </w:rPr>
              <w:t>(1)</w:t>
            </w:r>
          </w:p>
        </w:tc>
        <w:tc>
          <w:tcPr>
            <w:tcW w:w="340" w:type="dxa"/>
            <w:vAlign w:val="bottom"/>
          </w:tcPr>
          <w:p>
            <w:pPr>
              <w:spacing w:after="0"/>
              <w:rPr>
                <w:sz w:val="13"/>
                <w:szCs w:val="13"/>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(242,000)</w:t>
            </w:r>
          </w:p>
        </w:tc>
        <w:tc>
          <w:tcPr>
            <w:tcW w:w="340" w:type="dxa"/>
            <w:vAlign w:val="bottom"/>
          </w:tcPr>
          <w:p>
            <w:pPr>
              <w:spacing w:after="0"/>
              <w:rPr>
                <w:sz w:val="13"/>
                <w:szCs w:val="13"/>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(275,000)</w:t>
            </w:r>
          </w:p>
        </w:tc>
      </w:tr>
      <w:tr>
        <w:trPr>
          <w:trHeight w:val="156"/>
        </w:trPr>
        <w:tc>
          <w:tcPr>
            <w:tcW w:w="726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3"/>
                <w:szCs w:val="13"/>
                <w:color w:val="auto"/>
              </w:rPr>
              <w:t>Transfers in and/or out of Level 3</w:t>
            </w:r>
          </w:p>
        </w:tc>
        <w:tc>
          <w:tcPr>
            <w:tcW w:w="340" w:type="dxa"/>
            <w:vAlign w:val="bottom"/>
            <w:shd w:val="clear" w:color="auto" w:fill="CCECFF"/>
          </w:tcPr>
          <w:p>
            <w:pPr>
              <w:spacing w:after="0"/>
              <w:rPr>
                <w:sz w:val="13"/>
                <w:szCs w:val="13"/>
                <w:color w:val="auto"/>
              </w:rPr>
            </w:pPr>
          </w:p>
        </w:tc>
        <w:tc>
          <w:tcPr>
            <w:tcW w:w="14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CFF"/>
          </w:tcPr>
          <w:p>
            <w:pPr>
              <w:spacing w:after="0"/>
              <w:rPr>
                <w:sz w:val="13"/>
                <w:szCs w:val="13"/>
                <w:color w:val="auto"/>
              </w:rPr>
            </w:pPr>
          </w:p>
        </w:tc>
        <w:tc>
          <w:tcPr>
            <w:tcW w:w="12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726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Ending balance (cost – $426,456 and $461,456, respectively)</w:t>
            </w:r>
          </w:p>
        </w:tc>
        <w:tc>
          <w:tcPr>
            <w:tcW w:w="3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425,477</w:t>
            </w:r>
          </w:p>
        </w:tc>
        <w:tc>
          <w:tcPr>
            <w:tcW w:w="260" w:type="dxa"/>
            <w:vAlign w:val="bottom"/>
          </w:tcPr>
          <w:p>
            <w:pPr>
              <w:spacing w:after="0"/>
              <w:rPr>
                <w:sz w:val="13"/>
                <w:szCs w:val="13"/>
                <w:color w:val="auto"/>
              </w:rPr>
            </w:pPr>
          </w:p>
        </w:tc>
        <w:tc>
          <w:tcPr>
            <w:tcW w:w="340" w:type="dxa"/>
            <w:vAlign w:val="bottom"/>
            <w:tcBorders>
              <w:bottom w:val="single" w:sz="8" w:color="auto"/>
            </w:tcBorders>
          </w:tcPr>
          <w:p>
            <w:pPr>
              <w:jc w:val="right"/>
              <w:ind w:right="19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460,361</w:t>
            </w:r>
          </w:p>
        </w:tc>
        <w:tc>
          <w:tcPr>
            <w:tcW w:w="80" w:type="dxa"/>
            <w:vAlign w:val="bottom"/>
          </w:tcPr>
          <w:p>
            <w:pPr>
              <w:spacing w:after="0"/>
              <w:rPr>
                <w:sz w:val="13"/>
                <w:szCs w:val="13"/>
                <w:color w:val="auto"/>
              </w:rPr>
            </w:pPr>
          </w:p>
        </w:tc>
      </w:tr>
      <w:tr>
        <w:trPr>
          <w:trHeight w:val="20"/>
        </w:trPr>
        <w:tc>
          <w:tcPr>
            <w:tcW w:w="7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7260" w:type="dxa"/>
            <w:vAlign w:val="bottom"/>
            <w:shd w:val="clear" w:color="auto" w:fill="CCECFF"/>
          </w:tcPr>
          <w:p>
            <w:pPr>
              <w:ind w:left="260"/>
              <w:spacing w:after="0" w:line="133" w:lineRule="exact"/>
              <w:rPr>
                <w:sz w:val="20"/>
                <w:szCs w:val="20"/>
                <w:color w:val="auto"/>
              </w:rPr>
            </w:pPr>
            <w:r>
              <w:rPr>
                <w:rFonts w:ascii="Times New Roman" w:cs="Times New Roman" w:eastAsia="Times New Roman" w:hAnsi="Times New Roman"/>
                <w:sz w:val="13"/>
                <w:szCs w:val="13"/>
                <w:color w:val="auto"/>
              </w:rPr>
              <w:t>Temporary draws outstanding, at cost</w:t>
            </w:r>
          </w:p>
        </w:tc>
        <w:tc>
          <w:tcPr>
            <w:tcW w:w="340" w:type="dxa"/>
            <w:vAlign w:val="bottom"/>
            <w:tcBorders>
              <w:top w:val="single" w:sz="8" w:color="auto"/>
            </w:tcBorders>
            <w:shd w:val="clear" w:color="auto" w:fill="CCECFF"/>
          </w:tcPr>
          <w:p>
            <w:pPr>
              <w:spacing w:after="0"/>
              <w:rPr>
                <w:sz w:val="11"/>
                <w:szCs w:val="11"/>
                <w:color w:val="auto"/>
              </w:rPr>
            </w:pPr>
          </w:p>
        </w:tc>
        <w:tc>
          <w:tcPr>
            <w:tcW w:w="114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1"/>
                <w:szCs w:val="11"/>
                <w:color w:val="auto"/>
              </w:rPr>
            </w:pPr>
          </w:p>
        </w:tc>
        <w:tc>
          <w:tcPr>
            <w:tcW w:w="340" w:type="dxa"/>
            <w:vAlign w:val="bottom"/>
            <w:tcBorders>
              <w:top w:val="single" w:sz="8" w:color="auto"/>
            </w:tcBorders>
            <w:shd w:val="clear" w:color="auto" w:fill="CCECFF"/>
          </w:tcPr>
          <w:p>
            <w:pPr>
              <w:spacing w:after="0"/>
              <w:rPr>
                <w:sz w:val="11"/>
                <w:szCs w:val="11"/>
                <w:color w:val="auto"/>
              </w:rPr>
            </w:pPr>
          </w:p>
        </w:tc>
        <w:tc>
          <w:tcPr>
            <w:tcW w:w="114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spacing w:after="0"/>
              <w:rPr>
                <w:sz w:val="11"/>
                <w:szCs w:val="11"/>
                <w:color w:val="auto"/>
              </w:rPr>
            </w:pPr>
          </w:p>
        </w:tc>
      </w:tr>
      <w:tr>
        <w:trPr>
          <w:trHeight w:val="156"/>
        </w:trPr>
        <w:tc>
          <w:tcPr>
            <w:tcW w:w="726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Ending balance (cost – $426,456 and $461,456, respectively)</w:t>
            </w:r>
          </w:p>
        </w:tc>
        <w:tc>
          <w:tcPr>
            <w:tcW w:w="3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425,477</w:t>
            </w:r>
          </w:p>
        </w:tc>
        <w:tc>
          <w:tcPr>
            <w:tcW w:w="260" w:type="dxa"/>
            <w:vAlign w:val="bottom"/>
          </w:tcPr>
          <w:p>
            <w:pPr>
              <w:spacing w:after="0"/>
              <w:rPr>
                <w:sz w:val="13"/>
                <w:szCs w:val="13"/>
                <w:color w:val="auto"/>
              </w:rPr>
            </w:pPr>
          </w:p>
        </w:tc>
        <w:tc>
          <w:tcPr>
            <w:tcW w:w="340" w:type="dxa"/>
            <w:vAlign w:val="bottom"/>
            <w:tcBorders>
              <w:bottom w:val="single" w:sz="8" w:color="auto"/>
            </w:tcBorders>
          </w:tcPr>
          <w:p>
            <w:pPr>
              <w:jc w:val="right"/>
              <w:ind w:right="19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460,361</w:t>
            </w:r>
          </w:p>
        </w:tc>
        <w:tc>
          <w:tcPr>
            <w:tcW w:w="80" w:type="dxa"/>
            <w:vAlign w:val="bottom"/>
          </w:tcPr>
          <w:p>
            <w:pPr>
              <w:spacing w:after="0"/>
              <w:rPr>
                <w:sz w:val="13"/>
                <w:szCs w:val="13"/>
                <w:color w:val="auto"/>
              </w:rPr>
            </w:pPr>
          </w:p>
        </w:tc>
      </w:tr>
      <w:tr>
        <w:trPr>
          <w:trHeight w:val="20"/>
        </w:trPr>
        <w:tc>
          <w:tcPr>
            <w:tcW w:w="7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1"/>
          <w:szCs w:val="11"/>
          <w:color w:val="auto"/>
        </w:rPr>
        <w:t>Excludes temporary draws.</w:t>
      </w:r>
    </w:p>
    <w:p>
      <w:pPr>
        <w:spacing w:after="0" w:line="85" w:lineRule="exact"/>
        <w:rPr>
          <w:sz w:val="20"/>
          <w:szCs w:val="20"/>
          <w:color w:val="auto"/>
        </w:rPr>
      </w:pPr>
    </w:p>
    <w:p>
      <w:pPr>
        <w:ind w:right="10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2025, we had outstanding non-U.S. dollar borrowings on our Truist Credit Facility. Net change in fair value on foreign currency translation on outstanding borrowings is listed below (£, CAD and $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Unrealized appreciation/</w:t>
            </w:r>
          </w:p>
        </w:tc>
      </w:tr>
      <w:tr>
        <w:trPr>
          <w:trHeight w:val="170"/>
        </w:trPr>
        <w:tc>
          <w:tcPr>
            <w:tcW w:w="1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Foreign Currency</w:t>
            </w:r>
          </w:p>
        </w:tc>
        <w:tc>
          <w:tcPr>
            <w:tcW w:w="580" w:type="dxa"/>
            <w:vAlign w:val="bottom"/>
          </w:tcPr>
          <w:p>
            <w:pPr>
              <w:spacing w:after="0"/>
              <w:rPr>
                <w:sz w:val="14"/>
                <w:szCs w:val="14"/>
                <w:color w:val="auto"/>
              </w:rPr>
            </w:pPr>
          </w:p>
        </w:tc>
        <w:tc>
          <w:tcPr>
            <w:tcW w:w="148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Amount Borrowed</w:t>
            </w:r>
          </w:p>
        </w:tc>
        <w:tc>
          <w:tcPr>
            <w:tcW w:w="300" w:type="dxa"/>
            <w:vAlign w:val="bottom"/>
          </w:tcPr>
          <w:p>
            <w:pPr>
              <w:spacing w:after="0"/>
              <w:rPr>
                <w:sz w:val="14"/>
                <w:szCs w:val="14"/>
                <w:color w:val="auto"/>
              </w:rPr>
            </w:pPr>
          </w:p>
        </w:tc>
        <w:tc>
          <w:tcPr>
            <w:tcW w:w="144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Borrowing Cost</w:t>
            </w:r>
          </w:p>
        </w:tc>
        <w:tc>
          <w:tcPr>
            <w:tcW w:w="320" w:type="dxa"/>
            <w:vAlign w:val="bottom"/>
          </w:tcPr>
          <w:p>
            <w:pPr>
              <w:spacing w:after="0"/>
              <w:rPr>
                <w:sz w:val="14"/>
                <w:szCs w:val="14"/>
                <w:color w:val="auto"/>
              </w:rPr>
            </w:pPr>
          </w:p>
        </w:tc>
        <w:tc>
          <w:tcPr>
            <w:tcW w:w="1540" w:type="dxa"/>
            <w:vAlign w:val="bottom"/>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Current Value</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Reset Date</w:t>
            </w:r>
          </w:p>
        </w:tc>
        <w:tc>
          <w:tcPr>
            <w:tcW w:w="300" w:type="dxa"/>
            <w:vAlign w:val="bottom"/>
          </w:tcPr>
          <w:p>
            <w:pPr>
              <w:spacing w:after="0"/>
              <w:rPr>
                <w:sz w:val="14"/>
                <w:szCs w:val="14"/>
                <w:color w:val="auto"/>
              </w:rPr>
            </w:pPr>
          </w:p>
        </w:tc>
        <w:tc>
          <w:tcPr>
            <w:tcW w:w="162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(depreciation)</w:t>
            </w:r>
          </w:p>
        </w:tc>
      </w:tr>
      <w:tr>
        <w:trPr>
          <w:trHeight w:val="156"/>
        </w:trPr>
        <w:tc>
          <w:tcPr>
            <w:tcW w:w="14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British Pound</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36,000</w:t>
            </w:r>
          </w:p>
        </w:tc>
        <w:tc>
          <w:tcPr>
            <w:tcW w:w="30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49,420</w:t>
            </w:r>
          </w:p>
        </w:tc>
        <w:tc>
          <w:tcPr>
            <w:tcW w:w="32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48,465</w:t>
            </w:r>
          </w:p>
        </w:tc>
        <w:tc>
          <w:tcPr>
            <w:tcW w:w="1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December 31, 2025</w:t>
            </w: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955</w:t>
            </w:r>
          </w:p>
        </w:tc>
      </w:tr>
      <w:tr>
        <w:trPr>
          <w:trHeight w:val="172"/>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Canadian dollar</w:t>
            </w:r>
          </w:p>
        </w:tc>
        <w:tc>
          <w:tcPr>
            <w:tcW w:w="580" w:type="dxa"/>
            <w:vAlign w:val="bottom"/>
          </w:tcPr>
          <w:p>
            <w:pPr>
              <w:spacing w:after="0"/>
              <w:rPr>
                <w:sz w:val="14"/>
                <w:szCs w:val="14"/>
                <w:color w:val="auto"/>
              </w:rPr>
            </w:pPr>
          </w:p>
        </w:tc>
        <w:tc>
          <w:tcPr>
            <w:tcW w:w="14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CAD 2,800</w:t>
            </w:r>
          </w:p>
        </w:tc>
        <w:tc>
          <w:tcPr>
            <w:tcW w:w="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2,036</w:t>
            </w:r>
          </w:p>
        </w:tc>
        <w:tc>
          <w:tcPr>
            <w:tcW w:w="3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2,012</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 29, 2025</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24</w:t>
            </w:r>
          </w:p>
        </w:tc>
      </w:tr>
    </w:tbl>
    <w:p>
      <w:pPr>
        <w:spacing w:after="0" w:line="129" w:lineRule="exact"/>
        <w:rPr>
          <w:sz w:val="20"/>
          <w:szCs w:val="20"/>
          <w:color w:val="auto"/>
        </w:rPr>
      </w:pPr>
    </w:p>
    <w:p>
      <w:pPr>
        <w:jc w:val="both"/>
        <w:ind w:right="10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2024, we had outstanding non-U.S. dollar borrowings on our Truist Credit Facility. Net change in fair value on foreign currency translation on outstanding borrowings is listed below (£, CAD and $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78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Unrealized appreciation/</w:t>
            </w:r>
          </w:p>
        </w:tc>
      </w:tr>
      <w:tr>
        <w:trPr>
          <w:trHeight w:val="170"/>
        </w:trPr>
        <w:tc>
          <w:tcPr>
            <w:tcW w:w="1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Foreign Currency</w:t>
            </w:r>
          </w:p>
        </w:tc>
        <w:tc>
          <w:tcPr>
            <w:tcW w:w="600" w:type="dxa"/>
            <w:vAlign w:val="bottom"/>
          </w:tcPr>
          <w:p>
            <w:pPr>
              <w:spacing w:after="0"/>
              <w:rPr>
                <w:sz w:val="14"/>
                <w:szCs w:val="14"/>
                <w:color w:val="auto"/>
              </w:rPr>
            </w:pPr>
          </w:p>
        </w:tc>
        <w:tc>
          <w:tcPr>
            <w:tcW w:w="150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Amount Borrowed</w:t>
            </w:r>
          </w:p>
        </w:tc>
        <w:tc>
          <w:tcPr>
            <w:tcW w:w="320" w:type="dxa"/>
            <w:vAlign w:val="bottom"/>
          </w:tcPr>
          <w:p>
            <w:pPr>
              <w:spacing w:after="0"/>
              <w:rPr>
                <w:sz w:val="14"/>
                <w:szCs w:val="14"/>
                <w:color w:val="auto"/>
              </w:rPr>
            </w:pPr>
          </w:p>
        </w:tc>
        <w:tc>
          <w:tcPr>
            <w:tcW w:w="146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Borrowing Cost</w:t>
            </w:r>
          </w:p>
        </w:tc>
        <w:tc>
          <w:tcPr>
            <w:tcW w:w="340" w:type="dxa"/>
            <w:vAlign w:val="bottom"/>
          </w:tcPr>
          <w:p>
            <w:pPr>
              <w:spacing w:after="0"/>
              <w:rPr>
                <w:sz w:val="14"/>
                <w:szCs w:val="14"/>
                <w:color w:val="auto"/>
              </w:rPr>
            </w:pPr>
          </w:p>
        </w:tc>
        <w:tc>
          <w:tcPr>
            <w:tcW w:w="156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Current Value</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Reset Date</w:t>
            </w:r>
          </w:p>
        </w:tc>
        <w:tc>
          <w:tcPr>
            <w:tcW w:w="420" w:type="dxa"/>
            <w:vAlign w:val="bottom"/>
          </w:tcPr>
          <w:p>
            <w:pPr>
              <w:spacing w:after="0"/>
              <w:rPr>
                <w:sz w:val="14"/>
                <w:szCs w:val="14"/>
                <w:color w:val="auto"/>
              </w:rPr>
            </w:pPr>
          </w:p>
        </w:tc>
        <w:tc>
          <w:tcPr>
            <w:tcW w:w="136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(depreciation)</w:t>
            </w:r>
          </w:p>
        </w:tc>
      </w:tr>
      <w:tr>
        <w:trPr>
          <w:trHeight w:val="156"/>
        </w:trPr>
        <w:tc>
          <w:tcPr>
            <w:tcW w:w="15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British Pound</w:t>
            </w:r>
          </w:p>
        </w:tc>
        <w:tc>
          <w:tcPr>
            <w:tcW w:w="60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36,000</w:t>
            </w:r>
          </w:p>
        </w:tc>
        <w:tc>
          <w:tcPr>
            <w:tcW w:w="32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49,420</w:t>
            </w:r>
          </w:p>
        </w:tc>
        <w:tc>
          <w:tcPr>
            <w:tcW w:w="3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rPr>
              <w:t>48,289</w:t>
            </w:r>
          </w:p>
        </w:tc>
        <w:tc>
          <w:tcPr>
            <w:tcW w:w="1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December 28, 2024</w:t>
            </w:r>
          </w:p>
        </w:tc>
        <w:tc>
          <w:tcPr>
            <w:tcW w:w="4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1,131</w:t>
            </w:r>
          </w:p>
        </w:tc>
      </w:tr>
      <w:tr>
        <w:trPr>
          <w:trHeight w:val="172"/>
        </w:trPr>
        <w:tc>
          <w:tcPr>
            <w:tcW w:w="1500" w:type="dxa"/>
            <w:vAlign w:val="bottom"/>
          </w:tcPr>
          <w:p>
            <w:pPr>
              <w:spacing w:after="0"/>
              <w:rPr>
                <w:sz w:val="20"/>
                <w:szCs w:val="20"/>
                <w:color w:val="auto"/>
              </w:rPr>
            </w:pPr>
            <w:r>
              <w:rPr>
                <w:rFonts w:ascii="Times New Roman" w:cs="Times New Roman" w:eastAsia="Times New Roman" w:hAnsi="Times New Roman"/>
                <w:sz w:val="13"/>
                <w:szCs w:val="13"/>
                <w:color w:val="auto"/>
              </w:rPr>
              <w:t>Canadian dollar</w:t>
            </w:r>
          </w:p>
        </w:tc>
        <w:tc>
          <w:tcPr>
            <w:tcW w:w="600" w:type="dxa"/>
            <w:vAlign w:val="bottom"/>
          </w:tcPr>
          <w:p>
            <w:pPr>
              <w:spacing w:after="0"/>
              <w:rPr>
                <w:sz w:val="14"/>
                <w:szCs w:val="14"/>
                <w:color w:val="auto"/>
              </w:rPr>
            </w:pPr>
          </w:p>
        </w:tc>
        <w:tc>
          <w:tcPr>
            <w:tcW w:w="15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CAD 2,800</w:t>
            </w:r>
          </w:p>
        </w:tc>
        <w:tc>
          <w:tcPr>
            <w:tcW w:w="3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2,036</w:t>
            </w: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2,073</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 23, 2024</w:t>
            </w:r>
          </w:p>
        </w:tc>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bl>
    <w:p>
      <w:pPr>
        <w:spacing w:after="0" w:line="129" w:lineRule="exact"/>
        <w:rPr>
          <w:sz w:val="20"/>
          <w:szCs w:val="20"/>
          <w:color w:val="auto"/>
        </w:rPr>
      </w:pPr>
    </w:p>
    <w:p>
      <w:pPr>
        <w:jc w:val="both"/>
        <w:ind w:right="40" w:firstLine="420"/>
        <w:spacing w:after="0" w:line="286" w:lineRule="auto"/>
        <w:rPr>
          <w:sz w:val="20"/>
          <w:szCs w:val="20"/>
          <w:color w:val="auto"/>
        </w:rPr>
      </w:pPr>
      <w:r>
        <w:rPr>
          <w:rFonts w:ascii="Times New Roman" w:cs="Times New Roman" w:eastAsia="Times New Roman" w:hAnsi="Times New Roman"/>
          <w:sz w:val="13"/>
          <w:szCs w:val="13"/>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Truist Credit Facility.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47" w:name="page48"/>
    <w:bookmarkEnd w:id="47"/>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173"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We elected to use the fair value option for the Truist Credit Facility to align the measurement attributes of both our assets and liabilities while mitigating volatility in earnings from using different measurement attributes. Due to that election and in accordance with GAAP, we incurred expenses of $ 0.3 million, zero, and zero related to amendment costs on the Truist Credit Facility during the years ended September 30, 2025, 2024, and 2023, respectively. ASC 825- 10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Truist Credit Facility are reported in our Consolidated Statements of Operations. We did not elect to apply ASC 825-10 to any other financial assets or liabilities, including the 2024 Notes, the 2026 Notes, the 2026 Notes-2, and the SBA debentures.</w:t>
      </w:r>
    </w:p>
    <w:p>
      <w:pPr>
        <w:spacing w:after="0" w:line="96" w:lineRule="exact"/>
        <w:rPr>
          <w:sz w:val="20"/>
          <w:szCs w:val="20"/>
          <w:color w:val="auto"/>
        </w:rPr>
      </w:pPr>
    </w:p>
    <w:p>
      <w:pPr>
        <w:ind w:right="120" w:firstLine="420"/>
        <w:spacing w:after="0" w:line="262" w:lineRule="auto"/>
        <w:rPr>
          <w:sz w:val="20"/>
          <w:szCs w:val="20"/>
          <w:color w:val="auto"/>
        </w:rPr>
      </w:pPr>
      <w:r>
        <w:rPr>
          <w:rFonts w:ascii="Times New Roman" w:cs="Times New Roman" w:eastAsia="Times New Roman" w:hAnsi="Times New Roman"/>
          <w:sz w:val="13"/>
          <w:szCs w:val="13"/>
          <w:color w:val="auto"/>
        </w:rPr>
        <w:t>For the year ended September 30, 2025, 2024, and 2023 the Credit Facility had a net change in unrealized appreciation (depreciation) of $(0.1) million, $(4.4) million and $(3.8) million, respectively. As of September 30, 2025, 2024, and 2023, the net unrealized appreciation (depreciation) on Truist Credit Facility totaled $(1.0) million, $(1.1) million, and $ (5.5) million, respectively. We use an independent valuation service to measure the fair value of our Truist Credit Facility in a manner consistent with the valuation process that our board of directors uses to value our investments.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 TRANSACTIONS WITH AFFILIATED COMPANIES</w:t>
      </w:r>
    </w:p>
    <w:p>
      <w:pPr>
        <w:spacing w:after="0" w:line="129" w:lineRule="exact"/>
        <w:rPr>
          <w:sz w:val="20"/>
          <w:szCs w:val="20"/>
          <w:color w:val="auto"/>
        </w:rPr>
      </w:pPr>
    </w:p>
    <w:p>
      <w:pPr>
        <w:jc w:val="both"/>
        <w:ind w:right="220" w:firstLine="420"/>
        <w:spacing w:after="0" w:line="268" w:lineRule="auto"/>
        <w:rPr>
          <w:sz w:val="20"/>
          <w:szCs w:val="20"/>
          <w:color w:val="auto"/>
        </w:rPr>
      </w:pPr>
      <w:r>
        <w:rPr>
          <w:rFonts w:ascii="Times New Roman" w:cs="Times New Roman" w:eastAsia="Times New Roman" w:hAnsi="Times New Roman"/>
          <w:sz w:val="13"/>
          <w:szCs w:val="13"/>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year ended September 30, 2025 and 2024 were as follows ($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56"/>
        </w:trPr>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Net Change in</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8"/>
              </w:rPr>
              <w:t>Dividend</w:t>
            </w:r>
          </w:p>
        </w:tc>
        <w:tc>
          <w:tcPr>
            <w:tcW w:w="80" w:type="dxa"/>
            <w:vAlign w:val="bottom"/>
          </w:tcPr>
          <w:p>
            <w:pPr>
              <w:spacing w:after="0"/>
              <w:rPr>
                <w:sz w:val="13"/>
                <w:szCs w:val="13"/>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Realized</w:t>
            </w:r>
          </w:p>
        </w:tc>
        <w:tc>
          <w:tcPr>
            <w:tcW w:w="0" w:type="dxa"/>
            <w:vAlign w:val="bottom"/>
          </w:tcPr>
          <w:p>
            <w:pPr>
              <w:spacing w:after="0"/>
              <w:rPr>
                <w:sz w:val="1"/>
                <w:szCs w:val="1"/>
                <w:color w:val="auto"/>
              </w:rPr>
            </w:pPr>
          </w:p>
        </w:tc>
      </w:tr>
      <w:tr>
        <w:trPr>
          <w:trHeight w:val="145"/>
        </w:trPr>
        <w:tc>
          <w:tcPr>
            <w:tcW w:w="2180" w:type="dxa"/>
            <w:vAlign w:val="bottom"/>
          </w:tcPr>
          <w:p>
            <w:pPr>
              <w:spacing w:after="0"/>
              <w:rPr>
                <w:sz w:val="12"/>
                <w:szCs w:val="12"/>
                <w:color w:val="auto"/>
              </w:rPr>
            </w:pPr>
          </w:p>
        </w:tc>
        <w:tc>
          <w:tcPr>
            <w:tcW w:w="1120" w:type="dxa"/>
            <w:vAlign w:val="bottom"/>
            <w:gridSpan w:val="3"/>
          </w:tcPr>
          <w:p>
            <w:pPr>
              <w:jc w:val="center"/>
              <w:ind w:right="200"/>
              <w:spacing w:after="0" w:line="145"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2"/>
                <w:szCs w:val="12"/>
                <w:color w:val="auto"/>
              </w:rPr>
            </w:pPr>
          </w:p>
        </w:tc>
        <w:tc>
          <w:tcPr>
            <w:tcW w:w="700" w:type="dxa"/>
            <w:vAlign w:val="bottom"/>
            <w:gridSpan w:val="2"/>
          </w:tcPr>
          <w:p>
            <w:pPr>
              <w:jc w:val="right"/>
              <w:ind w:right="320"/>
              <w:spacing w:after="0" w:line="145" w:lineRule="exact"/>
              <w:rPr>
                <w:sz w:val="20"/>
                <w:szCs w:val="20"/>
                <w:color w:val="auto"/>
              </w:rPr>
            </w:pPr>
            <w:r>
              <w:rPr>
                <w:rFonts w:ascii="Times New Roman" w:cs="Times New Roman" w:eastAsia="Times New Roman" w:hAnsi="Times New Roman"/>
                <w:sz w:val="13"/>
                <w:szCs w:val="13"/>
                <w:b w:val="1"/>
                <w:bCs w:val="1"/>
                <w:color w:val="auto"/>
              </w:rPr>
              <w:t>Gross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5" w:lineRule="exact"/>
              <w:rPr>
                <w:sz w:val="20"/>
                <w:szCs w:val="20"/>
                <w:color w:val="auto"/>
              </w:rPr>
            </w:pPr>
            <w:r>
              <w:rPr>
                <w:rFonts w:ascii="Times New Roman" w:cs="Times New Roman" w:eastAsia="Times New Roman" w:hAnsi="Times New Roman"/>
                <w:sz w:val="13"/>
                <w:szCs w:val="13"/>
                <w:b w:val="1"/>
                <w:bCs w:val="1"/>
                <w:color w:val="auto"/>
              </w:rPr>
              <w:t>Appreciation /</w:t>
            </w:r>
          </w:p>
        </w:tc>
        <w:tc>
          <w:tcPr>
            <w:tcW w:w="920" w:type="dxa"/>
            <w:vAlign w:val="bottom"/>
            <w:gridSpan w:val="3"/>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54"/>
              <w:spacing w:after="0" w:line="145" w:lineRule="exact"/>
              <w:rPr>
                <w:sz w:val="20"/>
                <w:szCs w:val="20"/>
                <w:color w:val="auto"/>
              </w:rPr>
            </w:pPr>
            <w:r>
              <w:rPr>
                <w:rFonts w:ascii="Times New Roman" w:cs="Times New Roman" w:eastAsia="Times New Roman" w:hAnsi="Times New Roman"/>
                <w:sz w:val="13"/>
                <w:szCs w:val="13"/>
                <w:b w:val="1"/>
                <w:bCs w:val="1"/>
                <w:color w:val="auto"/>
              </w:rPr>
              <w:t>PIK</w:t>
            </w:r>
          </w:p>
        </w:tc>
        <w:tc>
          <w:tcPr>
            <w:tcW w:w="200" w:type="dxa"/>
            <w:vAlign w:val="bottom"/>
          </w:tcPr>
          <w:p>
            <w:pPr>
              <w:spacing w:after="0"/>
              <w:rPr>
                <w:sz w:val="12"/>
                <w:szCs w:val="12"/>
                <w:color w:val="auto"/>
              </w:rPr>
            </w:pPr>
          </w:p>
        </w:tc>
        <w:tc>
          <w:tcPr>
            <w:tcW w:w="880" w:type="dxa"/>
            <w:vAlign w:val="bottom"/>
            <w:gridSpan w:val="3"/>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Income/Oth</w:t>
            </w: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3"/>
                <w:szCs w:val="13"/>
                <w:b w:val="1"/>
                <w:bCs w:val="1"/>
                <w:color w:val="auto"/>
                <w:w w:val="98"/>
              </w:rPr>
              <w:t>Gains</w:t>
            </w:r>
          </w:p>
        </w:tc>
        <w:tc>
          <w:tcPr>
            <w:tcW w:w="0" w:type="dxa"/>
            <w:vAlign w:val="bottom"/>
          </w:tcPr>
          <w:p>
            <w:pPr>
              <w:spacing w:after="0"/>
              <w:rPr>
                <w:sz w:val="1"/>
                <w:szCs w:val="1"/>
                <w:color w:val="auto"/>
              </w:rPr>
            </w:pPr>
          </w:p>
        </w:tc>
      </w:tr>
      <w:tr>
        <w:trPr>
          <w:trHeight w:val="181"/>
        </w:trPr>
        <w:tc>
          <w:tcPr>
            <w:tcW w:w="2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of Investment</w:t>
            </w:r>
          </w:p>
        </w:tc>
        <w:tc>
          <w:tcPr>
            <w:tcW w:w="80" w:type="dxa"/>
            <w:vAlign w:val="bottom"/>
          </w:tcPr>
          <w:p>
            <w:pPr>
              <w:spacing w:after="0"/>
              <w:rPr>
                <w:sz w:val="15"/>
                <w:szCs w:val="15"/>
                <w:color w:val="auto"/>
              </w:rPr>
            </w:pPr>
          </w:p>
        </w:tc>
        <w:tc>
          <w:tcPr>
            <w:tcW w:w="84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5"/>
                <w:szCs w:val="15"/>
                <w:color w:val="auto"/>
              </w:rPr>
            </w:pPr>
          </w:p>
        </w:tc>
        <w:tc>
          <w:tcPr>
            <w:tcW w:w="840" w:type="dxa"/>
            <w:vAlign w:val="bottom"/>
            <w:gridSpan w:val="3"/>
          </w:tcPr>
          <w:p>
            <w:pPr>
              <w:spacing w:after="0" w:line="181" w:lineRule="exact"/>
              <w:rPr>
                <w:sz w:val="20"/>
                <w:szCs w:val="20"/>
                <w:color w:val="auto"/>
              </w:rPr>
            </w:pPr>
            <w:r>
              <w:rPr>
                <w:rFonts w:ascii="Times New Roman" w:cs="Times New Roman" w:eastAsia="Times New Roman" w:hAnsi="Times New Roman"/>
                <w:sz w:val="13"/>
                <w:szCs w:val="13"/>
                <w:b w:val="1"/>
                <w:bCs w:val="1"/>
                <w:color w:val="auto"/>
              </w:rPr>
              <w:t>Additions</w:t>
            </w:r>
            <w:r>
              <w:rPr>
                <w:rFonts w:ascii="Times New Roman" w:cs="Times New Roman" w:eastAsia="Times New Roman" w:hAnsi="Times New Roman"/>
                <w:sz w:val="16"/>
                <w:szCs w:val="16"/>
                <w:b w:val="1"/>
                <w:bCs w:val="1"/>
                <w:color w:val="auto"/>
                <w:vertAlign w:val="superscript"/>
              </w:rPr>
              <w:t>(1)</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Reductions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9"/>
              </w:rPr>
              <w:t>(Depreciation)</w:t>
            </w:r>
          </w:p>
        </w:tc>
        <w:tc>
          <w:tcPr>
            <w:tcW w:w="160" w:type="dxa"/>
            <w:vAlign w:val="bottom"/>
          </w:tcPr>
          <w:p>
            <w:pPr>
              <w:spacing w:after="0"/>
              <w:rPr>
                <w:sz w:val="15"/>
                <w:szCs w:val="15"/>
                <w:color w:val="auto"/>
              </w:rPr>
            </w:pPr>
          </w:p>
        </w:tc>
        <w:tc>
          <w:tcPr>
            <w:tcW w:w="68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er</w:t>
            </w:r>
          </w:p>
        </w:tc>
        <w:tc>
          <w:tcPr>
            <w:tcW w:w="80" w:type="dxa"/>
            <w:vAlign w:val="bottom"/>
          </w:tcPr>
          <w:p>
            <w:pPr>
              <w:spacing w:after="0"/>
              <w:rPr>
                <w:sz w:val="15"/>
                <w:szCs w:val="15"/>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(Losses)</w:t>
            </w:r>
          </w:p>
        </w:tc>
        <w:tc>
          <w:tcPr>
            <w:tcW w:w="0" w:type="dxa"/>
            <w:vAlign w:val="bottom"/>
          </w:tcPr>
          <w:p>
            <w:pPr>
              <w:spacing w:after="0"/>
              <w:rPr>
                <w:sz w:val="1"/>
                <w:szCs w:val="1"/>
                <w:color w:val="auto"/>
              </w:rPr>
            </w:pPr>
          </w:p>
        </w:tc>
      </w:tr>
      <w:tr>
        <w:trPr>
          <w:trHeight w:val="156"/>
        </w:trPr>
        <w:tc>
          <w:tcPr>
            <w:tcW w:w="21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Controlled Affiliates</w:t>
            </w:r>
          </w:p>
        </w:tc>
        <w:tc>
          <w:tcPr>
            <w:tcW w:w="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AKW Holdings Limited</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60,798</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1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(3,361)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30,939</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88,646</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6,375</w:t>
            </w:r>
          </w:p>
        </w:tc>
        <w:tc>
          <w:tcPr>
            <w:tcW w:w="80" w:type="dxa"/>
            <w:vAlign w:val="bottom"/>
          </w:tcPr>
          <w:p>
            <w:pPr>
              <w:spacing w:after="0"/>
              <w:rPr>
                <w:sz w:val="13"/>
                <w:szCs w:val="13"/>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1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Flock Financial, LLC</w:t>
            </w:r>
          </w:p>
        </w:tc>
        <w:tc>
          <w:tcPr>
            <w:tcW w:w="8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48,839</w:t>
            </w:r>
          </w:p>
        </w:tc>
        <w:tc>
          <w:tcPr>
            <w:tcW w:w="12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(348)</w:t>
            </w:r>
          </w:p>
        </w:tc>
        <w:tc>
          <w:tcPr>
            <w:tcW w:w="160" w:type="dxa"/>
            <w:vAlign w:val="bottom"/>
            <w:shd w:val="clear" w:color="auto" w:fill="CCECFF"/>
          </w:tcPr>
          <w:p>
            <w:pPr>
              <w:spacing w:after="0"/>
              <w:rPr>
                <w:sz w:val="13"/>
                <w:szCs w:val="13"/>
                <w:color w:val="auto"/>
              </w:rPr>
            </w:pPr>
          </w:p>
        </w:tc>
        <w:tc>
          <w:tcPr>
            <w:tcW w:w="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49,314</w:t>
            </w:r>
          </w:p>
        </w:tc>
        <w:tc>
          <w:tcPr>
            <w:tcW w:w="1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2,182</w:t>
            </w: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spacing w:after="0"/>
              <w:rPr>
                <w:sz w:val="13"/>
                <w:szCs w:val="13"/>
                <w:color w:val="auto"/>
              </w:rPr>
            </w:pPr>
          </w:p>
        </w:tc>
        <w:tc>
          <w:tcPr>
            <w:tcW w:w="7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21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JF Intermediate, LLC</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(JF Holdings Corp.)</w:t>
            </w:r>
          </w:p>
        </w:tc>
        <w:tc>
          <w:tcPr>
            <w:tcW w:w="8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90,858</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(49,625)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26,587</w:t>
            </w:r>
          </w:p>
        </w:tc>
        <w:tc>
          <w:tcPr>
            <w:tcW w:w="1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68,332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180" w:type="dxa"/>
            <w:vAlign w:val="bottom"/>
            <w:shd w:val="clear" w:color="auto" w:fill="CCECFF"/>
          </w:tcPr>
          <w:p>
            <w:pPr>
              <w:spacing w:after="0" w:line="156" w:lineRule="exact"/>
              <w:rPr>
                <w:sz w:val="20"/>
                <w:szCs w:val="20"/>
                <w:color w:val="auto"/>
              </w:rPr>
            </w:pPr>
            <w:r>
              <w:rPr>
                <w:rFonts w:ascii="Times New Roman" w:cs="Times New Roman" w:eastAsia="Times New Roman" w:hAnsi="Times New Roman"/>
                <w:sz w:val="13"/>
                <w:szCs w:val="13"/>
                <w:color w:val="auto"/>
              </w:rPr>
              <w:t xml:space="preserve">Pragmatic Institute, LLC </w:t>
            </w:r>
            <w:r>
              <w:rPr>
                <w:rFonts w:ascii="Times New Roman" w:cs="Times New Roman" w:eastAsia="Times New Roman" w:hAnsi="Times New Roman"/>
                <w:sz w:val="16"/>
                <w:szCs w:val="16"/>
                <w:color w:val="auto"/>
                <w:vertAlign w:val="superscript"/>
              </w:rPr>
              <w:t>(3)</w:t>
            </w:r>
          </w:p>
        </w:tc>
        <w:tc>
          <w:tcPr>
            <w:tcW w:w="8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CFF"/>
          </w:tcPr>
          <w:p>
            <w:pPr>
              <w:spacing w:after="0"/>
              <w:rPr>
                <w:sz w:val="13"/>
                <w:szCs w:val="13"/>
                <w:color w:val="auto"/>
              </w:rPr>
            </w:pPr>
          </w:p>
        </w:tc>
        <w:tc>
          <w:tcPr>
            <w:tcW w:w="7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15,108</w:t>
            </w:r>
          </w:p>
        </w:tc>
        <w:tc>
          <w:tcPr>
            <w:tcW w:w="140" w:type="dxa"/>
            <w:vAlign w:val="bottom"/>
            <w:shd w:val="clear" w:color="auto" w:fill="CCECFF"/>
          </w:tcPr>
          <w:p>
            <w:pPr>
              <w:spacing w:after="0"/>
              <w:rPr>
                <w:sz w:val="13"/>
                <w:szCs w:val="13"/>
                <w:color w:val="auto"/>
              </w:rPr>
            </w:pP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(108)</w:t>
            </w:r>
          </w:p>
        </w:tc>
        <w:tc>
          <w:tcPr>
            <w:tcW w:w="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(4,125)</w:t>
            </w:r>
          </w:p>
        </w:tc>
        <w:tc>
          <w:tcPr>
            <w:tcW w:w="160" w:type="dxa"/>
            <w:vAlign w:val="bottom"/>
            <w:shd w:val="clear" w:color="auto" w:fill="CCECFF"/>
          </w:tcPr>
          <w:p>
            <w:pPr>
              <w:spacing w:after="0"/>
              <w:rPr>
                <w:sz w:val="13"/>
                <w:szCs w:val="13"/>
                <w:color w:val="auto"/>
              </w:rPr>
            </w:pPr>
          </w:p>
        </w:tc>
        <w:tc>
          <w:tcPr>
            <w:tcW w:w="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10,875</w:t>
            </w:r>
          </w:p>
        </w:tc>
        <w:tc>
          <w:tcPr>
            <w:tcW w:w="1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723</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spacing w:after="0"/>
              <w:rPr>
                <w:sz w:val="13"/>
                <w:szCs w:val="13"/>
                <w:color w:val="auto"/>
              </w:rPr>
            </w:pPr>
          </w:p>
        </w:tc>
        <w:tc>
          <w:tcPr>
            <w:tcW w:w="7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0"/>
        </w:trPr>
        <w:tc>
          <w:tcPr>
            <w:tcW w:w="21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PennantPark Senior Loan Fund, LLC</w:t>
            </w:r>
          </w:p>
        </w:tc>
        <w:tc>
          <w:tcPr>
            <w:tcW w:w="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183,809</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39,323</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(15,332)</w:t>
            </w: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207,800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17,207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20,471</w:t>
            </w: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7"/>
        </w:trPr>
        <w:tc>
          <w:tcPr>
            <w:tcW w:w="2180" w:type="dxa"/>
            <w:vAlign w:val="bottom"/>
          </w:tcPr>
          <w:p>
            <w:pPr>
              <w:spacing w:after="0"/>
              <w:rPr>
                <w:sz w:val="20"/>
                <w:szCs w:val="20"/>
                <w:color w:val="auto"/>
              </w:rPr>
            </w:pPr>
            <w:r>
              <w:rPr>
                <w:rFonts w:ascii="Times New Roman" w:cs="Times New Roman" w:eastAsia="Times New Roman" w:hAnsi="Times New Roman"/>
                <w:sz w:val="8"/>
                <w:szCs w:val="8"/>
                <w:color w:val="auto"/>
              </w:rPr>
              <w:t>(2)</w:t>
            </w:r>
          </w:p>
        </w:tc>
        <w:tc>
          <w:tcPr>
            <w:tcW w:w="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Controlled Affiliates</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384,304</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56,036</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(53,094)</w:t>
            </w:r>
          </w:p>
        </w:tc>
        <w:tc>
          <w:tcPr>
            <w:tcW w:w="1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37,721</w:t>
            </w:r>
          </w:p>
        </w:tc>
        <w:tc>
          <w:tcPr>
            <w:tcW w:w="1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424,967</w:t>
            </w:r>
          </w:p>
        </w:tc>
        <w:tc>
          <w:tcPr>
            <w:tcW w:w="80" w:type="dxa"/>
            <w:vAlign w:val="bottom"/>
            <w:shd w:val="clear" w:color="auto" w:fill="CCECFF"/>
          </w:tcPr>
          <w:p>
            <w:pPr>
              <w:spacing w:after="0"/>
              <w:rPr>
                <w:sz w:val="13"/>
                <w:szCs w:val="13"/>
                <w:color w:val="auto"/>
              </w:rPr>
            </w:pPr>
          </w:p>
        </w:tc>
        <w:tc>
          <w:tcPr>
            <w:tcW w:w="1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30,049</w:t>
            </w:r>
          </w:p>
        </w:tc>
        <w:tc>
          <w:tcPr>
            <w:tcW w:w="2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1,546</w:t>
            </w:r>
          </w:p>
        </w:tc>
        <w:tc>
          <w:tcPr>
            <w:tcW w:w="28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20,498</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Non-Controlled Affiliates</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180" w:type="dxa"/>
            <w:vAlign w:val="bottom"/>
            <w:shd w:val="clear" w:color="auto" w:fill="CCECFF"/>
          </w:tcPr>
          <w:p>
            <w:pPr>
              <w:spacing w:after="0" w:line="144" w:lineRule="exact"/>
              <w:rPr>
                <w:sz w:val="20"/>
                <w:szCs w:val="20"/>
                <w:color w:val="auto"/>
              </w:rPr>
            </w:pPr>
            <w:r>
              <w:rPr>
                <w:rFonts w:ascii="Times New Roman" w:cs="Times New Roman" w:eastAsia="Times New Roman" w:hAnsi="Times New Roman"/>
                <w:sz w:val="13"/>
                <w:szCs w:val="13"/>
                <w:color w:val="auto"/>
              </w:rPr>
              <w:t>Cascade Environmental Holdings,</w:t>
            </w:r>
          </w:p>
        </w:tc>
        <w:tc>
          <w:tcPr>
            <w:tcW w:w="8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LLC</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29,262</w:t>
            </w:r>
          </w:p>
        </w:tc>
        <w:tc>
          <w:tcPr>
            <w:tcW w:w="1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(24,371)</w:t>
            </w:r>
          </w:p>
        </w:tc>
        <w:tc>
          <w:tcPr>
            <w:tcW w:w="1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4,891</w:t>
            </w:r>
          </w:p>
        </w:tc>
        <w:tc>
          <w:tcPr>
            <w:tcW w:w="80" w:type="dxa"/>
            <w:vAlign w:val="bottom"/>
            <w:shd w:val="clear" w:color="auto" w:fill="CCECFF"/>
          </w:tcPr>
          <w:p>
            <w:pPr>
              <w:spacing w:after="0"/>
              <w:rPr>
                <w:sz w:val="14"/>
                <w:szCs w:val="14"/>
                <w:color w:val="auto"/>
              </w:rPr>
            </w:pPr>
          </w:p>
        </w:tc>
        <w:tc>
          <w:tcPr>
            <w:tcW w:w="1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3"/>
        </w:trPr>
        <w:tc>
          <w:tcPr>
            <w:tcW w:w="218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Walker Edison Furniture Company</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180" w:type="dxa"/>
            <w:vAlign w:val="bottom"/>
          </w:tcPr>
          <w:p>
            <w:pPr>
              <w:spacing w:after="0" w:line="179" w:lineRule="exact"/>
              <w:rPr>
                <w:sz w:val="20"/>
                <w:szCs w:val="20"/>
                <w:color w:val="auto"/>
              </w:rPr>
            </w:pPr>
            <w:r>
              <w:rPr>
                <w:rFonts w:ascii="Times New Roman" w:cs="Times New Roman" w:eastAsia="Times New Roman" w:hAnsi="Times New Roman"/>
                <w:sz w:val="20"/>
                <w:szCs w:val="20"/>
                <w:color w:val="auto"/>
                <w:vertAlign w:val="subscript"/>
              </w:rPr>
              <w:t>LLC</w:t>
            </w:r>
            <w:r>
              <w:rPr>
                <w:rFonts w:ascii="Times New Roman" w:cs="Times New Roman" w:eastAsia="Times New Roman" w:hAnsi="Times New Roman"/>
                <w:sz w:val="7"/>
                <w:szCs w:val="7"/>
                <w:color w:val="auto"/>
              </w:rPr>
              <w:t xml:space="preserve"> (4)</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(22,243)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16,013</w:t>
            </w:r>
          </w:p>
        </w:tc>
        <w:tc>
          <w:tcPr>
            <w:tcW w:w="16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(21,946)</w:t>
            </w:r>
          </w:p>
        </w:tc>
        <w:tc>
          <w:tcPr>
            <w:tcW w:w="0" w:type="dxa"/>
            <w:vAlign w:val="bottom"/>
          </w:tcPr>
          <w:p>
            <w:pPr>
              <w:spacing w:after="0"/>
              <w:rPr>
                <w:sz w:val="1"/>
                <w:szCs w:val="1"/>
                <w:color w:val="auto"/>
              </w:rPr>
            </w:pPr>
          </w:p>
        </w:tc>
      </w:tr>
      <w:tr>
        <w:trPr>
          <w:trHeight w:val="156"/>
        </w:trPr>
        <w:tc>
          <w:tcPr>
            <w:tcW w:w="218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3"/>
                <w:szCs w:val="13"/>
                <w:color w:val="auto"/>
              </w:rPr>
              <w:t>Total Non-Controlled Affiliates</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33,423</w:t>
            </w:r>
          </w:p>
        </w:tc>
        <w:tc>
          <w:tcPr>
            <w:tcW w:w="1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2,069</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(22,243)</w:t>
            </w:r>
          </w:p>
        </w:tc>
        <w:tc>
          <w:tcPr>
            <w:tcW w:w="1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(8,358)</w:t>
            </w:r>
          </w:p>
        </w:tc>
        <w:tc>
          <w:tcPr>
            <w:tcW w:w="1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4,891</w:t>
            </w:r>
          </w:p>
        </w:tc>
        <w:tc>
          <w:tcPr>
            <w:tcW w:w="80" w:type="dxa"/>
            <w:vAlign w:val="bottom"/>
            <w:shd w:val="clear" w:color="auto" w:fill="CCECFF"/>
          </w:tcPr>
          <w:p>
            <w:pPr>
              <w:spacing w:after="0"/>
              <w:rPr>
                <w:sz w:val="13"/>
                <w:szCs w:val="13"/>
                <w:color w:val="auto"/>
              </w:rPr>
            </w:pPr>
          </w:p>
        </w:tc>
        <w:tc>
          <w:tcPr>
            <w:tcW w:w="1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(21,946)</w:t>
            </w:r>
          </w:p>
        </w:tc>
        <w:tc>
          <w:tcPr>
            <w:tcW w:w="0" w:type="dxa"/>
            <w:vAlign w:val="bottom"/>
          </w:tcPr>
          <w:p>
            <w:pPr>
              <w:spacing w:after="0"/>
              <w:rPr>
                <w:sz w:val="1"/>
                <w:szCs w:val="1"/>
                <w:color w:val="auto"/>
              </w:rPr>
            </w:pPr>
          </w:p>
        </w:tc>
      </w:tr>
      <w:tr>
        <w:trPr>
          <w:trHeight w:val="142"/>
        </w:trPr>
        <w:tc>
          <w:tcPr>
            <w:tcW w:w="2180" w:type="dxa"/>
            <w:vAlign w:val="bottom"/>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Total Controlled and</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417,727</w:t>
            </w:r>
          </w:p>
        </w:tc>
        <w:tc>
          <w:tcPr>
            <w:tcW w:w="200" w:type="dxa"/>
            <w:vAlign w:val="bottom"/>
          </w:tcPr>
          <w:p>
            <w:pPr>
              <w:spacing w:after="0"/>
              <w:rPr>
                <w:sz w:val="12"/>
                <w:szCs w:val="12"/>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58,105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vMerge w:val="restart"/>
          </w:tcPr>
          <w:p>
            <w:pPr>
              <w:jc w:val="right"/>
              <w:ind w:right="80"/>
              <w:spacing w:after="0" w:line="256" w:lineRule="exact"/>
              <w:rPr>
                <w:sz w:val="20"/>
                <w:szCs w:val="20"/>
                <w:color w:val="auto"/>
              </w:rPr>
            </w:pPr>
            <w:r>
              <w:rPr>
                <w:rFonts w:ascii="Times New Roman" w:cs="Times New Roman" w:eastAsia="Times New Roman" w:hAnsi="Times New Roman"/>
                <w:sz w:val="13"/>
                <w:szCs w:val="13"/>
                <w:color w:val="auto"/>
              </w:rPr>
              <w:t>(75,337</w:t>
            </w:r>
            <w:r>
              <w:rPr>
                <w:rFonts w:ascii="Times New Roman" w:cs="Times New Roman" w:eastAsia="Times New Roman" w:hAnsi="Times New Roman"/>
                <w:sz w:val="26"/>
                <w:szCs w:val="26"/>
                <w:color w:val="auto"/>
                <w:vertAlign w:val="subscript"/>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29,363</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429,858</w:t>
            </w:r>
          </w:p>
        </w:tc>
        <w:tc>
          <w:tcPr>
            <w:tcW w:w="80" w:type="dxa"/>
            <w:vAlign w:val="bottom"/>
          </w:tcPr>
          <w:p>
            <w:pPr>
              <w:spacing w:after="0"/>
              <w:rPr>
                <w:sz w:val="12"/>
                <w:szCs w:val="12"/>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30,049</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1,546</w:t>
            </w:r>
          </w:p>
        </w:tc>
        <w:tc>
          <w:tcPr>
            <w:tcW w:w="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20,498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vMerge w:val="restart"/>
          </w:tcPr>
          <w:p>
            <w:pPr>
              <w:jc w:val="right"/>
              <w:ind w:right="60"/>
              <w:spacing w:after="0" w:line="256" w:lineRule="exact"/>
              <w:rPr>
                <w:sz w:val="20"/>
                <w:szCs w:val="20"/>
                <w:color w:val="auto"/>
              </w:rPr>
            </w:pPr>
            <w:r>
              <w:rPr>
                <w:rFonts w:ascii="Times New Roman" w:cs="Times New Roman" w:eastAsia="Times New Roman" w:hAnsi="Times New Roman"/>
                <w:sz w:val="13"/>
                <w:szCs w:val="13"/>
                <w:color w:val="auto"/>
              </w:rPr>
              <w:t>(21,946</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134"/>
        </w:trPr>
        <w:tc>
          <w:tcPr>
            <w:tcW w:w="2180" w:type="dxa"/>
            <w:vAlign w:val="bottom"/>
          </w:tcPr>
          <w:p>
            <w:pPr>
              <w:ind w:left="100"/>
              <w:spacing w:after="0" w:line="114" w:lineRule="exact"/>
              <w:rPr>
                <w:sz w:val="20"/>
                <w:szCs w:val="20"/>
                <w:color w:val="auto"/>
              </w:rPr>
            </w:pPr>
            <w:r>
              <w:rPr>
                <w:rFonts w:ascii="Times New Roman" w:cs="Times New Roman" w:eastAsia="Times New Roman" w:hAnsi="Times New Roman"/>
                <w:sz w:val="13"/>
                <w:szCs w:val="13"/>
                <w:b w:val="1"/>
                <w:bCs w:val="1"/>
                <w:color w:val="auto"/>
              </w:rPr>
              <w:t>Non-Controlled Affiliates</w:t>
            </w:r>
          </w:p>
        </w:tc>
        <w:tc>
          <w:tcPr>
            <w:tcW w:w="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1"/>
          <w:szCs w:val="11"/>
          <w:color w:val="auto"/>
        </w:rPr>
        <w:t>Includes PIK.</w:t>
      </w:r>
    </w:p>
    <w:p>
      <w:pPr>
        <w:spacing w:after="0" w:line="1" w:lineRule="exact"/>
        <w:rPr>
          <w:sz w:val="20"/>
          <w:szCs w:val="20"/>
          <w:color w:val="auto"/>
        </w:rPr>
      </w:pPr>
    </w:p>
    <w:p>
      <w:pPr>
        <w:ind w:left="360" w:right="140"/>
        <w:spacing w:after="0" w:line="225" w:lineRule="auto"/>
        <w:rPr>
          <w:sz w:val="20"/>
          <w:szCs w:val="20"/>
          <w:color w:val="auto"/>
        </w:rPr>
      </w:pP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1"/>
          <w:szCs w:val="11"/>
          <w:color w:val="auto"/>
        </w:rPr>
        <w:t>We and Pantheon are the members of PSLF, a joint venture formed as a Delaware limited liability company that is not consolidated by us for financial reporting purposes. The members of PSLF make investments in the PSLF in the form of subordinated debt and equity interests, and all portfolio and other material decision regarding PSLF must be submitted to PSFL’s board of directors or investment committee, both of which are comprised of two members appointed by each of us and Pantheon. Because management of PSLF is shared equally between us and Pantheon, we do not believe we control PSLF for purposes of the 1940 Act or otherwise.</w:t>
      </w:r>
    </w:p>
    <w:p>
      <w:pPr>
        <w:spacing w:after="0" w:line="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b w:val="1"/>
          <w:bCs w:val="1"/>
          <w:color w:val="auto"/>
          <w:vertAlign w:val="superscript"/>
        </w:rPr>
        <w:t>(3)</w:t>
      </w:r>
      <w:r>
        <w:rPr>
          <w:rFonts w:ascii="Times New Roman" w:cs="Times New Roman" w:eastAsia="Times New Roman" w:hAnsi="Times New Roman"/>
          <w:sz w:val="11"/>
          <w:szCs w:val="11"/>
          <w:color w:val="auto"/>
        </w:rPr>
        <w:t>Pragmatic Institute, LLC became a controlled affiliate during the quarter ended March 31, 2025.</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b w:val="1"/>
          <w:bCs w:val="1"/>
          <w:color w:val="auto"/>
          <w:vertAlign w:val="superscript"/>
        </w:rPr>
        <w:t>(4)</w:t>
      </w:r>
      <w:r>
        <w:rPr>
          <w:rFonts w:ascii="Times New Roman" w:cs="Times New Roman" w:eastAsia="Times New Roman" w:hAnsi="Times New Roman"/>
          <w:sz w:val="11"/>
          <w:szCs w:val="11"/>
          <w:color w:val="auto"/>
        </w:rPr>
        <w:t>Walker Edison Furniture Company, LLC equity investment was realized during the quarter ended September 30, 2025 and was no longer a controlled affiliate as of that date.</w:t>
      </w: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2" w:right="640" w:bottom="1440" w:gutter="0" w:footer="0" w:header="0"/>
        </w:sectPr>
      </w:pPr>
    </w:p>
    <w:bookmarkStart w:id="48" w:name="page49"/>
    <w:bookmarkEnd w:id="48"/>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Net Change in</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Net Realized</w:t>
            </w:r>
          </w:p>
        </w:tc>
        <w:tc>
          <w:tcPr>
            <w:tcW w:w="0" w:type="dxa"/>
            <w:vAlign w:val="bottom"/>
          </w:tcPr>
          <w:p>
            <w:pPr>
              <w:spacing w:after="0"/>
              <w:rPr>
                <w:sz w:val="1"/>
                <w:szCs w:val="1"/>
                <w:color w:val="auto"/>
              </w:rPr>
            </w:pPr>
          </w:p>
        </w:tc>
      </w:tr>
      <w:tr>
        <w:trPr>
          <w:trHeight w:val="37"/>
        </w:trPr>
        <w:tc>
          <w:tcPr>
            <w:tcW w:w="2460" w:type="dxa"/>
            <w:vAlign w:val="bottom"/>
          </w:tcPr>
          <w:p>
            <w:pPr>
              <w:spacing w:after="0"/>
              <w:rPr>
                <w:sz w:val="3"/>
                <w:szCs w:val="3"/>
                <w:color w:val="auto"/>
              </w:rPr>
            </w:pPr>
          </w:p>
        </w:tc>
        <w:tc>
          <w:tcPr>
            <w:tcW w:w="10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3"/>
                <w:szCs w:val="3"/>
                <w:color w:val="auto"/>
              </w:rPr>
            </w:pPr>
          </w:p>
        </w:tc>
        <w:tc>
          <w:tcPr>
            <w:tcW w:w="11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Appreciation /</w:t>
            </w: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3"/>
                <w:szCs w:val="3"/>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2"/>
              </w:rPr>
              <w:t>Interest</w:t>
            </w: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PIK</w:t>
            </w:r>
          </w:p>
        </w:tc>
        <w:tc>
          <w:tcPr>
            <w:tcW w:w="180" w:type="dxa"/>
            <w:vAlign w:val="bottom"/>
          </w:tcPr>
          <w:p>
            <w:pPr>
              <w:spacing w:after="0"/>
              <w:rPr>
                <w:sz w:val="3"/>
                <w:szCs w:val="3"/>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Dividend</w:t>
            </w:r>
          </w:p>
        </w:tc>
        <w:tc>
          <w:tcPr>
            <w:tcW w:w="100" w:type="dxa"/>
            <w:vAlign w:val="bottom"/>
          </w:tcPr>
          <w:p>
            <w:pPr>
              <w:spacing w:after="0"/>
              <w:rPr>
                <w:sz w:val="3"/>
                <w:szCs w:val="3"/>
                <w:color w:val="auto"/>
              </w:rPr>
            </w:pPr>
          </w:p>
        </w:tc>
        <w:tc>
          <w:tcPr>
            <w:tcW w:w="7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Gains</w:t>
            </w:r>
          </w:p>
        </w:tc>
        <w:tc>
          <w:tcPr>
            <w:tcW w:w="0" w:type="dxa"/>
            <w:vAlign w:val="bottom"/>
          </w:tcPr>
          <w:p>
            <w:pPr>
              <w:spacing w:after="0" w:line="20" w:lineRule="exact"/>
              <w:rPr>
                <w:sz w:val="1"/>
                <w:szCs w:val="1"/>
                <w:color w:val="auto"/>
              </w:rPr>
            </w:pPr>
          </w:p>
        </w:tc>
      </w:tr>
      <w:tr>
        <w:trPr>
          <w:trHeight w:val="145"/>
        </w:trPr>
        <w:tc>
          <w:tcPr>
            <w:tcW w:w="24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Additions</w:t>
            </w:r>
            <w:r>
              <w:rPr>
                <w:rFonts w:ascii="Times New Roman" w:cs="Times New Roman" w:eastAsia="Times New Roman" w:hAnsi="Times New Roman"/>
                <w:sz w:val="16"/>
                <w:szCs w:val="16"/>
                <w:b w:val="1"/>
                <w:bCs w:val="1"/>
                <w:color w:val="auto"/>
                <w:vertAlign w:val="superscript"/>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60" w:type="dxa"/>
            <w:vAlign w:val="bottom"/>
            <w:vMerge w:val="restart"/>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Name of Investment</w:t>
            </w:r>
          </w:p>
        </w:tc>
        <w:tc>
          <w:tcPr>
            <w:tcW w:w="80" w:type="dxa"/>
            <w:vAlign w:val="bottom"/>
          </w:tcPr>
          <w:p>
            <w:pPr>
              <w:spacing w:after="0"/>
              <w:rPr>
                <w:sz w:val="9"/>
                <w:szCs w:val="9"/>
                <w:color w:val="auto"/>
              </w:rPr>
            </w:pPr>
          </w:p>
        </w:tc>
        <w:tc>
          <w:tcPr>
            <w:tcW w:w="840" w:type="dxa"/>
            <w:vAlign w:val="bottom"/>
            <w:vMerge w:val="restart"/>
          </w:tcPr>
          <w:p>
            <w:pPr>
              <w:jc w:val="center"/>
              <w:ind w:right="34"/>
              <w:spacing w:after="0" w:line="144"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ind w:right="236"/>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vMerge w:val="restart"/>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Reductions</w:t>
            </w:r>
          </w:p>
        </w:tc>
        <w:tc>
          <w:tcPr>
            <w:tcW w:w="80" w:type="dxa"/>
            <w:vAlign w:val="bottom"/>
          </w:tcPr>
          <w:p>
            <w:pPr>
              <w:spacing w:after="0"/>
              <w:rPr>
                <w:sz w:val="9"/>
                <w:szCs w:val="9"/>
                <w:color w:val="auto"/>
              </w:rPr>
            </w:pPr>
          </w:p>
        </w:tc>
        <w:tc>
          <w:tcPr>
            <w:tcW w:w="1120" w:type="dxa"/>
            <w:vAlign w:val="bottom"/>
            <w:gridSpan w:val="3"/>
            <w:vMerge w:val="restart"/>
          </w:tcPr>
          <w:p>
            <w:pPr>
              <w:jc w:val="right"/>
              <w:ind w:right="260"/>
              <w:spacing w:after="0" w:line="144" w:lineRule="exact"/>
              <w:rPr>
                <w:sz w:val="20"/>
                <w:szCs w:val="20"/>
                <w:color w:val="auto"/>
              </w:rPr>
            </w:pPr>
            <w:r>
              <w:rPr>
                <w:rFonts w:ascii="Times New Roman" w:cs="Times New Roman" w:eastAsia="Times New Roman" w:hAnsi="Times New Roman"/>
                <w:sz w:val="13"/>
                <w:szCs w:val="13"/>
                <w:b w:val="1"/>
                <w:bCs w:val="1"/>
                <w:color w:val="auto"/>
              </w:rPr>
              <w:t>(Depreciation)</w:t>
            </w:r>
          </w:p>
        </w:tc>
        <w:tc>
          <w:tcPr>
            <w:tcW w:w="160" w:type="dxa"/>
            <w:vAlign w:val="bottom"/>
          </w:tcPr>
          <w:p>
            <w:pPr>
              <w:spacing w:after="0"/>
              <w:rPr>
                <w:sz w:val="9"/>
                <w:szCs w:val="9"/>
                <w:color w:val="auto"/>
              </w:rPr>
            </w:pPr>
          </w:p>
        </w:tc>
        <w:tc>
          <w:tcPr>
            <w:tcW w:w="660" w:type="dxa"/>
            <w:vAlign w:val="bottom"/>
            <w:vMerge w:val="restart"/>
          </w:tcPr>
          <w:p>
            <w:pPr>
              <w:jc w:val="right"/>
              <w:ind w:right="214"/>
              <w:spacing w:after="0" w:line="144"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2"/>
            <w:vMerge w:val="restart"/>
          </w:tcPr>
          <w:p>
            <w:pPr>
              <w:jc w:val="right"/>
              <w:ind w:right="160"/>
              <w:spacing w:after="0" w:line="144"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74"/>
              <w:spacing w:after="0" w:line="144" w:lineRule="exact"/>
              <w:rPr>
                <w:sz w:val="20"/>
                <w:szCs w:val="20"/>
                <w:color w:val="auto"/>
              </w:rPr>
            </w:pPr>
            <w:r>
              <w:rPr>
                <w:rFonts w:ascii="Times New Roman" w:cs="Times New Roman" w:eastAsia="Times New Roman" w:hAnsi="Times New Roman"/>
                <w:sz w:val="13"/>
                <w:szCs w:val="13"/>
                <w:b w:val="1"/>
                <w:bCs w:val="1"/>
                <w:color w:val="auto"/>
              </w:rPr>
              <w:t>Income</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restart"/>
          </w:tcPr>
          <w:p>
            <w:pPr>
              <w:jc w:val="right"/>
              <w:ind w:right="260"/>
              <w:spacing w:after="0" w:line="144"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9"/>
                <w:szCs w:val="9"/>
                <w:color w:val="auto"/>
              </w:rPr>
            </w:pPr>
          </w:p>
        </w:tc>
        <w:tc>
          <w:tcPr>
            <w:tcW w:w="720" w:type="dxa"/>
            <w:vAlign w:val="bottom"/>
            <w:gridSpan w:val="2"/>
            <w:vMerge w:val="restart"/>
          </w:tcPr>
          <w:p>
            <w:pPr>
              <w:jc w:val="right"/>
              <w:ind w:right="240"/>
              <w:spacing w:after="0" w:line="144" w:lineRule="exact"/>
              <w:rPr>
                <w:sz w:val="20"/>
                <w:szCs w:val="20"/>
                <w:color w:val="auto"/>
              </w:rPr>
            </w:pPr>
            <w:r>
              <w:rPr>
                <w:rFonts w:ascii="Times New Roman" w:cs="Times New Roman" w:eastAsia="Times New Roman" w:hAnsi="Times New Roman"/>
                <w:sz w:val="13"/>
                <w:szCs w:val="13"/>
                <w:b w:val="1"/>
                <w:bCs w:val="1"/>
                <w:color w:val="auto"/>
              </w:rPr>
              <w:t>(Losses)</w:t>
            </w:r>
          </w:p>
        </w:tc>
        <w:tc>
          <w:tcPr>
            <w:tcW w:w="0" w:type="dxa"/>
            <w:vAlign w:val="bottom"/>
          </w:tcPr>
          <w:p>
            <w:pPr>
              <w:spacing w:after="0"/>
              <w:rPr>
                <w:sz w:val="1"/>
                <w:szCs w:val="1"/>
                <w:color w:val="auto"/>
              </w:rPr>
            </w:pPr>
          </w:p>
        </w:tc>
      </w:tr>
      <w:tr>
        <w:trPr>
          <w:trHeight w:val="36"/>
        </w:trPr>
        <w:tc>
          <w:tcPr>
            <w:tcW w:w="24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4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Controlled Affiliates</w:t>
            </w:r>
          </w:p>
        </w:tc>
        <w:tc>
          <w:tcPr>
            <w:tcW w:w="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60" w:type="dxa"/>
            <w:vAlign w:val="bottom"/>
            <w:tcBorders>
              <w:right w:val="single" w:sz="8" w:color="CCECFF"/>
            </w:tcBorders>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AKW Holdings Limited</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51,660</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2,687</w:t>
            </w:r>
          </w:p>
        </w:tc>
        <w:tc>
          <w:tcPr>
            <w:tcW w:w="100" w:type="dxa"/>
            <w:vAlign w:val="bottom"/>
          </w:tcPr>
          <w:p>
            <w:pPr>
              <w:spacing w:after="0"/>
              <w:rPr>
                <w:sz w:val="13"/>
                <w:szCs w:val="13"/>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6,451</w:t>
            </w:r>
          </w:p>
        </w:tc>
        <w:tc>
          <w:tcPr>
            <w:tcW w:w="20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60,798</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3,820</w:t>
            </w:r>
          </w:p>
        </w:tc>
        <w:tc>
          <w:tcPr>
            <w:tcW w:w="100" w:type="dxa"/>
            <w:vAlign w:val="bottom"/>
          </w:tcPr>
          <w:p>
            <w:pPr>
              <w:spacing w:after="0"/>
              <w:rPr>
                <w:sz w:val="13"/>
                <w:szCs w:val="13"/>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460" w:type="dxa"/>
            <w:vAlign w:val="bottom"/>
            <w:shd w:val="clear" w:color="auto" w:fill="CCECFF"/>
          </w:tcPr>
          <w:p>
            <w:pPr>
              <w:spacing w:after="0" w:line="156" w:lineRule="exact"/>
              <w:rPr>
                <w:sz w:val="20"/>
                <w:szCs w:val="20"/>
                <w:color w:val="auto"/>
              </w:rPr>
            </w:pPr>
            <w:r>
              <w:rPr>
                <w:rFonts w:ascii="Times New Roman" w:cs="Times New Roman" w:eastAsia="Times New Roman" w:hAnsi="Times New Roman"/>
                <w:sz w:val="13"/>
                <w:szCs w:val="13"/>
                <w:color w:val="auto"/>
              </w:rPr>
              <w:t xml:space="preserve">Flock Financial, LLC </w:t>
            </w:r>
            <w:r>
              <w:rPr>
                <w:rFonts w:ascii="Times New Roman" w:cs="Times New Roman" w:eastAsia="Times New Roman" w:hAnsi="Times New Roman"/>
                <w:sz w:val="16"/>
                <w:szCs w:val="16"/>
                <w:color w:val="auto"/>
                <w:vertAlign w:val="superscript"/>
              </w:rPr>
              <w:t>(5)</w:t>
            </w:r>
          </w:p>
        </w:tc>
        <w:tc>
          <w:tcPr>
            <w:tcW w:w="80" w:type="dxa"/>
            <w:vAlign w:val="bottom"/>
            <w:shd w:val="clear" w:color="auto" w:fill="CCECFF"/>
          </w:tcPr>
          <w:p>
            <w:pPr>
              <w:spacing w:after="0"/>
              <w:rPr>
                <w:sz w:val="13"/>
                <w:szCs w:val="13"/>
                <w:color w:val="auto"/>
              </w:rPr>
            </w:pPr>
          </w:p>
        </w:tc>
        <w:tc>
          <w:tcPr>
            <w:tcW w:w="9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32,300</w:t>
            </w: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20,816</w:t>
            </w: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(5,306)</w:t>
            </w:r>
          </w:p>
        </w:tc>
        <w:tc>
          <w:tcPr>
            <w:tcW w:w="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2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48,839</w:t>
            </w:r>
          </w:p>
        </w:tc>
        <w:tc>
          <w:tcPr>
            <w:tcW w:w="160" w:type="dxa"/>
            <w:vAlign w:val="bottom"/>
            <w:tcBorders>
              <w:right w:val="single" w:sz="8" w:color="CCECFF"/>
            </w:tcBorders>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1,341</w:t>
            </w: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1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3"/>
                <w:szCs w:val="13"/>
                <w:color w:val="auto"/>
              </w:rPr>
            </w:pPr>
          </w:p>
        </w:tc>
        <w:tc>
          <w:tcPr>
            <w:tcW w:w="7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(5,305)</w:t>
            </w:r>
          </w:p>
        </w:tc>
        <w:tc>
          <w:tcPr>
            <w:tcW w:w="0" w:type="dxa"/>
            <w:vAlign w:val="bottom"/>
          </w:tcPr>
          <w:p>
            <w:pPr>
              <w:spacing w:after="0"/>
              <w:rPr>
                <w:sz w:val="1"/>
                <w:szCs w:val="1"/>
                <w:color w:val="auto"/>
              </w:rPr>
            </w:pPr>
          </w:p>
        </w:tc>
      </w:tr>
      <w:tr>
        <w:trPr>
          <w:trHeight w:val="120"/>
        </w:trPr>
        <w:tc>
          <w:tcPr>
            <w:tcW w:w="246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JF Intermediate, LLC (JF Holdings Corp.)</w:t>
            </w:r>
          </w:p>
        </w:tc>
        <w:tc>
          <w:tcPr>
            <w:tcW w:w="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8,759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51,912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(375)</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30,562</w:t>
            </w:r>
          </w:p>
        </w:tc>
        <w:tc>
          <w:tcPr>
            <w:tcW w:w="16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90,858</w:t>
            </w:r>
          </w:p>
        </w:tc>
        <w:tc>
          <w:tcPr>
            <w:tcW w:w="1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5,536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7"/>
        </w:trPr>
        <w:tc>
          <w:tcPr>
            <w:tcW w:w="2460" w:type="dxa"/>
            <w:vAlign w:val="bottom"/>
          </w:tcPr>
          <w:p>
            <w:pPr>
              <w:spacing w:after="0"/>
              <w:rPr>
                <w:sz w:val="20"/>
                <w:szCs w:val="20"/>
                <w:color w:val="auto"/>
              </w:rPr>
            </w:pPr>
            <w:r>
              <w:rPr>
                <w:rFonts w:ascii="Times New Roman" w:cs="Times New Roman" w:eastAsia="Times New Roman" w:hAnsi="Times New Roman"/>
                <w:sz w:val="8"/>
                <w:szCs w:val="8"/>
                <w:color w:val="auto"/>
              </w:rPr>
              <w:t>(2)</w:t>
            </w:r>
          </w:p>
        </w:tc>
        <w:tc>
          <w:tcPr>
            <w:tcW w:w="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4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Mailsouth Inc.</w:t>
            </w:r>
          </w:p>
        </w:tc>
        <w:tc>
          <w:tcPr>
            <w:tcW w:w="80" w:type="dxa"/>
            <w:vAlign w:val="bottom"/>
            <w:shd w:val="clear" w:color="auto" w:fill="CCECFF"/>
          </w:tcPr>
          <w:p>
            <w:pPr>
              <w:spacing w:after="0"/>
              <w:rPr>
                <w:sz w:val="13"/>
                <w:szCs w:val="13"/>
                <w:color w:val="auto"/>
              </w:rPr>
            </w:pPr>
          </w:p>
        </w:tc>
        <w:tc>
          <w:tcPr>
            <w:tcW w:w="9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(28,899)</w:t>
            </w:r>
          </w:p>
        </w:tc>
        <w:tc>
          <w:tcPr>
            <w:tcW w:w="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28,899</w:t>
            </w:r>
          </w:p>
        </w:tc>
        <w:tc>
          <w:tcPr>
            <w:tcW w:w="160" w:type="dxa"/>
            <w:vAlign w:val="bottom"/>
            <w:shd w:val="clear" w:color="auto" w:fill="CCECFF"/>
          </w:tcPr>
          <w:p>
            <w:pPr>
              <w:spacing w:after="0"/>
              <w:rPr>
                <w:sz w:val="13"/>
                <w:szCs w:val="13"/>
                <w:color w:val="auto"/>
              </w:rPr>
            </w:pPr>
          </w:p>
        </w:tc>
        <w:tc>
          <w:tcPr>
            <w:tcW w:w="7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CECFF"/>
            </w:tcBorders>
            <w:shd w:val="clear" w:color="auto" w:fill="CCECFF"/>
          </w:tcPr>
          <w:p>
            <w:pPr>
              <w:spacing w:after="0"/>
              <w:rPr>
                <w:sz w:val="13"/>
                <w:szCs w:val="13"/>
                <w:color w:val="auto"/>
              </w:rPr>
            </w:pPr>
          </w:p>
        </w:tc>
        <w:tc>
          <w:tcPr>
            <w:tcW w:w="5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3"/>
                <w:szCs w:val="13"/>
                <w:color w:val="auto"/>
              </w:rPr>
            </w:pPr>
          </w:p>
        </w:tc>
        <w:tc>
          <w:tcPr>
            <w:tcW w:w="7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(28,899)</w:t>
            </w:r>
          </w:p>
        </w:tc>
        <w:tc>
          <w:tcPr>
            <w:tcW w:w="0" w:type="dxa"/>
            <w:vAlign w:val="bottom"/>
          </w:tcPr>
          <w:p>
            <w:pPr>
              <w:spacing w:after="0"/>
              <w:rPr>
                <w:sz w:val="1"/>
                <w:szCs w:val="1"/>
                <w:color w:val="auto"/>
              </w:rPr>
            </w:pPr>
          </w:p>
        </w:tc>
      </w:tr>
      <w:tr>
        <w:trPr>
          <w:trHeight w:val="156"/>
        </w:trPr>
        <w:tc>
          <w:tcPr>
            <w:tcW w:w="246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PennantPark Senior Loan Fund, LLC </w:t>
            </w:r>
            <w:r>
              <w:rPr>
                <w:rFonts w:ascii="Times New Roman" w:cs="Times New Roman" w:eastAsia="Times New Roman" w:hAnsi="Times New Roman"/>
                <w:sz w:val="16"/>
                <w:szCs w:val="16"/>
                <w:color w:val="auto"/>
                <w:vertAlign w:val="superscript"/>
              </w:rPr>
              <w:t>(3)</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164,408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22,353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(2,952)</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183,809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15,041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21,605</w:t>
            </w:r>
          </w:p>
        </w:tc>
        <w:tc>
          <w:tcPr>
            <w:tcW w:w="10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460" w:type="dxa"/>
            <w:vAlign w:val="bottom"/>
            <w:shd w:val="clear" w:color="auto" w:fill="CCECFF"/>
          </w:tcPr>
          <w:p>
            <w:pPr>
              <w:spacing w:after="0" w:line="156" w:lineRule="exact"/>
              <w:rPr>
                <w:sz w:val="20"/>
                <w:szCs w:val="20"/>
                <w:color w:val="auto"/>
              </w:rPr>
            </w:pPr>
            <w:r>
              <w:rPr>
                <w:rFonts w:ascii="Times New Roman" w:cs="Times New Roman" w:eastAsia="Times New Roman" w:hAnsi="Times New Roman"/>
                <w:sz w:val="13"/>
                <w:szCs w:val="13"/>
                <w:color w:val="auto"/>
              </w:rPr>
              <w:t xml:space="preserve">RAM Energy LLC </w:t>
            </w:r>
            <w:r>
              <w:rPr>
                <w:rFonts w:ascii="Times New Roman" w:cs="Times New Roman" w:eastAsia="Times New Roman" w:hAnsi="Times New Roman"/>
                <w:sz w:val="16"/>
                <w:szCs w:val="16"/>
                <w:color w:val="auto"/>
                <w:vertAlign w:val="superscript"/>
              </w:rPr>
              <w:t>(4)</w:t>
            </w:r>
          </w:p>
        </w:tc>
        <w:tc>
          <w:tcPr>
            <w:tcW w:w="80" w:type="dxa"/>
            <w:vAlign w:val="bottom"/>
            <w:shd w:val="clear" w:color="auto" w:fill="CCECFF"/>
          </w:tcPr>
          <w:p>
            <w:pPr>
              <w:spacing w:after="0"/>
              <w:rPr>
                <w:sz w:val="13"/>
                <w:szCs w:val="13"/>
                <w:color w:val="auto"/>
              </w:rPr>
            </w:pPr>
          </w:p>
        </w:tc>
        <w:tc>
          <w:tcPr>
            <w:tcW w:w="9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CFF"/>
          </w:tcPr>
          <w:p>
            <w:pPr>
              <w:spacing w:after="0"/>
              <w:rPr>
                <w:sz w:val="13"/>
                <w:szCs w:val="13"/>
                <w:color w:val="auto"/>
              </w:rPr>
            </w:pPr>
          </w:p>
        </w:tc>
        <w:tc>
          <w:tcPr>
            <w:tcW w:w="7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CECFF"/>
            </w:tcBorders>
            <w:shd w:val="clear" w:color="auto" w:fill="CCECFF"/>
          </w:tcPr>
          <w:p>
            <w:pPr>
              <w:spacing w:after="0"/>
              <w:rPr>
                <w:sz w:val="13"/>
                <w:szCs w:val="13"/>
                <w:color w:val="auto"/>
              </w:rPr>
            </w:pPr>
          </w:p>
        </w:tc>
        <w:tc>
          <w:tcPr>
            <w:tcW w:w="5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3"/>
                <w:szCs w:val="13"/>
                <w:color w:val="auto"/>
              </w:rPr>
            </w:pPr>
          </w:p>
        </w:tc>
        <w:tc>
          <w:tcPr>
            <w:tcW w:w="7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(795)</w:t>
            </w:r>
          </w:p>
        </w:tc>
        <w:tc>
          <w:tcPr>
            <w:tcW w:w="0" w:type="dxa"/>
            <w:vAlign w:val="bottom"/>
          </w:tcPr>
          <w:p>
            <w:pPr>
              <w:spacing w:after="0"/>
              <w:rPr>
                <w:sz w:val="1"/>
                <w:szCs w:val="1"/>
                <w:color w:val="auto"/>
              </w:rPr>
            </w:pPr>
          </w:p>
        </w:tc>
      </w:tr>
      <w:tr>
        <w:trPr>
          <w:trHeight w:val="156"/>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Controlled Affiliates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257,127</w:t>
            </w:r>
          </w:p>
        </w:tc>
        <w:tc>
          <w:tcPr>
            <w:tcW w:w="100" w:type="dxa"/>
            <w:vAlign w:val="bottom"/>
          </w:tcPr>
          <w:p>
            <w:pPr>
              <w:spacing w:after="0"/>
              <w:rPr>
                <w:sz w:val="13"/>
                <w:szCs w:val="13"/>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97,768</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(34,580)</w:t>
            </w:r>
          </w:p>
        </w:tc>
        <w:tc>
          <w:tcPr>
            <w:tcW w:w="38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63,989</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384,304</w:t>
            </w:r>
          </w:p>
        </w:tc>
        <w:tc>
          <w:tcPr>
            <w:tcW w:w="1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25,738</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21,605</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(34,999)</w:t>
            </w:r>
          </w:p>
        </w:tc>
        <w:tc>
          <w:tcPr>
            <w:tcW w:w="0" w:type="dxa"/>
            <w:vAlign w:val="bottom"/>
          </w:tcPr>
          <w:p>
            <w:pPr>
              <w:spacing w:after="0"/>
              <w:rPr>
                <w:sz w:val="1"/>
                <w:szCs w:val="1"/>
                <w:color w:val="auto"/>
              </w:rPr>
            </w:pPr>
          </w:p>
        </w:tc>
      </w:tr>
      <w:tr>
        <w:trPr>
          <w:trHeight w:val="156"/>
        </w:trPr>
        <w:tc>
          <w:tcPr>
            <w:tcW w:w="24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Non-Controlled Affiliates</w:t>
            </w:r>
          </w:p>
        </w:tc>
        <w:tc>
          <w:tcPr>
            <w:tcW w:w="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60" w:type="dxa"/>
            <w:vAlign w:val="bottom"/>
            <w:tcBorders>
              <w:right w:val="single" w:sz="8" w:color="CCECFF"/>
            </w:tcBorders>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Cascade Environmental Holdings, LLC</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32,105</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(2,843)</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29,262</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4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Walker Edison Furniture Company LLC</w:t>
            </w:r>
          </w:p>
        </w:tc>
        <w:tc>
          <w:tcPr>
            <w:tcW w:w="80" w:type="dxa"/>
            <w:vAlign w:val="bottom"/>
            <w:shd w:val="clear" w:color="auto" w:fill="CCECFF"/>
          </w:tcPr>
          <w:p>
            <w:pPr>
              <w:spacing w:after="0"/>
              <w:rPr>
                <w:sz w:val="13"/>
                <w:szCs w:val="13"/>
                <w:color w:val="auto"/>
              </w:rPr>
            </w:pPr>
          </w:p>
        </w:tc>
        <w:tc>
          <w:tcPr>
            <w:tcW w:w="9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13,907</w:t>
            </w: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3,012</w:t>
            </w: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(12,758)</w:t>
            </w:r>
          </w:p>
        </w:tc>
        <w:tc>
          <w:tcPr>
            <w:tcW w:w="16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4,161</w:t>
            </w:r>
          </w:p>
        </w:tc>
        <w:tc>
          <w:tcPr>
            <w:tcW w:w="100" w:type="dxa"/>
            <w:vAlign w:val="bottom"/>
            <w:shd w:val="clear" w:color="auto" w:fill="CCECFF"/>
          </w:tcPr>
          <w:p>
            <w:pPr>
              <w:spacing w:after="0"/>
              <w:rPr>
                <w:sz w:val="13"/>
                <w:szCs w:val="13"/>
                <w:color w:val="auto"/>
              </w:rPr>
            </w:pPr>
          </w:p>
        </w:tc>
        <w:tc>
          <w:tcPr>
            <w:tcW w:w="160" w:type="dxa"/>
            <w:vAlign w:val="bottom"/>
            <w:tcBorders>
              <w:right w:val="single" w:sz="8" w:color="CCECFF"/>
            </w:tcBorders>
            <w:shd w:val="clear" w:color="auto" w:fill="CCECFF"/>
          </w:tcPr>
          <w:p>
            <w:pPr>
              <w:spacing w:after="0"/>
              <w:rPr>
                <w:sz w:val="13"/>
                <w:szCs w:val="13"/>
                <w:color w:val="auto"/>
              </w:rPr>
            </w:pPr>
          </w:p>
        </w:tc>
        <w:tc>
          <w:tcPr>
            <w:tcW w:w="5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3"/>
                <w:szCs w:val="13"/>
                <w:color w:val="auto"/>
              </w:rPr>
            </w:pPr>
          </w:p>
        </w:tc>
        <w:tc>
          <w:tcPr>
            <w:tcW w:w="7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Total Non-Controlled Affiliates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46,012</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3,012</w:t>
            </w:r>
          </w:p>
        </w:tc>
        <w:tc>
          <w:tcPr>
            <w:tcW w:w="100" w:type="dxa"/>
            <w:vAlign w:val="bottom"/>
          </w:tcPr>
          <w:p>
            <w:pPr>
              <w:spacing w:after="0"/>
              <w:rPr>
                <w:sz w:val="13"/>
                <w:szCs w:val="13"/>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(15,601)</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33,423</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460" w:type="dxa"/>
            <w:vAlign w:val="bottom"/>
            <w:shd w:val="clear" w:color="auto" w:fill="CCECFF"/>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Total Controlled and</w:t>
            </w:r>
          </w:p>
        </w:tc>
        <w:tc>
          <w:tcPr>
            <w:tcW w:w="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303,139</w:t>
            </w:r>
          </w:p>
        </w:tc>
        <w:tc>
          <w:tcPr>
            <w:tcW w:w="100" w:type="dxa"/>
            <w:vAlign w:val="bottom"/>
            <w:shd w:val="clear" w:color="auto" w:fill="CCECFF"/>
          </w:tcPr>
          <w:p>
            <w:pPr>
              <w:spacing w:after="0"/>
              <w:rPr>
                <w:sz w:val="12"/>
                <w:szCs w:val="12"/>
                <w:color w:val="auto"/>
              </w:rPr>
            </w:pPr>
          </w:p>
        </w:tc>
        <w:tc>
          <w:tcPr>
            <w:tcW w:w="200" w:type="dxa"/>
            <w:vAlign w:val="bottom"/>
            <w:gridSpan w:val="2"/>
            <w:vMerge w:val="restart"/>
            <w:shd w:val="clear" w:color="auto" w:fill="CCECFF"/>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100,780</w:t>
            </w:r>
          </w:p>
        </w:tc>
        <w:tc>
          <w:tcPr>
            <w:tcW w:w="100" w:type="dxa"/>
            <w:vAlign w:val="bottom"/>
            <w:shd w:val="clear" w:color="auto" w:fill="CCECFF"/>
          </w:tcPr>
          <w:p>
            <w:pPr>
              <w:spacing w:after="0"/>
              <w:rPr>
                <w:sz w:val="12"/>
                <w:szCs w:val="12"/>
                <w:color w:val="auto"/>
              </w:rPr>
            </w:pPr>
          </w:p>
        </w:tc>
        <w:tc>
          <w:tcPr>
            <w:tcW w:w="220" w:type="dxa"/>
            <w:vAlign w:val="bottom"/>
            <w:gridSpan w:val="2"/>
            <w:vMerge w:val="restart"/>
            <w:shd w:val="clear" w:color="auto" w:fill="CCECFF"/>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vMerge w:val="restart"/>
            <w:shd w:val="clear" w:color="auto" w:fill="CCECFF"/>
          </w:tcPr>
          <w:p>
            <w:pPr>
              <w:jc w:val="right"/>
              <w:ind w:right="60"/>
              <w:spacing w:after="0" w:line="256" w:lineRule="exact"/>
              <w:rPr>
                <w:sz w:val="20"/>
                <w:szCs w:val="20"/>
                <w:color w:val="auto"/>
              </w:rPr>
            </w:pPr>
            <w:r>
              <w:rPr>
                <w:rFonts w:ascii="Times New Roman" w:cs="Times New Roman" w:eastAsia="Times New Roman" w:hAnsi="Times New Roman"/>
                <w:sz w:val="13"/>
                <w:szCs w:val="13"/>
                <w:b w:val="1"/>
                <w:bCs w:val="1"/>
                <w:color w:val="auto"/>
              </w:rPr>
              <w:t>(34,580</w:t>
            </w:r>
            <w:r>
              <w:rPr>
                <w:rFonts w:ascii="Times New Roman" w:cs="Times New Roman" w:eastAsia="Times New Roman" w:hAnsi="Times New Roman"/>
                <w:sz w:val="26"/>
                <w:szCs w:val="26"/>
                <w:b w:val="1"/>
                <w:bCs w:val="1"/>
                <w:color w:val="auto"/>
                <w:vertAlign w:val="subscript"/>
              </w:rPr>
              <w:t>)</w:t>
            </w:r>
          </w:p>
        </w:tc>
        <w:tc>
          <w:tcPr>
            <w:tcW w:w="380" w:type="dxa"/>
            <w:vAlign w:val="bottom"/>
            <w:gridSpan w:val="2"/>
            <w:vMerge w:val="restart"/>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gridSpan w:val="2"/>
            <w:vMerge w:val="restart"/>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48,388</w:t>
            </w:r>
          </w:p>
        </w:tc>
        <w:tc>
          <w:tcPr>
            <w:tcW w:w="16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417,727</w:t>
            </w:r>
          </w:p>
        </w:tc>
        <w:tc>
          <w:tcPr>
            <w:tcW w:w="100" w:type="dxa"/>
            <w:vAlign w:val="bottom"/>
            <w:shd w:val="clear" w:color="auto" w:fill="CCECFF"/>
          </w:tcPr>
          <w:p>
            <w:pPr>
              <w:spacing w:after="0"/>
              <w:rPr>
                <w:sz w:val="12"/>
                <w:szCs w:val="12"/>
                <w:color w:val="auto"/>
              </w:rPr>
            </w:pPr>
          </w:p>
        </w:tc>
        <w:tc>
          <w:tcPr>
            <w:tcW w:w="160" w:type="dxa"/>
            <w:vAlign w:val="bottom"/>
            <w:tcBorders>
              <w:right w:val="single" w:sz="8" w:color="CCECFF"/>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2"/>
            <w:vMerge w:val="restart"/>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25,738</w:t>
            </w:r>
          </w:p>
        </w:tc>
        <w:tc>
          <w:tcPr>
            <w:tcW w:w="200" w:type="dxa"/>
            <w:vAlign w:val="bottom"/>
            <w:gridSpan w:val="2"/>
            <w:vMerge w:val="restart"/>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4,431</w:t>
            </w:r>
          </w:p>
        </w:tc>
        <w:tc>
          <w:tcPr>
            <w:tcW w:w="26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vMerge w:val="restart"/>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21,605</w:t>
            </w:r>
          </w:p>
        </w:tc>
        <w:tc>
          <w:tcPr>
            <w:tcW w:w="10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vMerge w:val="restart"/>
            <w:shd w:val="clear" w:color="auto" w:fill="CCECFF"/>
          </w:tcPr>
          <w:p>
            <w:pPr>
              <w:jc w:val="right"/>
              <w:ind w:right="60"/>
              <w:spacing w:after="0" w:line="256" w:lineRule="exact"/>
              <w:rPr>
                <w:sz w:val="20"/>
                <w:szCs w:val="20"/>
                <w:color w:val="auto"/>
              </w:rPr>
            </w:pPr>
            <w:r>
              <w:rPr>
                <w:rFonts w:ascii="Times New Roman" w:cs="Times New Roman" w:eastAsia="Times New Roman" w:hAnsi="Times New Roman"/>
                <w:sz w:val="13"/>
                <w:szCs w:val="13"/>
                <w:b w:val="1"/>
                <w:bCs w:val="1"/>
                <w:color w:val="auto"/>
              </w:rPr>
              <w:t>(34,999</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154"/>
        </w:trPr>
        <w:tc>
          <w:tcPr>
            <w:tcW w:w="2460" w:type="dxa"/>
            <w:vAlign w:val="bottom"/>
            <w:shd w:val="clear" w:color="auto" w:fill="CCECFF"/>
          </w:tcPr>
          <w:p>
            <w:pPr>
              <w:ind w:left="100"/>
              <w:spacing w:after="0" w:line="114" w:lineRule="exact"/>
              <w:rPr>
                <w:sz w:val="20"/>
                <w:szCs w:val="20"/>
                <w:color w:val="auto"/>
              </w:rPr>
            </w:pPr>
            <w:r>
              <w:rPr>
                <w:rFonts w:ascii="Times New Roman" w:cs="Times New Roman" w:eastAsia="Times New Roman" w:hAnsi="Times New Roman"/>
                <w:sz w:val="13"/>
                <w:szCs w:val="13"/>
                <w:b w:val="1"/>
                <w:bCs w:val="1"/>
                <w:color w:val="auto"/>
              </w:rPr>
              <w:t>Non-Controlled Affiliates</w:t>
            </w:r>
          </w:p>
        </w:tc>
        <w:tc>
          <w:tcPr>
            <w:tcW w:w="80" w:type="dxa"/>
            <w:vAlign w:val="bottom"/>
            <w:vMerge w:val="continue"/>
            <w:shd w:val="clear" w:color="auto" w:fill="CCECFF"/>
          </w:tcPr>
          <w:p>
            <w:pPr>
              <w:spacing w:after="0"/>
              <w:rPr>
                <w:sz w:val="13"/>
                <w:szCs w:val="13"/>
                <w:color w:val="auto"/>
              </w:rPr>
            </w:pPr>
          </w:p>
        </w:tc>
        <w:tc>
          <w:tcPr>
            <w:tcW w:w="840" w:type="dxa"/>
            <w:vAlign w:val="bottom"/>
            <w:vMerge w:val="continue"/>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00" w:type="dxa"/>
            <w:vAlign w:val="bottom"/>
            <w:gridSpan w:val="2"/>
            <w:vMerge w:val="continue"/>
            <w:shd w:val="clear" w:color="auto" w:fill="CCECFF"/>
          </w:tcPr>
          <w:p>
            <w:pPr>
              <w:spacing w:after="0"/>
              <w:rPr>
                <w:sz w:val="13"/>
                <w:szCs w:val="13"/>
                <w:color w:val="auto"/>
              </w:rPr>
            </w:pPr>
          </w:p>
        </w:tc>
        <w:tc>
          <w:tcPr>
            <w:tcW w:w="520" w:type="dxa"/>
            <w:vAlign w:val="bottom"/>
            <w:vMerge w:val="continue"/>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20" w:type="dxa"/>
            <w:vAlign w:val="bottom"/>
            <w:gridSpan w:val="2"/>
            <w:vMerge w:val="continue"/>
            <w:shd w:val="clear" w:color="auto" w:fill="CCECFF"/>
          </w:tcPr>
          <w:p>
            <w:pPr>
              <w:spacing w:after="0"/>
              <w:rPr>
                <w:sz w:val="13"/>
                <w:szCs w:val="13"/>
                <w:color w:val="auto"/>
              </w:rPr>
            </w:pPr>
          </w:p>
        </w:tc>
        <w:tc>
          <w:tcPr>
            <w:tcW w:w="640" w:type="dxa"/>
            <w:vAlign w:val="bottom"/>
            <w:gridSpan w:val="2"/>
            <w:vMerge w:val="continue"/>
            <w:shd w:val="clear" w:color="auto" w:fill="CCECFF"/>
          </w:tcPr>
          <w:p>
            <w:pPr>
              <w:spacing w:after="0"/>
              <w:rPr>
                <w:sz w:val="13"/>
                <w:szCs w:val="13"/>
                <w:color w:val="auto"/>
              </w:rPr>
            </w:pPr>
          </w:p>
        </w:tc>
        <w:tc>
          <w:tcPr>
            <w:tcW w:w="380" w:type="dxa"/>
            <w:vAlign w:val="bottom"/>
            <w:gridSpan w:val="2"/>
            <w:vMerge w:val="continue"/>
            <w:shd w:val="clear" w:color="auto" w:fill="CCECFF"/>
          </w:tcPr>
          <w:p>
            <w:pPr>
              <w:spacing w:after="0"/>
              <w:rPr>
                <w:sz w:val="13"/>
                <w:szCs w:val="13"/>
                <w:color w:val="auto"/>
              </w:rPr>
            </w:pPr>
          </w:p>
        </w:tc>
        <w:tc>
          <w:tcPr>
            <w:tcW w:w="820" w:type="dxa"/>
            <w:vAlign w:val="bottom"/>
            <w:gridSpan w:val="2"/>
            <w:vMerge w:val="continue"/>
            <w:shd w:val="clear" w:color="auto" w:fill="CCECFF"/>
          </w:tcPr>
          <w:p>
            <w:pPr>
              <w:spacing w:after="0"/>
              <w:rPr>
                <w:sz w:val="13"/>
                <w:szCs w:val="13"/>
                <w:color w:val="auto"/>
              </w:rPr>
            </w:pPr>
          </w:p>
        </w:tc>
        <w:tc>
          <w:tcPr>
            <w:tcW w:w="160" w:type="dxa"/>
            <w:vAlign w:val="bottom"/>
            <w:vMerge w:val="continue"/>
            <w:shd w:val="clear" w:color="auto" w:fill="CCECFF"/>
          </w:tcPr>
          <w:p>
            <w:pPr>
              <w:spacing w:after="0"/>
              <w:rPr>
                <w:sz w:val="13"/>
                <w:szCs w:val="13"/>
                <w:color w:val="auto"/>
              </w:rPr>
            </w:pPr>
          </w:p>
        </w:tc>
        <w:tc>
          <w:tcPr>
            <w:tcW w:w="660" w:type="dxa"/>
            <w:vAlign w:val="bottom"/>
            <w:vMerge w:val="continue"/>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60" w:type="dxa"/>
            <w:vAlign w:val="bottom"/>
            <w:tcBorders>
              <w:right w:val="single" w:sz="8" w:color="CCECFF"/>
            </w:tcBorders>
            <w:vMerge w:val="continue"/>
            <w:shd w:val="clear" w:color="auto" w:fill="CCECFF"/>
          </w:tcPr>
          <w:p>
            <w:pPr>
              <w:spacing w:after="0"/>
              <w:rPr>
                <w:sz w:val="13"/>
                <w:szCs w:val="13"/>
                <w:color w:val="auto"/>
              </w:rPr>
            </w:pPr>
          </w:p>
        </w:tc>
        <w:tc>
          <w:tcPr>
            <w:tcW w:w="580" w:type="dxa"/>
            <w:vAlign w:val="bottom"/>
            <w:gridSpan w:val="2"/>
            <w:vMerge w:val="continue"/>
            <w:shd w:val="clear" w:color="auto" w:fill="CCECFF"/>
          </w:tcPr>
          <w:p>
            <w:pPr>
              <w:spacing w:after="0"/>
              <w:rPr>
                <w:sz w:val="13"/>
                <w:szCs w:val="13"/>
                <w:color w:val="auto"/>
              </w:rPr>
            </w:pPr>
          </w:p>
        </w:tc>
        <w:tc>
          <w:tcPr>
            <w:tcW w:w="200" w:type="dxa"/>
            <w:vAlign w:val="bottom"/>
            <w:gridSpan w:val="2"/>
            <w:vMerge w:val="continue"/>
            <w:shd w:val="clear" w:color="auto" w:fill="CCECFF"/>
          </w:tcPr>
          <w:p>
            <w:pPr>
              <w:spacing w:after="0"/>
              <w:rPr>
                <w:sz w:val="13"/>
                <w:szCs w:val="13"/>
                <w:color w:val="auto"/>
              </w:rPr>
            </w:pPr>
          </w:p>
        </w:tc>
        <w:tc>
          <w:tcPr>
            <w:tcW w:w="580" w:type="dxa"/>
            <w:vAlign w:val="bottom"/>
            <w:vMerge w:val="continue"/>
            <w:shd w:val="clear" w:color="auto" w:fill="CCECFF"/>
          </w:tcPr>
          <w:p>
            <w:pPr>
              <w:spacing w:after="0"/>
              <w:rPr>
                <w:sz w:val="13"/>
                <w:szCs w:val="13"/>
                <w:color w:val="auto"/>
              </w:rPr>
            </w:pPr>
          </w:p>
        </w:tc>
        <w:tc>
          <w:tcPr>
            <w:tcW w:w="260" w:type="dxa"/>
            <w:vAlign w:val="bottom"/>
            <w:gridSpan w:val="2"/>
            <w:vMerge w:val="continue"/>
            <w:shd w:val="clear" w:color="auto" w:fill="CCECFF"/>
          </w:tcPr>
          <w:p>
            <w:pPr>
              <w:spacing w:after="0"/>
              <w:rPr>
                <w:sz w:val="13"/>
                <w:szCs w:val="13"/>
                <w:color w:val="auto"/>
              </w:rPr>
            </w:pPr>
          </w:p>
        </w:tc>
        <w:tc>
          <w:tcPr>
            <w:tcW w:w="680" w:type="dxa"/>
            <w:vAlign w:val="bottom"/>
            <w:gridSpan w:val="2"/>
            <w:vMerge w:val="continue"/>
            <w:shd w:val="clear" w:color="auto" w:fill="CCECFF"/>
          </w:tcPr>
          <w:p>
            <w:pPr>
              <w:spacing w:after="0"/>
              <w:rPr>
                <w:sz w:val="13"/>
                <w:szCs w:val="13"/>
                <w:color w:val="auto"/>
              </w:rPr>
            </w:pPr>
          </w:p>
        </w:tc>
        <w:tc>
          <w:tcPr>
            <w:tcW w:w="100" w:type="dxa"/>
            <w:vAlign w:val="bottom"/>
            <w:vMerge w:val="continue"/>
            <w:shd w:val="clear" w:color="auto" w:fill="CCECFF"/>
          </w:tcPr>
          <w:p>
            <w:pPr>
              <w:spacing w:after="0"/>
              <w:rPr>
                <w:sz w:val="13"/>
                <w:szCs w:val="13"/>
                <w:color w:val="auto"/>
              </w:rPr>
            </w:pPr>
          </w:p>
        </w:tc>
        <w:tc>
          <w:tcPr>
            <w:tcW w:w="720" w:type="dxa"/>
            <w:vAlign w:val="bottom"/>
            <w:gridSpan w:val="2"/>
            <w:vMerge w:val="continue"/>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CCECFF"/>
              <w:right w:val="single" w:sz="8" w:color="auto"/>
            </w:tcBorders>
            <w:shd w:val="clear" w:color="auto" w:fill="CCEC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1"/>
          <w:szCs w:val="11"/>
          <w:color w:val="auto"/>
        </w:rPr>
        <w:t>Includes PIK.</w:t>
      </w:r>
    </w:p>
    <w:p>
      <w:pPr>
        <w:ind w:left="360"/>
        <w:spacing w:after="0" w:line="202" w:lineRule="auto"/>
        <w:rPr>
          <w:sz w:val="20"/>
          <w:szCs w:val="20"/>
          <w:color w:val="auto"/>
        </w:rPr>
      </w:pP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1"/>
          <w:szCs w:val="11"/>
          <w:color w:val="auto"/>
        </w:rPr>
        <w:t>JF Intermediate, LLC became a controlled affiliate during the quarter ended December 31, 2023</w:t>
      </w:r>
    </w:p>
    <w:p>
      <w:pPr>
        <w:spacing w:after="0" w:line="1" w:lineRule="exact"/>
        <w:rPr>
          <w:sz w:val="20"/>
          <w:szCs w:val="20"/>
          <w:color w:val="auto"/>
        </w:rPr>
      </w:pPr>
    </w:p>
    <w:p>
      <w:pPr>
        <w:ind w:left="360" w:right="140"/>
        <w:spacing w:after="0" w:line="213" w:lineRule="auto"/>
        <w:rPr>
          <w:sz w:val="20"/>
          <w:szCs w:val="20"/>
          <w:color w:val="auto"/>
        </w:rPr>
      </w:pPr>
      <w:r>
        <w:rPr>
          <w:rFonts w:ascii="Times New Roman" w:cs="Times New Roman" w:eastAsia="Times New Roman" w:hAnsi="Times New Roman"/>
          <w:sz w:val="21"/>
          <w:szCs w:val="21"/>
          <w:b w:val="1"/>
          <w:bCs w:val="1"/>
          <w:color w:val="auto"/>
          <w:vertAlign w:val="superscript"/>
        </w:rPr>
        <w:t>(3)</w:t>
      </w:r>
      <w:r>
        <w:rPr>
          <w:rFonts w:ascii="Times New Roman" w:cs="Times New Roman" w:eastAsia="Times New Roman" w:hAnsi="Times New Roman"/>
          <w:sz w:val="11"/>
          <w:szCs w:val="11"/>
          <w:color w:val="auto"/>
        </w:rPr>
        <w:t>We and Pantheon are the members of PSLF, a joint venture formed as a Delaware limited liability company that is not consolidated by us for financial reporting purposes. The members of PSLF make investments in the PSLF in the form of subordinated debt and equity interests, and all portfolio and other material decision regarding PSLF must be submitted to PSFL’s board of directors or investment committee, both of which are comprised of two members appointed by each of us and Pantheon. Because management of PSLF is shared equally between us and Pantheon, we do not believe we control PSLF for purposes of the 1940 Act or otherwise.</w:t>
      </w:r>
    </w:p>
    <w:p>
      <w:pPr>
        <w:ind w:left="360"/>
        <w:spacing w:after="0" w:line="231" w:lineRule="auto"/>
        <w:rPr>
          <w:sz w:val="20"/>
          <w:szCs w:val="20"/>
          <w:color w:val="auto"/>
        </w:rPr>
      </w:pPr>
      <w:r>
        <w:rPr>
          <w:rFonts w:ascii="Times New Roman" w:cs="Times New Roman" w:eastAsia="Times New Roman" w:hAnsi="Times New Roman"/>
          <w:sz w:val="21"/>
          <w:szCs w:val="21"/>
          <w:b w:val="1"/>
          <w:bCs w:val="1"/>
          <w:color w:val="auto"/>
          <w:vertAlign w:val="superscript"/>
        </w:rPr>
        <w:t>(4)</w:t>
      </w:r>
      <w:r>
        <w:rPr>
          <w:rFonts w:ascii="Times New Roman" w:cs="Times New Roman" w:eastAsia="Times New Roman" w:hAnsi="Times New Roman"/>
          <w:sz w:val="11"/>
          <w:szCs w:val="11"/>
          <w:color w:val="auto"/>
        </w:rPr>
        <w:t>RAM Energy LLC was fully realized in January 2023, during the quarter ended June 30, 2024 there was realized loss due to reduction of the escrow receivable.</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b w:val="1"/>
          <w:bCs w:val="1"/>
          <w:color w:val="auto"/>
          <w:vertAlign w:val="superscript"/>
        </w:rPr>
        <w:t>(5)</w:t>
      </w:r>
      <w:r>
        <w:rPr>
          <w:rFonts w:ascii="Times New Roman" w:cs="Times New Roman" w:eastAsia="Times New Roman" w:hAnsi="Times New Roman"/>
          <w:sz w:val="11"/>
          <w:szCs w:val="11"/>
          <w:color w:val="auto"/>
        </w:rPr>
        <w:t>Flock Financial, LLC became a controlled affiliate during the quarter ended June 30, 2024.</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7. CHANGE IN NET ASSETS FROM OPERATIONS PER COMMON SHARE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following information sets forth the computation of basic and diluted per share net increase in net assets resulting from operations ($ 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5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Pr>
          <w:p>
            <w:pPr>
              <w:spacing w:after="0"/>
              <w:rPr>
                <w:sz w:val="14"/>
                <w:szCs w:val="14"/>
                <w:color w:val="auto"/>
              </w:rPr>
            </w:pPr>
          </w:p>
        </w:tc>
        <w:tc>
          <w:tcPr>
            <w:tcW w:w="1200" w:type="dxa"/>
            <w:vAlign w:val="bottom"/>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340" w:type="dxa"/>
            <w:vAlign w:val="bottom"/>
          </w:tcPr>
          <w:p>
            <w:pPr>
              <w:spacing w:after="0"/>
              <w:rPr>
                <w:sz w:val="14"/>
                <w:szCs w:val="14"/>
                <w:color w:val="auto"/>
              </w:rPr>
            </w:pPr>
          </w:p>
        </w:tc>
        <w:tc>
          <w:tcPr>
            <w:tcW w:w="110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6"/>
        </w:trPr>
        <w:tc>
          <w:tcPr>
            <w:tcW w:w="54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Numerator for net increase (decrease) in net assets resulting from operations</w:t>
            </w:r>
          </w:p>
        </w:tc>
        <w:tc>
          <w:tcPr>
            <w:tcW w:w="98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32,726</w:t>
            </w:r>
          </w:p>
        </w:tc>
        <w:tc>
          <w:tcPr>
            <w:tcW w:w="48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48,851</w:t>
            </w:r>
          </w:p>
        </w:tc>
        <w:tc>
          <w:tcPr>
            <w:tcW w:w="34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(33,807)</w:t>
            </w:r>
          </w:p>
        </w:tc>
      </w:tr>
      <w:tr>
        <w:trPr>
          <w:trHeight w:val="156"/>
        </w:trPr>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Denominator for basic and diluted weighted average shares</w:t>
            </w:r>
          </w:p>
        </w:tc>
        <w:tc>
          <w:tcPr>
            <w:tcW w:w="9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65,296,094</w:t>
            </w:r>
          </w:p>
        </w:tc>
        <w:tc>
          <w:tcPr>
            <w:tcW w:w="480" w:type="dxa"/>
            <w:vAlign w:val="bottom"/>
          </w:tcPr>
          <w:p>
            <w:pPr>
              <w:spacing w:after="0"/>
              <w:rPr>
                <w:sz w:val="13"/>
                <w:szCs w:val="13"/>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65,246,011</w:t>
            </w:r>
          </w:p>
        </w:tc>
        <w:tc>
          <w:tcPr>
            <w:tcW w:w="340" w:type="dxa"/>
            <w:vAlign w:val="bottom"/>
          </w:tcPr>
          <w:p>
            <w:pPr>
              <w:spacing w:after="0"/>
              <w:rPr>
                <w:sz w:val="13"/>
                <w:szCs w:val="13"/>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65,224,500</w:t>
            </w:r>
          </w:p>
        </w:tc>
      </w:tr>
      <w:tr>
        <w:trPr>
          <w:trHeight w:val="156"/>
        </w:trPr>
        <w:tc>
          <w:tcPr>
            <w:tcW w:w="54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Basic and diluted net increase (decrease) in net assets per share resulting from operations</w:t>
            </w:r>
          </w:p>
        </w:tc>
        <w:tc>
          <w:tcPr>
            <w:tcW w:w="98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0.50</w:t>
            </w:r>
          </w:p>
        </w:tc>
        <w:tc>
          <w:tcPr>
            <w:tcW w:w="48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0.75</w:t>
            </w:r>
          </w:p>
        </w:tc>
        <w:tc>
          <w:tcPr>
            <w:tcW w:w="34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(0.52)</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8. TAXES AND DISTRIBUTIONS</w:t>
      </w:r>
    </w:p>
    <w:p>
      <w:pPr>
        <w:spacing w:after="0" w:line="129"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Distributions from net investment income and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 -capital,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 of September 30, 2025 and 2024, the cost of investments for federal income tax purposes approximates the amortized cost reported in the Consolidated Schedule of Investments.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following amounts were reclassified for tax purposes ($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0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4000" w:type="dxa"/>
            <w:vAlign w:val="bottom"/>
          </w:tcPr>
          <w:p>
            <w:pPr>
              <w:spacing w:after="0"/>
              <w:rPr>
                <w:sz w:val="14"/>
                <w:szCs w:val="14"/>
                <w:color w:val="auto"/>
              </w:rPr>
            </w:pPr>
          </w:p>
        </w:tc>
        <w:tc>
          <w:tcPr>
            <w:tcW w:w="296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340" w:type="dxa"/>
            <w:vAlign w:val="bottom"/>
          </w:tcPr>
          <w:p>
            <w:pPr>
              <w:spacing w:after="0"/>
              <w:rPr>
                <w:sz w:val="14"/>
                <w:szCs w:val="14"/>
                <w:color w:val="auto"/>
              </w:rPr>
            </w:pPr>
          </w:p>
        </w:tc>
        <w:tc>
          <w:tcPr>
            <w:tcW w:w="110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6"/>
        </w:trPr>
        <w:tc>
          <w:tcPr>
            <w:tcW w:w="40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Increase (Decrease) in paid-in capital</w:t>
            </w:r>
          </w:p>
        </w:tc>
        <w:tc>
          <w:tcPr>
            <w:tcW w:w="2960" w:type="dxa"/>
            <w:vAlign w:val="bottom"/>
            <w:shd w:val="clear" w:color="auto" w:fill="CCECFF"/>
          </w:tcPr>
          <w:p>
            <w:pPr>
              <w:jc w:val="right"/>
              <w:ind w:right="734"/>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(3,462)</w:t>
            </w:r>
          </w:p>
        </w:tc>
        <w:tc>
          <w:tcPr>
            <w:tcW w:w="46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(2,800)</w:t>
            </w:r>
          </w:p>
        </w:tc>
        <w:tc>
          <w:tcPr>
            <w:tcW w:w="34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(1,703)</w:t>
            </w:r>
          </w:p>
        </w:tc>
      </w:tr>
      <w:tr>
        <w:trPr>
          <w:trHeight w:val="156"/>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Increase (Decrease) in accumulated net realized gain</w:t>
            </w:r>
          </w:p>
        </w:tc>
        <w:tc>
          <w:tcPr>
            <w:tcW w:w="2960" w:type="dxa"/>
            <w:vAlign w:val="bottom"/>
          </w:tcPr>
          <w:p>
            <w:pPr>
              <w:spacing w:after="0"/>
              <w:rPr>
                <w:sz w:val="13"/>
                <w:szCs w:val="13"/>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68</w:t>
            </w:r>
          </w:p>
        </w:tc>
        <w:tc>
          <w:tcPr>
            <w:tcW w:w="460" w:type="dxa"/>
            <w:vAlign w:val="bottom"/>
          </w:tcPr>
          <w:p>
            <w:pPr>
              <w:spacing w:after="0"/>
              <w:rPr>
                <w:sz w:val="13"/>
                <w:szCs w:val="13"/>
                <w:color w:val="auto"/>
              </w:rPr>
            </w:pPr>
          </w:p>
        </w:tc>
        <w:tc>
          <w:tcPr>
            <w:tcW w:w="12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(11,993)</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(1,494)</w:t>
            </w:r>
          </w:p>
        </w:tc>
      </w:tr>
      <w:tr>
        <w:trPr>
          <w:trHeight w:val="156"/>
        </w:trPr>
        <w:tc>
          <w:tcPr>
            <w:tcW w:w="40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Increase in undistributed net investment income</w:t>
            </w:r>
          </w:p>
        </w:tc>
        <w:tc>
          <w:tcPr>
            <w:tcW w:w="2960" w:type="dxa"/>
            <w:vAlign w:val="bottom"/>
            <w:shd w:val="clear" w:color="auto" w:fill="CCECFF"/>
          </w:tcPr>
          <w:p>
            <w:pPr>
              <w:spacing w:after="0"/>
              <w:rPr>
                <w:sz w:val="13"/>
                <w:szCs w:val="13"/>
                <w:color w:val="auto"/>
              </w:rPr>
            </w:pPr>
          </w:p>
        </w:tc>
        <w:tc>
          <w:tcPr>
            <w:tcW w:w="50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3,394</w:t>
            </w:r>
          </w:p>
        </w:tc>
        <w:tc>
          <w:tcPr>
            <w:tcW w:w="460" w:type="dxa"/>
            <w:vAlign w:val="bottom"/>
            <w:shd w:val="clear" w:color="auto" w:fill="CCECFF"/>
          </w:tcPr>
          <w:p>
            <w:pPr>
              <w:spacing w:after="0"/>
              <w:rPr>
                <w:sz w:val="13"/>
                <w:szCs w:val="13"/>
                <w:color w:val="auto"/>
              </w:rPr>
            </w:pPr>
          </w:p>
        </w:tc>
        <w:tc>
          <w:tcPr>
            <w:tcW w:w="120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14,793</w:t>
            </w:r>
          </w:p>
        </w:tc>
        <w:tc>
          <w:tcPr>
            <w:tcW w:w="340" w:type="dxa"/>
            <w:vAlign w:val="bottom"/>
            <w:shd w:val="clear" w:color="auto" w:fill="CCECFF"/>
          </w:tcPr>
          <w:p>
            <w:pPr>
              <w:spacing w:after="0"/>
              <w:rPr>
                <w:sz w:val="13"/>
                <w:szCs w:val="13"/>
                <w:color w:val="auto"/>
              </w:rPr>
            </w:pPr>
          </w:p>
        </w:tc>
        <w:tc>
          <w:tcPr>
            <w:tcW w:w="110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3,197</w:t>
            </w:r>
          </w:p>
        </w:tc>
      </w:tr>
      <w:tr>
        <w:trPr>
          <w:trHeight w:val="532"/>
        </w:trPr>
        <w:tc>
          <w:tcPr>
            <w:tcW w:w="4000" w:type="dxa"/>
            <w:vAlign w:val="bottom"/>
          </w:tcPr>
          <w:p>
            <w:pPr>
              <w:spacing w:after="0"/>
              <w:rPr>
                <w:sz w:val="24"/>
                <w:szCs w:val="24"/>
                <w:color w:val="auto"/>
              </w:rPr>
            </w:pPr>
          </w:p>
        </w:tc>
        <w:tc>
          <w:tcPr>
            <w:tcW w:w="2960" w:type="dxa"/>
            <w:vAlign w:val="bottom"/>
          </w:tcPr>
          <w:p>
            <w:pPr>
              <w:jc w:val="right"/>
              <w:ind w:right="1534"/>
              <w:spacing w:after="0"/>
              <w:rPr>
                <w:sz w:val="20"/>
                <w:szCs w:val="20"/>
                <w:color w:val="auto"/>
              </w:rPr>
            </w:pPr>
            <w:r>
              <w:rPr>
                <w:rFonts w:ascii="Times New Roman" w:cs="Times New Roman" w:eastAsia="Times New Roman" w:hAnsi="Times New Roman"/>
                <w:sz w:val="13"/>
                <w:szCs w:val="13"/>
                <w:color w:val="auto"/>
              </w:rPr>
              <w:t>49</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80"/>
        </w:trPr>
        <w:tc>
          <w:tcPr>
            <w:tcW w:w="4000" w:type="dxa"/>
            <w:vAlign w:val="bottom"/>
            <w:tcBorders>
              <w:bottom w:val="single" w:sz="8" w:color="EEEEEE"/>
            </w:tcBorders>
          </w:tcPr>
          <w:p>
            <w:pPr>
              <w:spacing w:after="0"/>
              <w:rPr>
                <w:sz w:val="24"/>
                <w:szCs w:val="24"/>
                <w:color w:val="auto"/>
              </w:rPr>
            </w:pPr>
          </w:p>
        </w:tc>
        <w:tc>
          <w:tcPr>
            <w:tcW w:w="296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120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2" w:right="640"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80" w:type="dxa"/>
            <w:vAlign w:val="bottom"/>
            <w:gridSpan w:val="8"/>
          </w:tcPr>
          <w:p>
            <w:pPr>
              <w:ind w:left="420"/>
              <w:spacing w:after="0"/>
              <w:rPr>
                <w:sz w:val="20"/>
                <w:szCs w:val="20"/>
                <w:color w:val="auto"/>
              </w:rPr>
            </w:pPr>
            <w:r>
              <w:rPr>
                <w:rFonts w:ascii="Times New Roman" w:cs="Times New Roman" w:eastAsia="Times New Roman" w:hAnsi="Times New Roman"/>
                <w:sz w:val="13"/>
                <w:szCs w:val="13"/>
                <w:color w:val="auto"/>
              </w:rPr>
              <w:t>The following reconciles net (decrease) increase in net assets resulting from operations to taxable income ($ in thousands):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gridSpan w:val="8"/>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820" w:type="dxa"/>
            <w:vAlign w:val="bottom"/>
          </w:tcPr>
          <w:p>
            <w:pPr>
              <w:spacing w:after="0"/>
              <w:rPr>
                <w:sz w:val="14"/>
                <w:szCs w:val="14"/>
                <w:color w:val="auto"/>
              </w:rPr>
            </w:pPr>
          </w:p>
        </w:tc>
        <w:tc>
          <w:tcPr>
            <w:tcW w:w="174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51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495"/>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1280" w:type="dxa"/>
            <w:vAlign w:val="bottom"/>
            <w:gridSpan w:val="3"/>
            <w:shd w:val="clear" w:color="auto" w:fill="CCEC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CFF"/>
          </w:tcPr>
          <w:p>
            <w:pPr>
              <w:spacing w:after="0"/>
              <w:rPr>
                <w:sz w:val="13"/>
                <w:szCs w:val="13"/>
                <w:color w:val="auto"/>
              </w:rPr>
            </w:pPr>
          </w:p>
        </w:tc>
        <w:tc>
          <w:tcPr>
            <w:tcW w:w="5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32,725</w:t>
            </w:r>
          </w:p>
        </w:tc>
        <w:tc>
          <w:tcPr>
            <w:tcW w:w="60" w:type="dxa"/>
            <w:vAlign w:val="bottom"/>
            <w:shd w:val="clear" w:color="auto" w:fill="CCECFF"/>
          </w:tcPr>
          <w:p>
            <w:pPr>
              <w:spacing w:after="0"/>
              <w:rPr>
                <w:sz w:val="13"/>
                <w:szCs w:val="13"/>
                <w:color w:val="auto"/>
              </w:rPr>
            </w:pPr>
          </w:p>
        </w:tc>
        <w:tc>
          <w:tcPr>
            <w:tcW w:w="2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48,852</w:t>
            </w:r>
          </w:p>
        </w:tc>
        <w:tc>
          <w:tcPr>
            <w:tcW w:w="60" w:type="dxa"/>
            <w:vAlign w:val="bottom"/>
            <w:shd w:val="clear" w:color="auto" w:fill="CCECFF"/>
          </w:tcPr>
          <w:p>
            <w:pPr>
              <w:spacing w:after="0"/>
              <w:rPr>
                <w:sz w:val="13"/>
                <w:szCs w:val="13"/>
                <w:color w:val="auto"/>
              </w:rPr>
            </w:pPr>
          </w:p>
        </w:tc>
        <w:tc>
          <w:tcPr>
            <w:tcW w:w="1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3"/>
                <w:szCs w:val="13"/>
                <w:color w:val="auto"/>
              </w:rPr>
            </w:pPr>
          </w:p>
        </w:tc>
        <w:tc>
          <w:tcPr>
            <w:tcW w:w="114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(33,807)</w:t>
            </w:r>
          </w:p>
        </w:tc>
        <w:tc>
          <w:tcPr>
            <w:tcW w:w="0" w:type="dxa"/>
            <w:vAlign w:val="bottom"/>
          </w:tcPr>
          <w:p>
            <w:pPr>
              <w:spacing w:after="0"/>
              <w:rPr>
                <w:sz w:val="1"/>
                <w:szCs w:val="1"/>
                <w:color w:val="auto"/>
              </w:rPr>
            </w:pPr>
          </w:p>
        </w:tc>
      </w:tr>
      <w:tr>
        <w:trPr>
          <w:trHeight w:val="156"/>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52,434</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33,646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156,757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 and debt</w:t>
            </w:r>
          </w:p>
        </w:tc>
        <w:tc>
          <w:tcPr>
            <w:tcW w:w="86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40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62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(39,108)</w:t>
            </w:r>
          </w:p>
        </w:tc>
        <w:tc>
          <w:tcPr>
            <w:tcW w:w="2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(22,428)</w:t>
            </w:r>
          </w:p>
        </w:tc>
        <w:tc>
          <w:tcPr>
            <w:tcW w:w="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14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(57,417)</w:t>
            </w:r>
          </w:p>
        </w:tc>
        <w:tc>
          <w:tcPr>
            <w:tcW w:w="0" w:type="dxa"/>
            <w:vAlign w:val="bottom"/>
          </w:tcPr>
          <w:p>
            <w:pPr>
              <w:spacing w:after="0"/>
              <w:rPr>
                <w:sz w:val="1"/>
                <w:szCs w:val="1"/>
                <w:color w:val="auto"/>
              </w:rPr>
            </w:pPr>
          </w:p>
        </w:tc>
      </w:tr>
      <w:tr>
        <w:trPr>
          <w:trHeight w:val="156"/>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Other book-to-tax differences</w:t>
            </w: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(1,551)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(6,006)</w:t>
            </w:r>
          </w:p>
        </w:tc>
        <w:tc>
          <w:tcPr>
            <w:tcW w:w="0" w:type="dxa"/>
            <w:vAlign w:val="bottom"/>
          </w:tcPr>
          <w:p>
            <w:pPr>
              <w:spacing w:after="0"/>
              <w:rPr>
                <w:sz w:val="1"/>
                <w:szCs w:val="1"/>
                <w:color w:val="auto"/>
              </w:rPr>
            </w:pPr>
          </w:p>
        </w:tc>
      </w:tr>
      <w:tr>
        <w:trPr>
          <w:trHeight w:val="156"/>
        </w:trPr>
        <w:tc>
          <w:tcPr>
            <w:tcW w:w="48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Other non-deductible expenses</w:t>
            </w:r>
          </w:p>
        </w:tc>
        <w:tc>
          <w:tcPr>
            <w:tcW w:w="86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40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3,372</w:t>
            </w:r>
          </w:p>
        </w:tc>
        <w:tc>
          <w:tcPr>
            <w:tcW w:w="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3,245</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5,766</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Taxable income before dividends paid deduction</w:t>
            </w: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47,872</w:t>
            </w:r>
          </w:p>
        </w:tc>
        <w:tc>
          <w:tcPr>
            <w:tcW w:w="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72,583</w:t>
            </w:r>
          </w:p>
        </w:tc>
        <w:tc>
          <w:tcPr>
            <w:tcW w:w="60" w:type="dxa"/>
            <w:vAlign w:val="bottom"/>
          </w:tcPr>
          <w:p>
            <w:pPr>
              <w:spacing w:after="0"/>
              <w:rPr>
                <w:sz w:val="13"/>
                <w:szCs w:val="13"/>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65,293</w:t>
            </w:r>
          </w:p>
        </w:tc>
        <w:tc>
          <w:tcPr>
            <w:tcW w:w="0" w:type="dxa"/>
            <w:vAlign w:val="bottom"/>
          </w:tcPr>
          <w:p>
            <w:pPr>
              <w:spacing w:after="0"/>
              <w:rPr>
                <w:sz w:val="1"/>
                <w:szCs w:val="1"/>
                <w:color w:val="auto"/>
              </w:rPr>
            </w:pPr>
          </w:p>
        </w:tc>
      </w:tr>
      <w:tr>
        <w:trPr>
          <w:trHeight w:val="20"/>
        </w:trPr>
        <w:tc>
          <w:tcPr>
            <w:tcW w:w="568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7780" w:type="dxa"/>
            <w:vAlign w:val="bottom"/>
            <w:gridSpan w:val="13"/>
          </w:tcPr>
          <w:p>
            <w:pPr>
              <w:ind w:left="420"/>
              <w:spacing w:after="0"/>
              <w:rPr>
                <w:sz w:val="20"/>
                <w:szCs w:val="20"/>
                <w:color w:val="auto"/>
              </w:rPr>
            </w:pPr>
            <w:r>
              <w:rPr>
                <w:rFonts w:ascii="Times New Roman" w:cs="Times New Roman" w:eastAsia="Times New Roman" w:hAnsi="Times New Roman"/>
                <w:sz w:val="13"/>
                <w:szCs w:val="13"/>
                <w:color w:val="auto"/>
              </w:rPr>
              <w:t>The components of undistributed taxable income on a tax basis and reconciliation to accumulated deficit on a book basis are as follows: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60" w:type="dxa"/>
            <w:vAlign w:val="bottom"/>
            <w:gridSpan w:val="8"/>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33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Undistributed net investment income – tax basis</w:t>
            </w:r>
          </w:p>
        </w:tc>
        <w:tc>
          <w:tcPr>
            <w:tcW w:w="1740" w:type="dxa"/>
            <w:vAlign w:val="bottom"/>
            <w:gridSpan w:val="4"/>
            <w:shd w:val="clear" w:color="auto" w:fill="CCEC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6"/>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45,948</w:t>
            </w:r>
          </w:p>
        </w:tc>
        <w:tc>
          <w:tcPr>
            <w:tcW w:w="3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65,962</w:t>
            </w:r>
          </w:p>
        </w:tc>
        <w:tc>
          <w:tcPr>
            <w:tcW w:w="4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62,710</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Short-term realized loss carried forward</w:t>
            </w: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(6,164)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(3,397)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(1,699)</w:t>
            </w:r>
          </w:p>
        </w:tc>
        <w:tc>
          <w:tcPr>
            <w:tcW w:w="0" w:type="dxa"/>
            <w:vAlign w:val="bottom"/>
          </w:tcPr>
          <w:p>
            <w:pPr>
              <w:spacing w:after="0"/>
              <w:rPr>
                <w:sz w:val="1"/>
                <w:szCs w:val="1"/>
                <w:color w:val="auto"/>
              </w:rPr>
            </w:pPr>
          </w:p>
        </w:tc>
      </w:tr>
      <w:tr>
        <w:trPr>
          <w:trHeight w:val="156"/>
        </w:trPr>
        <w:tc>
          <w:tcPr>
            <w:tcW w:w="48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Long-term realized loss carried forward</w:t>
            </w:r>
          </w:p>
        </w:tc>
        <w:tc>
          <w:tcPr>
            <w:tcW w:w="86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40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900" w:type="dxa"/>
            <w:vAlign w:val="bottom"/>
            <w:gridSpan w:val="6"/>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(336,619)</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(287,545)</w:t>
            </w: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14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(379,074)</w:t>
            </w:r>
          </w:p>
        </w:tc>
        <w:tc>
          <w:tcPr>
            <w:tcW w:w="0" w:type="dxa"/>
            <w:vAlign w:val="bottom"/>
          </w:tcPr>
          <w:p>
            <w:pPr>
              <w:spacing w:after="0"/>
              <w:rPr>
                <w:sz w:val="1"/>
                <w:szCs w:val="1"/>
                <w:color w:val="auto"/>
              </w:rPr>
            </w:pPr>
          </w:p>
        </w:tc>
      </w:tr>
      <w:tr>
        <w:trPr>
          <w:trHeight w:val="156"/>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Distributions payable and other book to tax differences</w:t>
            </w: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(31,184)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(37,435)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83,860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Net unrealized appreciation (depreciation) on investments and debt</w:t>
            </w:r>
          </w:p>
        </w:tc>
        <w:tc>
          <w:tcPr>
            <w:tcW w:w="86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40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900" w:type="dxa"/>
            <w:vAlign w:val="bottom"/>
            <w:gridSpan w:val="6"/>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51,398</w:t>
            </w: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12,290</w:t>
            </w: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14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(10,141)</w:t>
            </w:r>
          </w:p>
        </w:tc>
        <w:tc>
          <w:tcPr>
            <w:tcW w:w="0" w:type="dxa"/>
            <w:vAlign w:val="bottom"/>
          </w:tcPr>
          <w:p>
            <w:pPr>
              <w:spacing w:after="0"/>
              <w:rPr>
                <w:sz w:val="1"/>
                <w:szCs w:val="1"/>
                <w:color w:val="auto"/>
              </w:rPr>
            </w:pPr>
          </w:p>
        </w:tc>
      </w:tr>
      <w:tr>
        <w:trPr>
          <w:trHeight w:val="156"/>
        </w:trPr>
        <w:tc>
          <w:tcPr>
            <w:tcW w:w="48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Total accumulated deficit – book basis</w:t>
            </w:r>
          </w:p>
        </w:tc>
        <w:tc>
          <w:tcPr>
            <w:tcW w:w="1740" w:type="dxa"/>
            <w:vAlign w:val="bottom"/>
            <w:gridSpan w:val="4"/>
          </w:tcPr>
          <w:p>
            <w:pPr>
              <w:jc w:val="right"/>
              <w:ind w:right="4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6"/>
          </w:tcPr>
          <w:p>
            <w:pPr>
              <w:jc w:val="right"/>
              <w:ind w:right="20"/>
              <w:spacing w:after="0" w:line="136" w:lineRule="exact"/>
              <w:rPr>
                <w:sz w:val="20"/>
                <w:szCs w:val="20"/>
                <w:color w:val="auto"/>
              </w:rPr>
            </w:pPr>
            <w:r>
              <w:rPr>
                <w:rFonts w:ascii="Times New Roman" w:cs="Times New Roman" w:eastAsia="Times New Roman" w:hAnsi="Times New Roman"/>
                <w:sz w:val="9"/>
                <w:szCs w:val="9"/>
                <w:color w:val="auto"/>
              </w:rPr>
              <w:t>(276,621</w:t>
            </w:r>
            <w:r>
              <w:rPr>
                <w:rFonts w:ascii="Times New Roman" w:cs="Times New Roman" w:eastAsia="Times New Roman" w:hAnsi="Times New Roman"/>
                <w:sz w:val="15"/>
                <w:szCs w:val="15"/>
                <w:color w:val="auto"/>
                <w:vertAlign w:val="subscript"/>
              </w:rPr>
              <w:t>)</w:t>
            </w:r>
          </w:p>
        </w:tc>
        <w:tc>
          <w:tcPr>
            <w:tcW w:w="32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9"/>
                <w:szCs w:val="9"/>
                <w:color w:val="auto"/>
              </w:rPr>
              <w:t>(250,125</w:t>
            </w:r>
            <w:r>
              <w:rPr>
                <w:rFonts w:ascii="Times New Roman" w:cs="Times New Roman" w:eastAsia="Times New Roman" w:hAnsi="Times New Roman"/>
                <w:sz w:val="15"/>
                <w:szCs w:val="15"/>
                <w:color w:val="auto"/>
                <w:vertAlign w:val="subscript"/>
              </w:rPr>
              <w:t>)</w:t>
            </w:r>
          </w:p>
        </w:tc>
        <w:tc>
          <w:tcPr>
            <w:tcW w:w="440" w:type="dxa"/>
            <w:vAlign w:val="bottom"/>
            <w:gridSpan w:val="3"/>
          </w:tcPr>
          <w:p>
            <w:pPr>
              <w:jc w:val="right"/>
              <w:ind w:right="1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3"/>
          </w:tcPr>
          <w:p>
            <w:pPr>
              <w:jc w:val="right"/>
              <w:ind w:right="60"/>
              <w:spacing w:after="0" w:line="136" w:lineRule="exact"/>
              <w:rPr>
                <w:sz w:val="20"/>
                <w:szCs w:val="20"/>
                <w:color w:val="auto"/>
              </w:rPr>
            </w:pPr>
            <w:r>
              <w:rPr>
                <w:rFonts w:ascii="Times New Roman" w:cs="Times New Roman" w:eastAsia="Times New Roman" w:hAnsi="Times New Roman"/>
                <w:sz w:val="9"/>
                <w:szCs w:val="9"/>
                <w:color w:val="auto"/>
              </w:rPr>
              <w:t>(244,344</w:t>
            </w:r>
            <w:r>
              <w:rPr>
                <w:rFonts w:ascii="Times New Roman" w:cs="Times New Roman" w:eastAsia="Times New Roman" w:hAnsi="Times New Roman"/>
                <w:sz w:val="15"/>
                <w:szCs w:val="15"/>
                <w:color w:val="auto"/>
                <w:vertAlign w:val="subscript"/>
              </w:rPr>
              <w:t>)</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rPr>
              <w:t>The tax characteristics of distributions declared are as follows:</w:t>
            </w: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48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gridSpan w:val="8"/>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820" w:type="dxa"/>
            <w:vAlign w:val="bottom"/>
          </w:tcPr>
          <w:p>
            <w:pPr>
              <w:spacing w:after="0"/>
              <w:rPr>
                <w:sz w:val="14"/>
                <w:szCs w:val="14"/>
                <w:color w:val="auto"/>
              </w:rPr>
            </w:pPr>
          </w:p>
        </w:tc>
        <w:tc>
          <w:tcPr>
            <w:tcW w:w="174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59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Ordinary income (including short-term gains, if any)</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CFF"/>
          </w:tcPr>
          <w:p>
            <w:pPr>
              <w:spacing w:after="0"/>
              <w:rPr>
                <w:sz w:val="13"/>
                <w:szCs w:val="13"/>
                <w:color w:val="auto"/>
              </w:rPr>
            </w:pPr>
          </w:p>
        </w:tc>
        <w:tc>
          <w:tcPr>
            <w:tcW w:w="40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540" w:type="dxa"/>
            <w:vAlign w:val="bottom"/>
            <w:shd w:val="clear" w:color="auto" w:fill="CCECFF"/>
          </w:tcPr>
          <w:p>
            <w:pPr>
              <w:jc w:val="right"/>
              <w:ind w:right="15"/>
              <w:spacing w:after="0"/>
              <w:rPr>
                <w:sz w:val="20"/>
                <w:szCs w:val="20"/>
                <w:color w:val="auto"/>
              </w:rPr>
            </w:pPr>
            <w:r>
              <w:rPr>
                <w:rFonts w:ascii="Times New Roman" w:cs="Times New Roman" w:eastAsia="Times New Roman" w:hAnsi="Times New Roman"/>
                <w:sz w:val="13"/>
                <w:szCs w:val="13"/>
                <w:color w:val="auto"/>
              </w:rPr>
              <w:t>62,684</w:t>
            </w:r>
          </w:p>
        </w:tc>
        <w:tc>
          <w:tcPr>
            <w:tcW w:w="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57,420</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49,571</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Long-term capital gain</w:t>
            </w: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8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Total distributions</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CFF"/>
          </w:tcPr>
          <w:p>
            <w:pPr>
              <w:spacing w:after="0"/>
              <w:rPr>
                <w:sz w:val="13"/>
                <w:szCs w:val="13"/>
                <w:color w:val="auto"/>
              </w:rPr>
            </w:pPr>
          </w:p>
        </w:tc>
        <w:tc>
          <w:tcPr>
            <w:tcW w:w="40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540" w:type="dxa"/>
            <w:vAlign w:val="bottom"/>
            <w:shd w:val="clear" w:color="auto" w:fill="CCECFF"/>
          </w:tcPr>
          <w:p>
            <w:pPr>
              <w:jc w:val="right"/>
              <w:ind w:right="15"/>
              <w:spacing w:after="0"/>
              <w:rPr>
                <w:sz w:val="20"/>
                <w:szCs w:val="20"/>
                <w:color w:val="auto"/>
              </w:rPr>
            </w:pPr>
            <w:r>
              <w:rPr>
                <w:rFonts w:ascii="Times New Roman" w:cs="Times New Roman" w:eastAsia="Times New Roman" w:hAnsi="Times New Roman"/>
                <w:sz w:val="13"/>
                <w:szCs w:val="13"/>
                <w:color w:val="auto"/>
              </w:rPr>
              <w:t>62,684</w:t>
            </w:r>
          </w:p>
        </w:tc>
        <w:tc>
          <w:tcPr>
            <w:tcW w:w="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57,420</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49,571</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Total distributions declared per share</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0.96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0.88</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9. CASH AND CASH EQUIVALENTS</w:t>
      </w:r>
    </w:p>
    <w:p>
      <w:pPr>
        <w:spacing w:after="0" w:line="129" w:lineRule="exact"/>
        <w:rPr>
          <w:sz w:val="20"/>
          <w:szCs w:val="20"/>
          <w:color w:val="auto"/>
        </w:rPr>
      </w:pPr>
    </w:p>
    <w:p>
      <w:pPr>
        <w:ind w:right="40" w:firstLine="420"/>
        <w:spacing w:after="0" w:line="255" w:lineRule="auto"/>
        <w:rPr>
          <w:sz w:val="20"/>
          <w:szCs w:val="20"/>
          <w:color w:val="auto"/>
        </w:rPr>
      </w:pPr>
      <w:r>
        <w:rPr>
          <w:rFonts w:ascii="Times New Roman" w:cs="Times New Roman" w:eastAsia="Times New Roman" w:hAnsi="Times New Roman"/>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 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Truist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2025 and 2024, cash and cash equivalents consisted of money market funds, and non-money market in the amounts of $30.7 million and $21.1 million and $38.8 million and $11.1 million at fair value, respectively.</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 FINANCIAL HIGHLIGHTS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Below are the financial highlights for each of the years ended September 30, ($in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Per Share Data:</w:t>
            </w:r>
          </w:p>
        </w:tc>
        <w:tc>
          <w:tcPr>
            <w:tcW w:w="24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Net asset value, beginning of year</w:t>
            </w: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7.56</w:t>
            </w:r>
          </w:p>
        </w:tc>
        <w:tc>
          <w:tcPr>
            <w:tcW w:w="240" w:type="dxa"/>
            <w:vAlign w:val="bottom"/>
          </w:tcPr>
          <w:p>
            <w:pPr>
              <w:spacing w:after="0"/>
              <w:rPr>
                <w:sz w:val="13"/>
                <w:szCs w:val="13"/>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7.70</w:t>
            </w:r>
          </w:p>
        </w:tc>
        <w:tc>
          <w:tcPr>
            <w:tcW w:w="300" w:type="dxa"/>
            <w:vAlign w:val="bottom"/>
            <w:gridSpan w:val="2"/>
          </w:tcPr>
          <w:p>
            <w:pPr>
              <w:jc w:val="right"/>
              <w:ind w:right="125"/>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8.98</w:t>
            </w:r>
          </w:p>
        </w:tc>
        <w:tc>
          <w:tcPr>
            <w:tcW w:w="300" w:type="dxa"/>
            <w:vAlign w:val="bottom"/>
            <w:gridSpan w:val="2"/>
          </w:tcPr>
          <w:p>
            <w:pPr>
              <w:jc w:val="right"/>
              <w:ind w:right="125"/>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9.85</w:t>
            </w:r>
          </w:p>
        </w:tc>
        <w:tc>
          <w:tcPr>
            <w:tcW w:w="30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shd w:val="clear" w:color="auto" w:fill="CCECFF"/>
          </w:tcPr>
          <w:p>
            <w:pPr>
              <w:spacing w:after="0" w:line="156" w:lineRule="exact"/>
              <w:rPr>
                <w:sz w:val="20"/>
                <w:szCs w:val="20"/>
                <w:color w:val="auto"/>
              </w:rPr>
            </w:pPr>
            <w:r>
              <w:rPr>
                <w:rFonts w:ascii="Times New Roman" w:cs="Times New Roman" w:eastAsia="Times New Roman" w:hAnsi="Times New Roman"/>
                <w:sz w:val="13"/>
                <w:szCs w:val="13"/>
                <w:color w:val="auto"/>
              </w:rPr>
              <w:t xml:space="preserve">Net investment income </w:t>
            </w:r>
            <w:r>
              <w:rPr>
                <w:rFonts w:ascii="Times New Roman" w:cs="Times New Roman" w:eastAsia="Times New Roman" w:hAnsi="Times New Roman"/>
                <w:sz w:val="16"/>
                <w:szCs w:val="16"/>
                <w:color w:val="auto"/>
                <w:vertAlign w:val="superscript"/>
              </w:rPr>
              <w:t>(1)</w:t>
            </w:r>
          </w:p>
        </w:tc>
        <w:tc>
          <w:tcPr>
            <w:tcW w:w="24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0.71</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0.92</w:t>
            </w: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1.00</w:t>
            </w: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0.66</w:t>
            </w: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0.54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Net realized and unrealized (loss) gain </w:t>
            </w:r>
            <w:r>
              <w:rPr>
                <w:rFonts w:ascii="Times New Roman" w:cs="Times New Roman" w:eastAsia="Times New Roman" w:hAnsi="Times New Roman"/>
                <w:sz w:val="16"/>
                <w:szCs w:val="16"/>
                <w:color w:val="auto"/>
                <w:vertAlign w:val="superscript"/>
              </w:rPr>
              <w:t>(1)</w:t>
            </w:r>
          </w:p>
        </w:tc>
        <w:tc>
          <w:tcPr>
            <w:tcW w:w="240" w:type="dxa"/>
            <w:vAlign w:val="bottom"/>
          </w:tcPr>
          <w:p>
            <w:pPr>
              <w:spacing w:after="0"/>
              <w:rPr>
                <w:sz w:val="13"/>
                <w:szCs w:val="13"/>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(0.21)</w:t>
            </w:r>
          </w:p>
        </w:tc>
        <w:tc>
          <w:tcPr>
            <w:tcW w:w="24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(0.17)</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(1.52)</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(1.03)</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9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1"/>
                <w:szCs w:val="11"/>
                <w:color w:val="auto"/>
              </w:rPr>
              <w:t xml:space="preserve">Net (decrease) increase in net assets resulting from operations </w:t>
            </w:r>
            <w:r>
              <w:rPr>
                <w:rFonts w:ascii="Times New Roman" w:cs="Times New Roman" w:eastAsia="Times New Roman" w:hAnsi="Times New Roman"/>
                <w:sz w:val="13"/>
                <w:szCs w:val="13"/>
                <w:color w:val="auto"/>
                <w:vertAlign w:val="superscript"/>
              </w:rPr>
              <w:t>(1)</w:t>
            </w:r>
          </w:p>
        </w:tc>
        <w:tc>
          <w:tcPr>
            <w:tcW w:w="240" w:type="dxa"/>
            <w:vAlign w:val="bottom"/>
            <w:shd w:val="clear" w:color="auto" w:fill="CCECFF"/>
          </w:tcPr>
          <w:p>
            <w:pPr>
              <w:spacing w:after="0"/>
              <w:rPr>
                <w:sz w:val="10"/>
                <w:szCs w:val="10"/>
                <w:color w:val="auto"/>
              </w:rPr>
            </w:pPr>
          </w:p>
        </w:tc>
        <w:tc>
          <w:tcPr>
            <w:tcW w:w="88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0.50</w:t>
            </w:r>
          </w:p>
        </w:tc>
        <w:tc>
          <w:tcPr>
            <w:tcW w:w="2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020" w:type="dxa"/>
            <w:vAlign w:val="bottom"/>
            <w:gridSpan w:val="2"/>
            <w:vMerge w:val="restart"/>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0.75</w:t>
            </w:r>
          </w:p>
        </w:tc>
        <w:tc>
          <w:tcPr>
            <w:tcW w:w="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020" w:type="dxa"/>
            <w:vAlign w:val="bottom"/>
            <w:gridSpan w:val="2"/>
            <w:shd w:val="clear" w:color="auto" w:fill="CCECFF"/>
          </w:tcPr>
          <w:p>
            <w:pPr>
              <w:jc w:val="right"/>
              <w:ind w:right="160"/>
              <w:spacing w:after="0" w:line="120" w:lineRule="exact"/>
              <w:rPr>
                <w:sz w:val="20"/>
                <w:szCs w:val="20"/>
                <w:color w:val="auto"/>
              </w:rPr>
            </w:pPr>
            <w:r>
              <w:rPr>
                <w:rFonts w:ascii="Times New Roman" w:cs="Times New Roman" w:eastAsia="Times New Roman" w:hAnsi="Times New Roman"/>
                <w:sz w:val="13"/>
                <w:szCs w:val="13"/>
                <w:color w:val="auto"/>
              </w:rPr>
              <w:t>(0.52</w:t>
            </w:r>
          </w:p>
        </w:tc>
        <w:tc>
          <w:tcPr>
            <w:tcW w:w="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060" w:type="dxa"/>
            <w:vAlign w:val="bottom"/>
            <w:gridSpan w:val="2"/>
            <w:shd w:val="clear" w:color="auto" w:fill="CCECFF"/>
          </w:tcPr>
          <w:p>
            <w:pPr>
              <w:jc w:val="right"/>
              <w:ind w:right="200"/>
              <w:spacing w:after="0" w:line="120" w:lineRule="exact"/>
              <w:rPr>
                <w:sz w:val="20"/>
                <w:szCs w:val="20"/>
                <w:color w:val="auto"/>
              </w:rPr>
            </w:pPr>
            <w:r>
              <w:rPr>
                <w:rFonts w:ascii="Times New Roman" w:cs="Times New Roman" w:eastAsia="Times New Roman" w:hAnsi="Times New Roman"/>
                <w:sz w:val="13"/>
                <w:szCs w:val="13"/>
                <w:color w:val="auto"/>
              </w:rPr>
              <w:t>(0.37</w:t>
            </w:r>
          </w:p>
        </w:tc>
        <w:tc>
          <w:tcPr>
            <w:tcW w:w="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960" w:type="dxa"/>
            <w:vAlign w:val="bottom"/>
            <w:gridSpan w:val="2"/>
            <w:vMerge w:val="restart"/>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2.48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9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80" w:type="dxa"/>
            <w:vAlign w:val="bottom"/>
            <w:gridSpan w:val="2"/>
            <w:vMerge w:val="continue"/>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020" w:type="dxa"/>
            <w:vAlign w:val="bottom"/>
            <w:gridSpan w:val="2"/>
            <w:vMerge w:val="continue"/>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020" w:type="dxa"/>
            <w:vAlign w:val="bottom"/>
            <w:gridSpan w:val="2"/>
            <w:shd w:val="clear" w:color="auto" w:fill="CCECFF"/>
          </w:tcPr>
          <w:p>
            <w:pPr>
              <w:jc w:val="right"/>
              <w:ind w:right="120"/>
              <w:spacing w:after="0" w:line="120"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060" w:type="dxa"/>
            <w:vAlign w:val="bottom"/>
            <w:gridSpan w:val="2"/>
            <w:shd w:val="clear" w:color="auto" w:fill="CCECFF"/>
          </w:tcPr>
          <w:p>
            <w:pPr>
              <w:jc w:val="right"/>
              <w:ind w:right="160"/>
              <w:spacing w:after="0" w:line="120"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960" w:type="dxa"/>
            <w:vAlign w:val="bottom"/>
            <w:gridSpan w:val="2"/>
            <w:vMerge w:val="continue"/>
            <w:shd w:val="clear" w:color="auto" w:fill="CCEC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Distributions to stockholders </w:t>
            </w:r>
            <w:r>
              <w:rPr>
                <w:rFonts w:ascii="Times New Roman" w:cs="Times New Roman" w:eastAsia="Times New Roman" w:hAnsi="Times New Roman"/>
                <w:sz w:val="16"/>
                <w:szCs w:val="16"/>
                <w:color w:val="auto"/>
                <w:vertAlign w:val="superscript"/>
              </w:rPr>
              <w:t>(1), (2)</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3"/>
                <w:szCs w:val="13"/>
                <w:color w:val="auto"/>
              </w:rPr>
              <w:t>Distribution of net investment income</w:t>
            </w:r>
          </w:p>
        </w:tc>
        <w:tc>
          <w:tcPr>
            <w:tcW w:w="240" w:type="dxa"/>
            <w:vAlign w:val="bottom"/>
            <w:shd w:val="clear" w:color="auto" w:fill="CCECFF"/>
          </w:tcPr>
          <w:p>
            <w:pPr>
              <w:spacing w:after="0"/>
              <w:rPr>
                <w:sz w:val="13"/>
                <w:szCs w:val="13"/>
                <w:color w:val="auto"/>
              </w:rPr>
            </w:pPr>
          </w:p>
        </w:tc>
        <w:tc>
          <w:tcPr>
            <w:tcW w:w="1120" w:type="dxa"/>
            <w:vAlign w:val="bottom"/>
            <w:gridSpan w:val="3"/>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(0.96)</w:t>
            </w:r>
          </w:p>
        </w:tc>
        <w:tc>
          <w:tcPr>
            <w:tcW w:w="24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(0.88)</w:t>
            </w: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(0.76)</w:t>
            </w: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(0.56)</w:t>
            </w: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(0.48)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Distribution of realized gains</w:t>
            </w:r>
          </w:p>
        </w:tc>
        <w:tc>
          <w:tcPr>
            <w:tcW w:w="240" w:type="dxa"/>
            <w:vAlign w:val="bottom"/>
          </w:tcPr>
          <w:p>
            <w:pPr>
              <w:spacing w:after="0"/>
              <w:rPr>
                <w:sz w:val="13"/>
                <w:szCs w:val="13"/>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Total distributions to stockholders</w:t>
            </w:r>
          </w:p>
        </w:tc>
        <w:tc>
          <w:tcPr>
            <w:tcW w:w="240" w:type="dxa"/>
            <w:vAlign w:val="bottom"/>
            <w:shd w:val="clear" w:color="auto" w:fill="CCECFF"/>
          </w:tcPr>
          <w:p>
            <w:pPr>
              <w:spacing w:after="0"/>
              <w:rPr>
                <w:sz w:val="13"/>
                <w:szCs w:val="13"/>
                <w:color w:val="auto"/>
              </w:rPr>
            </w:pPr>
          </w:p>
        </w:tc>
        <w:tc>
          <w:tcPr>
            <w:tcW w:w="1120" w:type="dxa"/>
            <w:vAlign w:val="bottom"/>
            <w:gridSpan w:val="3"/>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(0.96)</w:t>
            </w:r>
          </w:p>
        </w:tc>
        <w:tc>
          <w:tcPr>
            <w:tcW w:w="24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(0.88)</w:t>
            </w: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(0.76)</w:t>
            </w: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(0.56)</w:t>
            </w: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(0.48)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(Dilutive) effect of common stock issuance</w:t>
            </w:r>
          </w:p>
        </w:tc>
        <w:tc>
          <w:tcPr>
            <w:tcW w:w="240" w:type="dxa"/>
            <w:vAlign w:val="bottom"/>
          </w:tcPr>
          <w:p>
            <w:pPr>
              <w:spacing w:after="0"/>
              <w:rPr>
                <w:sz w:val="13"/>
                <w:szCs w:val="13"/>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(0.01)</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shd w:val="clear" w:color="auto" w:fill="CCECFF"/>
          </w:tcPr>
          <w:p>
            <w:pPr>
              <w:spacing w:after="0" w:line="156" w:lineRule="exact"/>
              <w:rPr>
                <w:sz w:val="20"/>
                <w:szCs w:val="20"/>
                <w:color w:val="auto"/>
              </w:rPr>
            </w:pPr>
            <w:r>
              <w:rPr>
                <w:rFonts w:ascii="Times New Roman" w:cs="Times New Roman" w:eastAsia="Times New Roman" w:hAnsi="Times New Roman"/>
                <w:sz w:val="13"/>
                <w:szCs w:val="13"/>
                <w:color w:val="auto"/>
              </w:rPr>
              <w:t xml:space="preserve">Repurchase of common stock </w:t>
            </w:r>
            <w:r>
              <w:rPr>
                <w:rFonts w:ascii="Times New Roman" w:cs="Times New Roman" w:eastAsia="Times New Roman" w:hAnsi="Times New Roman"/>
                <w:sz w:val="16"/>
                <w:szCs w:val="16"/>
                <w:color w:val="auto"/>
                <w:vertAlign w:val="superscript"/>
              </w:rPr>
              <w:t>(1)</w:t>
            </w:r>
          </w:p>
        </w:tc>
        <w:tc>
          <w:tcPr>
            <w:tcW w:w="240" w:type="dxa"/>
            <w:vAlign w:val="bottom"/>
            <w:shd w:val="clear" w:color="auto" w:fill="CCECFF"/>
          </w:tcPr>
          <w:p>
            <w:pPr>
              <w:spacing w:after="0"/>
              <w:rPr>
                <w:sz w:val="13"/>
                <w:szCs w:val="13"/>
                <w:color w:val="auto"/>
              </w:rPr>
            </w:pPr>
          </w:p>
        </w:tc>
        <w:tc>
          <w:tcPr>
            <w:tcW w:w="1120" w:type="dxa"/>
            <w:vAlign w:val="bottom"/>
            <w:gridSpan w:val="3"/>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0.06</w:t>
            </w: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Net asset value, end of year </w:t>
            </w:r>
            <w:r>
              <w:rPr>
                <w:rFonts w:ascii="Times New Roman" w:cs="Times New Roman" w:eastAsia="Times New Roman" w:hAnsi="Times New Roman"/>
                <w:sz w:val="16"/>
                <w:szCs w:val="16"/>
                <w:color w:val="auto"/>
                <w:vertAlign w:val="superscript"/>
              </w:rPr>
              <w:t>(6)</w:t>
            </w: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7.11</w:t>
            </w:r>
          </w:p>
        </w:tc>
        <w:tc>
          <w:tcPr>
            <w:tcW w:w="240" w:type="dxa"/>
            <w:vAlign w:val="bottom"/>
          </w:tcPr>
          <w:p>
            <w:pPr>
              <w:spacing w:after="0"/>
              <w:rPr>
                <w:sz w:val="13"/>
                <w:szCs w:val="13"/>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7.56</w:t>
            </w:r>
          </w:p>
        </w:tc>
        <w:tc>
          <w:tcPr>
            <w:tcW w:w="300" w:type="dxa"/>
            <w:vAlign w:val="bottom"/>
            <w:gridSpan w:val="2"/>
          </w:tcPr>
          <w:p>
            <w:pPr>
              <w:jc w:val="right"/>
              <w:ind w:right="125"/>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7.70</w:t>
            </w:r>
          </w:p>
        </w:tc>
        <w:tc>
          <w:tcPr>
            <w:tcW w:w="300" w:type="dxa"/>
            <w:vAlign w:val="bottom"/>
            <w:gridSpan w:val="2"/>
          </w:tcPr>
          <w:p>
            <w:pPr>
              <w:jc w:val="right"/>
              <w:ind w:right="125"/>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8.98</w:t>
            </w:r>
          </w:p>
        </w:tc>
        <w:tc>
          <w:tcPr>
            <w:tcW w:w="30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0" w:type="dxa"/>
            <w:vAlign w:val="bottom"/>
            <w:gridSpan w:val="2"/>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3980" w:type="dxa"/>
            <w:vAlign w:val="bottom"/>
            <w:tcBorders>
              <w:bottom w:val="single" w:sz="8" w:color="CCECFF"/>
            </w:tcBorders>
            <w:shd w:val="clear" w:color="auto" w:fill="CCECFF"/>
          </w:tcPr>
          <w:p>
            <w:pPr>
              <w:spacing w:after="0" w:line="133" w:lineRule="exact"/>
              <w:rPr>
                <w:sz w:val="20"/>
                <w:szCs w:val="20"/>
                <w:color w:val="auto"/>
              </w:rPr>
            </w:pPr>
            <w:r>
              <w:rPr>
                <w:rFonts w:ascii="Times New Roman" w:cs="Times New Roman" w:eastAsia="Times New Roman" w:hAnsi="Times New Roman"/>
                <w:sz w:val="13"/>
                <w:szCs w:val="13"/>
                <w:color w:val="auto"/>
              </w:rPr>
              <w:t>Per share market value, end of year</w:t>
            </w:r>
          </w:p>
        </w:tc>
        <w:tc>
          <w:tcPr>
            <w:tcW w:w="240" w:type="dxa"/>
            <w:vAlign w:val="bottom"/>
            <w:tcBorders>
              <w:top w:val="single" w:sz="8" w:color="auto"/>
              <w:bottom w:val="single" w:sz="8" w:color="auto"/>
            </w:tcBorders>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6.71</w:t>
            </w:r>
          </w:p>
        </w:tc>
        <w:tc>
          <w:tcPr>
            <w:tcW w:w="2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top w:val="single" w:sz="8" w:color="auto"/>
              <w:bottom w:val="single" w:sz="8" w:color="auto"/>
            </w:tcBorders>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6.99</w:t>
            </w:r>
          </w:p>
        </w:tc>
        <w:tc>
          <w:tcPr>
            <w:tcW w:w="160" w:type="dxa"/>
            <w:vAlign w:val="bottom"/>
            <w:tcBorders>
              <w:bottom w:val="single" w:sz="8" w:color="CCECFF"/>
            </w:tcBorders>
            <w:shd w:val="clear" w:color="auto" w:fill="CCECFF"/>
          </w:tcPr>
          <w:p>
            <w:pPr>
              <w:spacing w:after="0"/>
              <w:rPr>
                <w:sz w:val="14"/>
                <w:szCs w:val="14"/>
                <w:color w:val="auto"/>
              </w:rPr>
            </w:pPr>
          </w:p>
        </w:tc>
        <w:tc>
          <w:tcPr>
            <w:tcW w:w="6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top w:val="single" w:sz="8" w:color="auto"/>
              <w:bottom w:val="single" w:sz="8" w:color="auto"/>
            </w:tcBorders>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6.58</w:t>
            </w:r>
          </w:p>
        </w:tc>
        <w:tc>
          <w:tcPr>
            <w:tcW w:w="160" w:type="dxa"/>
            <w:vAlign w:val="bottom"/>
            <w:tcBorders>
              <w:bottom w:val="single" w:sz="8" w:color="CCECFF"/>
            </w:tcBorders>
            <w:shd w:val="clear" w:color="auto" w:fill="CCECFF"/>
          </w:tcPr>
          <w:p>
            <w:pPr>
              <w:spacing w:after="0"/>
              <w:rPr>
                <w:sz w:val="14"/>
                <w:szCs w:val="14"/>
                <w:color w:val="auto"/>
              </w:rPr>
            </w:pPr>
          </w:p>
        </w:tc>
        <w:tc>
          <w:tcPr>
            <w:tcW w:w="6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top w:val="single" w:sz="8" w:color="auto"/>
              <w:bottom w:val="single" w:sz="8" w:color="auto"/>
            </w:tcBorders>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5.46</w:t>
            </w:r>
          </w:p>
        </w:tc>
        <w:tc>
          <w:tcPr>
            <w:tcW w:w="200" w:type="dxa"/>
            <w:vAlign w:val="bottom"/>
            <w:tcBorders>
              <w:bottom w:val="single" w:sz="8" w:color="CCECFF"/>
            </w:tcBorders>
            <w:shd w:val="clear" w:color="auto" w:fill="CCECFF"/>
          </w:tcPr>
          <w:p>
            <w:pPr>
              <w:spacing w:after="0"/>
              <w:rPr>
                <w:sz w:val="14"/>
                <w:szCs w:val="14"/>
                <w:color w:val="auto"/>
              </w:rPr>
            </w:pPr>
          </w:p>
        </w:tc>
        <w:tc>
          <w:tcPr>
            <w:tcW w:w="6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top w:val="single" w:sz="8" w:color="auto"/>
              <w:bottom w:val="single" w:sz="8" w:color="auto"/>
            </w:tcBorders>
            <w:shd w:val="clear" w:color="auto" w:fill="CCECFF"/>
          </w:tcPr>
          <w:p>
            <w:pPr>
              <w:jc w:val="right"/>
              <w:ind w:right="9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6.49</w:t>
            </w:r>
          </w:p>
        </w:tc>
        <w:tc>
          <w:tcPr>
            <w:tcW w:w="100" w:type="dxa"/>
            <w:vAlign w:val="bottom"/>
            <w:tcBorders>
              <w:bottom w:val="single" w:sz="8" w:color="CCECFF"/>
            </w:tcBorders>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8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 xml:space="preserve">Total return </w:t>
            </w:r>
            <w:r>
              <w:rPr>
                <w:rFonts w:ascii="Times New Roman" w:cs="Times New Roman" w:eastAsia="Times New Roman" w:hAnsi="Times New Roman"/>
                <w:sz w:val="15"/>
                <w:szCs w:val="15"/>
                <w:color w:val="auto"/>
                <w:vertAlign w:val="superscript"/>
              </w:rPr>
              <w:t>(3)</w:t>
            </w:r>
          </w:p>
        </w:tc>
        <w:tc>
          <w:tcPr>
            <w:tcW w:w="240" w:type="dxa"/>
            <w:vAlign w:val="bottom"/>
          </w:tcPr>
          <w:p>
            <w:pPr>
              <w:spacing w:after="0"/>
              <w:rPr>
                <w:sz w:val="11"/>
                <w:szCs w:val="11"/>
                <w:color w:val="auto"/>
              </w:rPr>
            </w:pPr>
          </w:p>
        </w:tc>
        <w:tc>
          <w:tcPr>
            <w:tcW w:w="112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10.21%</w:t>
            </w:r>
          </w:p>
        </w:tc>
        <w:tc>
          <w:tcPr>
            <w:tcW w:w="240" w:type="dxa"/>
            <w:vAlign w:val="bottom"/>
          </w:tcPr>
          <w:p>
            <w:pPr>
              <w:spacing w:after="0"/>
              <w:rPr>
                <w:sz w:val="11"/>
                <w:szCs w:val="11"/>
                <w:color w:val="auto"/>
              </w:rPr>
            </w:pPr>
          </w:p>
        </w:tc>
        <w:tc>
          <w:tcPr>
            <w:tcW w:w="102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20.54%</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13.64%</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(8.42)%</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120.98%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3"/>
                <w:szCs w:val="13"/>
                <w:color w:val="auto"/>
              </w:rPr>
              <w:t>Shares outstanding at end of year</w:t>
            </w:r>
          </w:p>
        </w:tc>
        <w:tc>
          <w:tcPr>
            <w:tcW w:w="240" w:type="dxa"/>
            <w:vAlign w:val="bottom"/>
            <w:tcBorders>
              <w:bottom w:val="single" w:sz="8" w:color="auto"/>
            </w:tcBorders>
            <w:shd w:val="clear" w:color="auto" w:fill="CCECFF"/>
          </w:tcPr>
          <w:p>
            <w:pPr>
              <w:spacing w:after="0"/>
              <w:rPr>
                <w:sz w:val="17"/>
                <w:szCs w:val="17"/>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65,296,094</w:t>
            </w:r>
          </w:p>
        </w:tc>
        <w:tc>
          <w:tcPr>
            <w:tcW w:w="2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spacing w:after="0"/>
              <w:rPr>
                <w:sz w:val="17"/>
                <w:szCs w:val="17"/>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65,296,094</w:t>
            </w:r>
          </w:p>
        </w:tc>
        <w:tc>
          <w:tcPr>
            <w:tcW w:w="160" w:type="dxa"/>
            <w:vAlign w:val="bottom"/>
            <w:tcBorders>
              <w:bottom w:val="single" w:sz="8" w:color="CCECFF"/>
            </w:tcBorders>
            <w:shd w:val="clear" w:color="auto" w:fill="CCECFF"/>
          </w:tcPr>
          <w:p>
            <w:pPr>
              <w:spacing w:after="0"/>
              <w:rPr>
                <w:sz w:val="17"/>
                <w:szCs w:val="17"/>
                <w:color w:val="auto"/>
              </w:rPr>
            </w:pPr>
          </w:p>
        </w:tc>
        <w:tc>
          <w:tcPr>
            <w:tcW w:w="6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spacing w:after="0"/>
              <w:rPr>
                <w:sz w:val="17"/>
                <w:szCs w:val="17"/>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65,224,500</w:t>
            </w:r>
          </w:p>
        </w:tc>
        <w:tc>
          <w:tcPr>
            <w:tcW w:w="160" w:type="dxa"/>
            <w:vAlign w:val="bottom"/>
            <w:tcBorders>
              <w:bottom w:val="single" w:sz="8" w:color="CCECFF"/>
            </w:tcBorders>
            <w:shd w:val="clear" w:color="auto" w:fill="CCECFF"/>
          </w:tcPr>
          <w:p>
            <w:pPr>
              <w:spacing w:after="0"/>
              <w:rPr>
                <w:sz w:val="17"/>
                <w:szCs w:val="17"/>
                <w:color w:val="auto"/>
              </w:rPr>
            </w:pPr>
          </w:p>
        </w:tc>
        <w:tc>
          <w:tcPr>
            <w:tcW w:w="6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spacing w:after="0"/>
              <w:rPr>
                <w:sz w:val="17"/>
                <w:szCs w:val="17"/>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65,224,500</w:t>
            </w:r>
          </w:p>
        </w:tc>
        <w:tc>
          <w:tcPr>
            <w:tcW w:w="200" w:type="dxa"/>
            <w:vAlign w:val="bottom"/>
            <w:tcBorders>
              <w:bottom w:val="single" w:sz="8" w:color="CCECFF"/>
            </w:tcBorders>
            <w:shd w:val="clear" w:color="auto" w:fill="CCECFF"/>
          </w:tcPr>
          <w:p>
            <w:pPr>
              <w:spacing w:after="0"/>
              <w:rPr>
                <w:sz w:val="17"/>
                <w:szCs w:val="17"/>
                <w:color w:val="auto"/>
              </w:rPr>
            </w:pPr>
          </w:p>
        </w:tc>
        <w:tc>
          <w:tcPr>
            <w:tcW w:w="6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spacing w:after="0"/>
              <w:rPr>
                <w:sz w:val="17"/>
                <w:szCs w:val="17"/>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67,045,105</w:t>
            </w:r>
          </w:p>
        </w:tc>
        <w:tc>
          <w:tcPr>
            <w:tcW w:w="100" w:type="dxa"/>
            <w:vAlign w:val="bottom"/>
            <w:tcBorders>
              <w:bottom w:val="single" w:sz="8" w:color="CCECFF"/>
            </w:tcBorders>
            <w:shd w:val="clear" w:color="auto" w:fill="CCEC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8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Ratios / Supplemental Data:</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shd w:val="clear" w:color="auto" w:fill="CCECFF"/>
          </w:tcPr>
          <w:p>
            <w:pPr>
              <w:spacing w:after="0" w:line="156" w:lineRule="exact"/>
              <w:rPr>
                <w:sz w:val="20"/>
                <w:szCs w:val="20"/>
                <w:color w:val="auto"/>
              </w:rPr>
            </w:pPr>
            <w:r>
              <w:rPr>
                <w:rFonts w:ascii="Times New Roman" w:cs="Times New Roman" w:eastAsia="Times New Roman" w:hAnsi="Times New Roman"/>
                <w:sz w:val="13"/>
                <w:szCs w:val="13"/>
                <w:color w:val="auto"/>
              </w:rPr>
              <w:t xml:space="preserve">Ratio of operating expenses to average net assets </w:t>
            </w:r>
            <w:r>
              <w:rPr>
                <w:rFonts w:ascii="Times New Roman" w:cs="Times New Roman" w:eastAsia="Times New Roman" w:hAnsi="Times New Roman"/>
                <w:sz w:val="16"/>
                <w:szCs w:val="16"/>
                <w:color w:val="auto"/>
                <w:vertAlign w:val="superscript"/>
              </w:rPr>
              <w:t>(4), (6)</w:t>
            </w:r>
          </w:p>
        </w:tc>
        <w:tc>
          <w:tcPr>
            <w:tcW w:w="240" w:type="dxa"/>
            <w:vAlign w:val="bottom"/>
            <w:shd w:val="clear" w:color="auto" w:fill="CCECFF"/>
          </w:tcPr>
          <w:p>
            <w:pPr>
              <w:spacing w:after="0"/>
              <w:rPr>
                <w:sz w:val="13"/>
                <w:szCs w:val="13"/>
                <w:color w:val="auto"/>
              </w:rPr>
            </w:pP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7.13%</w:t>
            </w:r>
          </w:p>
        </w:tc>
        <w:tc>
          <w:tcPr>
            <w:tcW w:w="24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7.73%</w:t>
            </w: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7.75%</w:t>
            </w: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4.17%</w:t>
            </w: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Ratio of interest and expenses on debt to average net assets </w:t>
            </w:r>
            <w:r>
              <w:rPr>
                <w:rFonts w:ascii="Times New Roman" w:cs="Times New Roman" w:eastAsia="Times New Roman" w:hAnsi="Times New Roman"/>
                <w:sz w:val="16"/>
                <w:szCs w:val="16"/>
                <w:color w:val="auto"/>
                <w:vertAlign w:val="superscript"/>
              </w:rPr>
              <w:t>(5)</w:t>
            </w:r>
          </w:p>
        </w:tc>
        <w:tc>
          <w:tcPr>
            <w:tcW w:w="240" w:type="dxa"/>
            <w:vAlign w:val="bottom"/>
          </w:tcPr>
          <w:p>
            <w:pPr>
              <w:spacing w:after="0"/>
              <w:rPr>
                <w:sz w:val="13"/>
                <w:szCs w:val="13"/>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8.56%</w:t>
            </w:r>
          </w:p>
        </w:tc>
        <w:tc>
          <w:tcPr>
            <w:tcW w:w="240" w:type="dxa"/>
            <w:vAlign w:val="bottom"/>
          </w:tcPr>
          <w:p>
            <w:pPr>
              <w:spacing w:after="0"/>
              <w:rPr>
                <w:sz w:val="13"/>
                <w:szCs w:val="13"/>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9.06%</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7.55%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5.19%</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shd w:val="clear" w:color="auto" w:fill="CCECFF"/>
          </w:tcPr>
          <w:p>
            <w:pPr>
              <w:spacing w:after="0" w:line="156" w:lineRule="exact"/>
              <w:rPr>
                <w:sz w:val="20"/>
                <w:szCs w:val="20"/>
                <w:color w:val="auto"/>
              </w:rPr>
            </w:pPr>
            <w:r>
              <w:rPr>
                <w:rFonts w:ascii="Times New Roman" w:cs="Times New Roman" w:eastAsia="Times New Roman" w:hAnsi="Times New Roman"/>
                <w:sz w:val="13"/>
                <w:szCs w:val="13"/>
                <w:color w:val="auto"/>
              </w:rPr>
              <w:t xml:space="preserve">Ratio of total expenses to average net assets </w:t>
            </w:r>
            <w:r>
              <w:rPr>
                <w:rFonts w:ascii="Times New Roman" w:cs="Times New Roman" w:eastAsia="Times New Roman" w:hAnsi="Times New Roman"/>
                <w:sz w:val="16"/>
                <w:szCs w:val="16"/>
                <w:color w:val="auto"/>
                <w:vertAlign w:val="superscript"/>
              </w:rPr>
              <w:t>(5), (6)</w:t>
            </w:r>
          </w:p>
        </w:tc>
        <w:tc>
          <w:tcPr>
            <w:tcW w:w="240" w:type="dxa"/>
            <w:vAlign w:val="bottom"/>
            <w:shd w:val="clear" w:color="auto" w:fill="CCECFF"/>
          </w:tcPr>
          <w:p>
            <w:pPr>
              <w:spacing w:after="0"/>
              <w:rPr>
                <w:sz w:val="13"/>
                <w:szCs w:val="13"/>
                <w:color w:val="auto"/>
              </w:rPr>
            </w:pPr>
          </w:p>
        </w:tc>
        <w:tc>
          <w:tcPr>
            <w:tcW w:w="11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15.69%</w:t>
            </w:r>
          </w:p>
        </w:tc>
        <w:tc>
          <w:tcPr>
            <w:tcW w:w="24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16.78%</w:t>
            </w: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15.30%</w:t>
            </w: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9.36%</w:t>
            </w:r>
          </w:p>
        </w:tc>
        <w:tc>
          <w:tcPr>
            <w:tcW w:w="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Ratio of net investment income to average net assets </w:t>
            </w:r>
            <w:r>
              <w:rPr>
                <w:rFonts w:ascii="Times New Roman" w:cs="Times New Roman" w:eastAsia="Times New Roman" w:hAnsi="Times New Roman"/>
                <w:sz w:val="16"/>
                <w:szCs w:val="16"/>
                <w:color w:val="auto"/>
                <w:vertAlign w:val="superscript"/>
              </w:rPr>
              <w:t>(5)</w:t>
            </w:r>
          </w:p>
        </w:tc>
        <w:tc>
          <w:tcPr>
            <w:tcW w:w="240" w:type="dxa"/>
            <w:vAlign w:val="bottom"/>
          </w:tcPr>
          <w:p>
            <w:pPr>
              <w:spacing w:after="0"/>
              <w:rPr>
                <w:sz w:val="13"/>
                <w:szCs w:val="13"/>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9.47%</w:t>
            </w:r>
          </w:p>
        </w:tc>
        <w:tc>
          <w:tcPr>
            <w:tcW w:w="240" w:type="dxa"/>
            <w:vAlign w:val="bottom"/>
          </w:tcPr>
          <w:p>
            <w:pPr>
              <w:spacing w:after="0"/>
              <w:rPr>
                <w:sz w:val="13"/>
                <w:szCs w:val="13"/>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12.04%</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12.56%</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6.74%</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Net assets at end of year</w:t>
            </w:r>
          </w:p>
        </w:tc>
        <w:tc>
          <w:tcPr>
            <w:tcW w:w="240" w:type="dxa"/>
            <w:vAlign w:val="bottom"/>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463,950</w:t>
            </w:r>
          </w:p>
        </w:tc>
        <w:tc>
          <w:tcPr>
            <w:tcW w:w="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493,908</w:t>
            </w:r>
          </w:p>
        </w:tc>
        <w:tc>
          <w:tcPr>
            <w:tcW w:w="160" w:type="dxa"/>
            <w:vAlign w:val="bottom"/>
            <w:shd w:val="clear" w:color="auto" w:fill="CCECFF"/>
          </w:tcPr>
          <w:p>
            <w:pPr>
              <w:spacing w:after="0"/>
              <w:rPr>
                <w:sz w:val="13"/>
                <w:szCs w:val="13"/>
                <w:color w:val="auto"/>
              </w:rPr>
            </w:pPr>
          </w:p>
        </w:tc>
        <w:tc>
          <w:tcPr>
            <w:tcW w:w="300" w:type="dxa"/>
            <w:vAlign w:val="bottom"/>
            <w:gridSpan w:val="2"/>
            <w:shd w:val="clear" w:color="auto" w:fill="CCECFF"/>
          </w:tcPr>
          <w:p>
            <w:pPr>
              <w:jc w:val="right"/>
              <w:ind w:right="12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502,187</w:t>
            </w:r>
          </w:p>
        </w:tc>
        <w:tc>
          <w:tcPr>
            <w:tcW w:w="160" w:type="dxa"/>
            <w:vAlign w:val="bottom"/>
            <w:shd w:val="clear" w:color="auto" w:fill="CCECFF"/>
          </w:tcPr>
          <w:p>
            <w:pPr>
              <w:spacing w:after="0"/>
              <w:rPr>
                <w:sz w:val="13"/>
                <w:szCs w:val="13"/>
                <w:color w:val="auto"/>
              </w:rPr>
            </w:pPr>
          </w:p>
        </w:tc>
        <w:tc>
          <w:tcPr>
            <w:tcW w:w="300" w:type="dxa"/>
            <w:vAlign w:val="bottom"/>
            <w:gridSpan w:val="2"/>
            <w:shd w:val="clear" w:color="auto" w:fill="CCECFF"/>
          </w:tcPr>
          <w:p>
            <w:pPr>
              <w:jc w:val="right"/>
              <w:ind w:right="12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585,565</w:t>
            </w:r>
          </w:p>
        </w:tc>
        <w:tc>
          <w:tcPr>
            <w:tcW w:w="200" w:type="dxa"/>
            <w:vAlign w:val="bottom"/>
            <w:shd w:val="clear" w:color="auto" w:fill="CCECFF"/>
          </w:tcPr>
          <w:p>
            <w:pPr>
              <w:spacing w:after="0"/>
              <w:rPr>
                <w:sz w:val="13"/>
                <w:szCs w:val="13"/>
                <w:color w:val="auto"/>
              </w:rPr>
            </w:pPr>
          </w:p>
        </w:tc>
        <w:tc>
          <w:tcPr>
            <w:tcW w:w="300" w:type="dxa"/>
            <w:vAlign w:val="bottom"/>
            <w:gridSpan w:val="2"/>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660,144</w:t>
            </w:r>
          </w:p>
        </w:tc>
        <w:tc>
          <w:tcPr>
            <w:tcW w:w="10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Weighted average debt outstanding </w:t>
            </w:r>
            <w:r>
              <w:rPr>
                <w:rFonts w:ascii="Times New Roman" w:cs="Times New Roman" w:eastAsia="Times New Roman" w:hAnsi="Times New Roman"/>
                <w:sz w:val="16"/>
                <w:szCs w:val="16"/>
                <w:color w:val="auto"/>
                <w:vertAlign w:val="superscript"/>
              </w:rPr>
              <w:t>(7)</w:t>
            </w: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686,808</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693,573</w:t>
            </w:r>
          </w:p>
        </w:tc>
        <w:tc>
          <w:tcPr>
            <w:tcW w:w="160" w:type="dxa"/>
            <w:vAlign w:val="bottom"/>
          </w:tcPr>
          <w:p>
            <w:pPr>
              <w:spacing w:after="0"/>
              <w:rPr>
                <w:sz w:val="13"/>
                <w:szCs w:val="13"/>
                <w:color w:val="auto"/>
              </w:rPr>
            </w:pPr>
          </w:p>
        </w:tc>
        <w:tc>
          <w:tcPr>
            <w:tcW w:w="300" w:type="dxa"/>
            <w:vAlign w:val="bottom"/>
            <w:gridSpan w:val="2"/>
          </w:tcPr>
          <w:p>
            <w:pPr>
              <w:jc w:val="right"/>
              <w:ind w:right="12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656,776</w:t>
            </w:r>
          </w:p>
        </w:tc>
        <w:tc>
          <w:tcPr>
            <w:tcW w:w="160" w:type="dxa"/>
            <w:vAlign w:val="bottom"/>
          </w:tcPr>
          <w:p>
            <w:pPr>
              <w:spacing w:after="0"/>
              <w:rPr>
                <w:sz w:val="13"/>
                <w:szCs w:val="13"/>
                <w:color w:val="auto"/>
              </w:rPr>
            </w:pPr>
          </w:p>
        </w:tc>
        <w:tc>
          <w:tcPr>
            <w:tcW w:w="300" w:type="dxa"/>
            <w:vAlign w:val="bottom"/>
            <w:gridSpan w:val="2"/>
          </w:tcPr>
          <w:p>
            <w:pPr>
              <w:jc w:val="right"/>
              <w:ind w:right="12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695,267</w:t>
            </w:r>
          </w:p>
        </w:tc>
        <w:tc>
          <w:tcPr>
            <w:tcW w:w="200" w:type="dxa"/>
            <w:vAlign w:val="bottom"/>
          </w:tcPr>
          <w:p>
            <w:pPr>
              <w:spacing w:after="0"/>
              <w:rPr>
                <w:sz w:val="13"/>
                <w:szCs w:val="13"/>
                <w:color w:val="auto"/>
              </w:rPr>
            </w:pPr>
          </w:p>
        </w:tc>
        <w:tc>
          <w:tcPr>
            <w:tcW w:w="30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649,666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shd w:val="clear" w:color="auto" w:fill="CCECFF"/>
          </w:tcPr>
          <w:p>
            <w:pPr>
              <w:spacing w:after="0" w:line="156" w:lineRule="exact"/>
              <w:rPr>
                <w:sz w:val="20"/>
                <w:szCs w:val="20"/>
                <w:color w:val="auto"/>
              </w:rPr>
            </w:pPr>
            <w:r>
              <w:rPr>
                <w:rFonts w:ascii="Times New Roman" w:cs="Times New Roman" w:eastAsia="Times New Roman" w:hAnsi="Times New Roman"/>
                <w:sz w:val="13"/>
                <w:szCs w:val="13"/>
                <w:color w:val="auto"/>
              </w:rPr>
              <w:t xml:space="preserve">Weighted average debt per share </w:t>
            </w:r>
            <w:r>
              <w:rPr>
                <w:rFonts w:ascii="Times New Roman" w:cs="Times New Roman" w:eastAsia="Times New Roman" w:hAnsi="Times New Roman"/>
                <w:sz w:val="16"/>
                <w:szCs w:val="16"/>
                <w:color w:val="auto"/>
                <w:vertAlign w:val="superscript"/>
              </w:rPr>
              <w:t>(1), (7)</w:t>
            </w:r>
          </w:p>
        </w:tc>
        <w:tc>
          <w:tcPr>
            <w:tcW w:w="240" w:type="dxa"/>
            <w:vAlign w:val="bottom"/>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10.63</w:t>
            </w:r>
          </w:p>
        </w:tc>
        <w:tc>
          <w:tcPr>
            <w:tcW w:w="160" w:type="dxa"/>
            <w:vAlign w:val="bottom"/>
            <w:shd w:val="clear" w:color="auto" w:fill="CCECFF"/>
          </w:tcPr>
          <w:p>
            <w:pPr>
              <w:spacing w:after="0"/>
              <w:rPr>
                <w:sz w:val="13"/>
                <w:szCs w:val="13"/>
                <w:color w:val="auto"/>
              </w:rPr>
            </w:pPr>
          </w:p>
        </w:tc>
        <w:tc>
          <w:tcPr>
            <w:tcW w:w="300" w:type="dxa"/>
            <w:vAlign w:val="bottom"/>
            <w:gridSpan w:val="2"/>
            <w:shd w:val="clear" w:color="auto" w:fill="CCECFF"/>
          </w:tcPr>
          <w:p>
            <w:pPr>
              <w:jc w:val="right"/>
              <w:ind w:right="12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10.07</w:t>
            </w:r>
          </w:p>
        </w:tc>
        <w:tc>
          <w:tcPr>
            <w:tcW w:w="160" w:type="dxa"/>
            <w:vAlign w:val="bottom"/>
            <w:shd w:val="clear" w:color="auto" w:fill="CCECFF"/>
          </w:tcPr>
          <w:p>
            <w:pPr>
              <w:spacing w:after="0"/>
              <w:rPr>
                <w:sz w:val="13"/>
                <w:szCs w:val="13"/>
                <w:color w:val="auto"/>
              </w:rPr>
            </w:pPr>
          </w:p>
        </w:tc>
        <w:tc>
          <w:tcPr>
            <w:tcW w:w="300" w:type="dxa"/>
            <w:vAlign w:val="bottom"/>
            <w:gridSpan w:val="2"/>
            <w:shd w:val="clear" w:color="auto" w:fill="CCECFF"/>
          </w:tcPr>
          <w:p>
            <w:pPr>
              <w:jc w:val="right"/>
              <w:ind w:right="12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10.49</w:t>
            </w:r>
          </w:p>
        </w:tc>
        <w:tc>
          <w:tcPr>
            <w:tcW w:w="200" w:type="dxa"/>
            <w:vAlign w:val="bottom"/>
            <w:shd w:val="clear" w:color="auto" w:fill="CCECFF"/>
          </w:tcPr>
          <w:p>
            <w:pPr>
              <w:spacing w:after="0"/>
              <w:rPr>
                <w:sz w:val="13"/>
                <w:szCs w:val="13"/>
                <w:color w:val="auto"/>
              </w:rPr>
            </w:pPr>
          </w:p>
        </w:tc>
        <w:tc>
          <w:tcPr>
            <w:tcW w:w="300" w:type="dxa"/>
            <w:vAlign w:val="bottom"/>
            <w:gridSpan w:val="2"/>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9.69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Asset coverage per unit </w:t>
            </w:r>
            <w:r>
              <w:rPr>
                <w:rFonts w:ascii="Times New Roman" w:cs="Times New Roman" w:eastAsia="Times New Roman" w:hAnsi="Times New Roman"/>
                <w:sz w:val="16"/>
                <w:szCs w:val="16"/>
                <w:color w:val="auto"/>
                <w:vertAlign w:val="superscript"/>
              </w:rPr>
              <w:t>(8)</w:t>
            </w: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1,627</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1,637</w:t>
            </w:r>
          </w:p>
        </w:tc>
        <w:tc>
          <w:tcPr>
            <w:tcW w:w="160" w:type="dxa"/>
            <w:vAlign w:val="bottom"/>
          </w:tcPr>
          <w:p>
            <w:pPr>
              <w:spacing w:after="0"/>
              <w:rPr>
                <w:sz w:val="13"/>
                <w:szCs w:val="13"/>
                <w:color w:val="auto"/>
              </w:rPr>
            </w:pPr>
          </w:p>
        </w:tc>
        <w:tc>
          <w:tcPr>
            <w:tcW w:w="300" w:type="dxa"/>
            <w:vAlign w:val="bottom"/>
            <w:gridSpan w:val="2"/>
          </w:tcPr>
          <w:p>
            <w:pPr>
              <w:jc w:val="right"/>
              <w:ind w:right="12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1,952</w:t>
            </w:r>
          </w:p>
        </w:tc>
        <w:tc>
          <w:tcPr>
            <w:tcW w:w="160" w:type="dxa"/>
            <w:vAlign w:val="bottom"/>
          </w:tcPr>
          <w:p>
            <w:pPr>
              <w:spacing w:after="0"/>
              <w:rPr>
                <w:sz w:val="13"/>
                <w:szCs w:val="13"/>
                <w:color w:val="auto"/>
              </w:rPr>
            </w:pPr>
          </w:p>
        </w:tc>
        <w:tc>
          <w:tcPr>
            <w:tcW w:w="300" w:type="dxa"/>
            <w:vAlign w:val="bottom"/>
            <w:gridSpan w:val="2"/>
          </w:tcPr>
          <w:p>
            <w:pPr>
              <w:jc w:val="right"/>
              <w:ind w:right="12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1,855</w:t>
            </w:r>
          </w:p>
        </w:tc>
        <w:tc>
          <w:tcPr>
            <w:tcW w:w="200" w:type="dxa"/>
            <w:vAlign w:val="bottom"/>
          </w:tcPr>
          <w:p>
            <w:pPr>
              <w:spacing w:after="0"/>
              <w:rPr>
                <w:sz w:val="13"/>
                <w:szCs w:val="13"/>
                <w:color w:val="auto"/>
              </w:rPr>
            </w:pPr>
          </w:p>
        </w:tc>
        <w:tc>
          <w:tcPr>
            <w:tcW w:w="30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shd w:val="clear" w:color="auto" w:fill="CCECFF"/>
          </w:tcPr>
          <w:p>
            <w:pPr>
              <w:spacing w:after="0" w:line="156" w:lineRule="exact"/>
              <w:rPr>
                <w:sz w:val="20"/>
                <w:szCs w:val="20"/>
                <w:color w:val="auto"/>
              </w:rPr>
            </w:pPr>
            <w:r>
              <w:rPr>
                <w:rFonts w:ascii="Times New Roman" w:cs="Times New Roman" w:eastAsia="Times New Roman" w:hAnsi="Times New Roman"/>
                <w:sz w:val="13"/>
                <w:szCs w:val="13"/>
                <w:color w:val="auto"/>
              </w:rPr>
              <w:t xml:space="preserve">Average market value per unit </w:t>
            </w:r>
            <w:r>
              <w:rPr>
                <w:rFonts w:ascii="Times New Roman" w:cs="Times New Roman" w:eastAsia="Times New Roman" w:hAnsi="Times New Roman"/>
                <w:sz w:val="16"/>
                <w:szCs w:val="16"/>
                <w:color w:val="auto"/>
                <w:vertAlign w:val="superscript"/>
              </w:rPr>
              <w:t>(9)</w:t>
            </w:r>
          </w:p>
        </w:tc>
        <w:tc>
          <w:tcPr>
            <w:tcW w:w="240" w:type="dxa"/>
            <w:vAlign w:val="bottom"/>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3"/>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CFF"/>
          </w:tcPr>
          <w:p>
            <w:pPr>
              <w:jc w:val="right"/>
              <w:ind w:right="125"/>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CFF"/>
          </w:tcPr>
          <w:p>
            <w:pPr>
              <w:jc w:val="right"/>
              <w:ind w:right="125"/>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25.13</w:t>
            </w:r>
          </w:p>
        </w:tc>
        <w:tc>
          <w:tcPr>
            <w:tcW w:w="10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Portfolio turnover ratio</w:t>
            </w:r>
          </w:p>
        </w:tc>
        <w:tc>
          <w:tcPr>
            <w:tcW w:w="24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65.30%</w:t>
            </w:r>
          </w:p>
        </w:tc>
        <w:tc>
          <w:tcPr>
            <w:tcW w:w="2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43.99%</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32.58%</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70.41%</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100" w:hanging="94"/>
        <w:spacing w:after="0"/>
        <w:tabs>
          <w:tab w:leader="none" w:pos="100" w:val="left"/>
        </w:tabs>
        <w:numPr>
          <w:ilvl w:val="0"/>
          <w:numId w:val="4"/>
        </w:numPr>
        <w:rPr>
          <w:rFonts w:ascii="Times New Roman" w:cs="Times New Roman" w:eastAsia="Times New Roman" w:hAnsi="Times New Roman"/>
          <w:sz w:val="8"/>
          <w:szCs w:val="8"/>
          <w:color w:val="auto"/>
        </w:rPr>
      </w:pPr>
      <w:r>
        <w:rPr>
          <w:rFonts w:ascii="Times New Roman" w:cs="Times New Roman" w:eastAsia="Times New Roman" w:hAnsi="Times New Roman"/>
          <w:sz w:val="11"/>
          <w:szCs w:val="11"/>
          <w:color w:val="auto"/>
        </w:rPr>
        <w:t>The expense and investment income ratios do not reflect the Company's proportionate share of income and expenses of PSLF and PTSF II.</w:t>
      </w:r>
    </w:p>
    <w:p>
      <w:pPr>
        <w:spacing w:after="0" w:line="220" w:lineRule="auto"/>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1"/>
          <w:szCs w:val="11"/>
          <w:color w:val="auto"/>
        </w:rPr>
        <w:t>Based on the weighted average shares outstanding for the respective periods.</w:t>
      </w:r>
    </w:p>
    <w:p>
      <w:pPr>
        <w:spacing w:after="0" w:line="188" w:lineRule="auto"/>
        <w:rPr>
          <w:sz w:val="20"/>
          <w:szCs w:val="20"/>
          <w:color w:val="auto"/>
        </w:rPr>
      </w:pPr>
      <w:r>
        <w:rPr>
          <w:rFonts w:ascii="Times New Roman" w:cs="Times New Roman" w:eastAsia="Times New Roman" w:hAnsi="Times New Roman"/>
          <w:sz w:val="20"/>
          <w:szCs w:val="20"/>
          <w:b w:val="1"/>
          <w:bCs w:val="1"/>
          <w:color w:val="auto"/>
          <w:vertAlign w:val="superscript"/>
        </w:rPr>
        <w:t>(2)</w:t>
      </w:r>
      <w:r>
        <w:rPr>
          <w:rFonts w:ascii="Times New Roman" w:cs="Times New Roman" w:eastAsia="Times New Roman" w:hAnsi="Times New Roman"/>
          <w:sz w:val="10"/>
          <w:szCs w:val="10"/>
          <w:color w:val="auto"/>
        </w:rPr>
        <w:t>The tax status of distributions is calculated in accordance with income tax regulations, which may differ from amounts determined under GAAP, and reported on Form 1099-DIV each calendar year.</w:t>
      </w:r>
    </w:p>
    <w:p>
      <w:pPr>
        <w:spacing w:after="0" w:line="188" w:lineRule="auto"/>
        <w:rPr>
          <w:sz w:val="20"/>
          <w:szCs w:val="20"/>
          <w:color w:val="auto"/>
        </w:rPr>
      </w:pPr>
      <w:r>
        <w:rPr>
          <w:rFonts w:ascii="Times New Roman" w:cs="Times New Roman" w:eastAsia="Times New Roman" w:hAnsi="Times New Roman"/>
          <w:sz w:val="20"/>
          <w:szCs w:val="20"/>
          <w:b w:val="1"/>
          <w:bCs w:val="1"/>
          <w:color w:val="auto"/>
          <w:vertAlign w:val="superscript"/>
        </w:rPr>
        <w:t>(3)</w:t>
      </w:r>
      <w:r>
        <w:rPr>
          <w:rFonts w:ascii="Times New Roman" w:cs="Times New Roman" w:eastAsia="Times New Roman" w:hAnsi="Times New Roman"/>
          <w:sz w:val="10"/>
          <w:szCs w:val="10"/>
          <w:color w:val="auto"/>
        </w:rPr>
        <w:t>Based on the change in market price per share during the period and assumes distributions, if any, are reinvested.</w:t>
      </w:r>
    </w:p>
    <w:p>
      <w:pPr>
        <w:spacing w:after="0" w:line="187" w:lineRule="auto"/>
        <w:rPr>
          <w:sz w:val="20"/>
          <w:szCs w:val="20"/>
          <w:color w:val="auto"/>
        </w:rPr>
      </w:pPr>
      <w:r>
        <w:rPr>
          <w:rFonts w:ascii="Times New Roman" w:cs="Times New Roman" w:eastAsia="Times New Roman" w:hAnsi="Times New Roman"/>
          <w:sz w:val="20"/>
          <w:szCs w:val="20"/>
          <w:b w:val="1"/>
          <w:bCs w:val="1"/>
          <w:color w:val="auto"/>
          <w:vertAlign w:val="superscript"/>
        </w:rPr>
        <w:t>(4)</w:t>
      </w:r>
      <w:r>
        <w:rPr>
          <w:rFonts w:ascii="Times New Roman" w:cs="Times New Roman" w:eastAsia="Times New Roman" w:hAnsi="Times New Roman"/>
          <w:sz w:val="10"/>
          <w:szCs w:val="10"/>
          <w:color w:val="auto"/>
        </w:rPr>
        <w:t>Excludes debt related costs.</w:t>
      </w:r>
    </w:p>
    <w:p>
      <w:pPr>
        <w:spacing w:after="0" w:line="188" w:lineRule="auto"/>
        <w:rPr>
          <w:sz w:val="20"/>
          <w:szCs w:val="20"/>
          <w:color w:val="auto"/>
        </w:rPr>
      </w:pPr>
      <w:r>
        <w:rPr>
          <w:rFonts w:ascii="Times New Roman" w:cs="Times New Roman" w:eastAsia="Times New Roman" w:hAnsi="Times New Roman"/>
          <w:sz w:val="20"/>
          <w:szCs w:val="20"/>
          <w:b w:val="1"/>
          <w:bCs w:val="1"/>
          <w:color w:val="auto"/>
          <w:vertAlign w:val="superscript"/>
        </w:rPr>
        <w:t>(5)</w:t>
      </w:r>
      <w:r>
        <w:rPr>
          <w:rFonts w:ascii="Times New Roman" w:cs="Times New Roman" w:eastAsia="Times New Roman" w:hAnsi="Times New Roman"/>
          <w:sz w:val="10"/>
          <w:szCs w:val="10"/>
          <w:color w:val="auto"/>
        </w:rPr>
        <w:t>Includes interest and expenses on debt (annualized) as well as Truist Credit Facility amendment and debt issuance costs, if any (not annualized).</w:t>
      </w:r>
    </w:p>
    <w:p>
      <w:pPr>
        <w:spacing w:after="0" w:line="188" w:lineRule="auto"/>
        <w:rPr>
          <w:sz w:val="20"/>
          <w:szCs w:val="20"/>
          <w:color w:val="auto"/>
        </w:rPr>
      </w:pPr>
      <w:r>
        <w:rPr>
          <w:rFonts w:ascii="Times New Roman" w:cs="Times New Roman" w:eastAsia="Times New Roman" w:hAnsi="Times New Roman"/>
          <w:sz w:val="20"/>
          <w:szCs w:val="20"/>
          <w:b w:val="1"/>
          <w:bCs w:val="1"/>
          <w:color w:val="auto"/>
          <w:vertAlign w:val="superscript"/>
        </w:rPr>
        <w:t>(6)</w:t>
      </w:r>
      <w:r>
        <w:rPr>
          <w:rFonts w:ascii="Times New Roman" w:cs="Times New Roman" w:eastAsia="Times New Roman" w:hAnsi="Times New Roman"/>
          <w:sz w:val="10"/>
          <w:szCs w:val="10"/>
          <w:color w:val="auto"/>
        </w:rPr>
        <w:t>Does not foot due to rounding, as applicable</w:t>
      </w:r>
    </w:p>
    <w:p>
      <w:pPr>
        <w:spacing w:after="0" w:line="188" w:lineRule="auto"/>
        <w:rPr>
          <w:sz w:val="20"/>
          <w:szCs w:val="20"/>
          <w:color w:val="auto"/>
        </w:rPr>
      </w:pPr>
      <w:r>
        <w:rPr>
          <w:rFonts w:ascii="Times New Roman" w:cs="Times New Roman" w:eastAsia="Times New Roman" w:hAnsi="Times New Roman"/>
          <w:sz w:val="20"/>
          <w:szCs w:val="20"/>
          <w:b w:val="1"/>
          <w:bCs w:val="1"/>
          <w:color w:val="auto"/>
          <w:vertAlign w:val="superscript"/>
        </w:rPr>
        <w:t>(7)</w:t>
      </w:r>
      <w:r>
        <w:rPr>
          <w:rFonts w:ascii="Times New Roman" w:cs="Times New Roman" w:eastAsia="Times New Roman" w:hAnsi="Times New Roman"/>
          <w:sz w:val="10"/>
          <w:szCs w:val="10"/>
          <w:color w:val="auto"/>
        </w:rPr>
        <w:t>Includes SBA debentures outstanding</w:t>
      </w:r>
    </w:p>
    <w:p>
      <w:pPr>
        <w:spacing w:after="0" w:line="1" w:lineRule="exact"/>
        <w:rPr>
          <w:sz w:val="20"/>
          <w:szCs w:val="20"/>
          <w:color w:val="auto"/>
        </w:rPr>
      </w:pPr>
    </w:p>
    <w:p>
      <w:pPr>
        <w:ind w:right="380"/>
        <w:spacing w:after="0" w:line="213" w:lineRule="auto"/>
        <w:rPr>
          <w:sz w:val="20"/>
          <w:szCs w:val="20"/>
          <w:color w:val="auto"/>
        </w:rPr>
      </w:pPr>
      <w:r>
        <w:rPr>
          <w:rFonts w:ascii="Times New Roman" w:cs="Times New Roman" w:eastAsia="Times New Roman" w:hAnsi="Times New Roman"/>
          <w:sz w:val="21"/>
          <w:szCs w:val="21"/>
          <w:b w:val="1"/>
          <w:bCs w:val="1"/>
          <w:color w:val="auto"/>
          <w:vertAlign w:val="superscript"/>
        </w:rPr>
        <w:t>(8)</w:t>
      </w:r>
      <w:r>
        <w:rPr>
          <w:rFonts w:ascii="Times New Roman" w:cs="Times New Roman" w:eastAsia="Times New Roman" w:hAnsi="Times New Roman"/>
          <w:sz w:val="11"/>
          <w:szCs w:val="11"/>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 These amounts exclude SBA debentures from our asset coverage per unit computation pursuant to exemptive relief received from the SEC in June 2011.</w:t>
      </w:r>
    </w:p>
    <w:p>
      <w:pPr>
        <w:spacing w:after="0" w:line="2" w:lineRule="exact"/>
        <w:rPr>
          <w:sz w:val="20"/>
          <w:szCs w:val="20"/>
          <w:color w:val="auto"/>
        </w:rPr>
      </w:pPr>
    </w:p>
    <w:p>
      <w:pPr>
        <w:ind w:right="260"/>
        <w:spacing w:after="0" w:line="203" w:lineRule="auto"/>
        <w:rPr>
          <w:sz w:val="20"/>
          <w:szCs w:val="20"/>
          <w:color w:val="auto"/>
        </w:rPr>
      </w:pPr>
      <w:r>
        <w:rPr>
          <w:rFonts w:ascii="Times New Roman" w:cs="Times New Roman" w:eastAsia="Times New Roman" w:hAnsi="Times New Roman"/>
          <w:sz w:val="21"/>
          <w:szCs w:val="21"/>
          <w:b w:val="1"/>
          <w:bCs w:val="1"/>
          <w:color w:val="auto"/>
          <w:vertAlign w:val="superscript"/>
        </w:rPr>
        <w:t>(9)</w:t>
      </w:r>
      <w:r>
        <w:rPr>
          <w:rFonts w:ascii="Times New Roman" w:cs="Times New Roman" w:eastAsia="Times New Roman" w:hAnsi="Times New Roman"/>
          <w:sz w:val="11"/>
          <w:szCs w:val="11"/>
          <w:color w:val="auto"/>
        </w:rPr>
        <w:t>The average market value per unit is derived based on the daily closing price of the 2024 Notes trading on The Nasdaq Global Select Market under the symbol “PNNTG,” which were issued in increments of $25 per unit and commenced trading on September 30, 2019. The 2024 Notes were redeemed in full on November 13, 2021 and no amounts were outstanding as of September 30, 2025, or 2024.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11. DEBT</w:t>
      </w:r>
    </w:p>
    <w:p>
      <w:pPr>
        <w:spacing w:after="0" w:line="129"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The annualized weighted average cost of debt for the years ended September 30, 2025, 2024, and 2023, inclusive of the fee on the undrawn commitment and amendment costs on the Truist Credit Facility and amortized upfront fees on the 2026 Notes and 2026 Notes-2, was 6.1%, 6.5%, and 6.0%, respectively. As of September 30, 2025, in accordance with the 1940 Act, with certain limited exceptions, we are only allowed to borrow amounts such that we are in compliance with the 150% asset coverage ratio requirement after such borrowing, excluding SBA debentures, pursuant to exemptive relief from the SEC received in June 2011.</w:t>
      </w:r>
    </w:p>
    <w:p>
      <w:pPr>
        <w:spacing w:after="0" w:line="127" w:lineRule="exact"/>
        <w:rPr>
          <w:sz w:val="20"/>
          <w:szCs w:val="20"/>
          <w:color w:val="auto"/>
        </w:rPr>
      </w:pPr>
    </w:p>
    <w:p>
      <w:pPr>
        <w:jc w:val="both"/>
        <w:ind w:right="280" w:firstLine="420"/>
        <w:spacing w:after="0" w:line="262" w:lineRule="auto"/>
        <w:rPr>
          <w:sz w:val="20"/>
          <w:szCs w:val="20"/>
          <w:color w:val="auto"/>
        </w:rPr>
      </w:pPr>
      <w:r>
        <w:rPr>
          <w:rFonts w:ascii="Times New Roman" w:cs="Times New Roman" w:eastAsia="Times New Roman" w:hAnsi="Times New Roman"/>
          <w:sz w:val="13"/>
          <w:szCs w:val="13"/>
          <w:color w:val="auto"/>
        </w:rPr>
        <w:t>On February 5, 2019, our stockholders approved the application of the modified asset coverage requirements set forth in Section 61(a)(2) of the 1940 Act, as amended by the Consolidated Appropriations Act of 2018 (which includes the Small Business Credit Availability Act, or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September 30, 2025 and 2024, our asset coverage ratio, as computed in accordance with the 1940 Act, was 163% and 164%, respectively.</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2" w:right="660"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Truist Credit Facility</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 of September 30, 2025, we had the multi-currency Truist Credit Facility for up to $500 million (increased from $475 million in February 2025), which may be further increased up to</w:t>
      </w:r>
    </w:p>
    <w:p>
      <w:pPr>
        <w:spacing w:after="0" w:line="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auto"/>
        </w:rPr>
        <w:t>$750.0 million in borrowings with certain lenders and Truist Bank (formerly SunTrust Bank), acting as administrative agent, Regions Bank, acting as an additional multicurrency lender, and JPMorgan Chase Bank, N.A., acting as syndication agent for the lenders. As of September 30, 2025 and 2024, we had $426.5 million and $461.5 million, respectively, in outstanding borrowings under the Truist Credit Facility. The Truist Credit Facility had a weighted average interest rate of 6.5% and 7.2%, respectively, exclusive of the fee on undrawn commitment, as of September 30, 2025 and 2024. The Truist Credit Facility is a revolving facility with a stated maturity date of July 29, 2027 and pricing set at 235 basis points over SOFR. As of September 30, 2025 and 2024, we had $73.5 million and $13.5 million of unused borrowing capacity under the Truist Credit Facility, respectively, subject to leverage and borrowing base restrictions. The Truist Credit Facility is secured by substantially all of our assets. As of September 30, 2025, we were in compliance with the terms of the Truist Credit Facility.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SBA Debentures</w:t>
      </w:r>
    </w:p>
    <w:p>
      <w:pPr>
        <w:spacing w:after="0" w:line="131" w:lineRule="exact"/>
        <w:rPr>
          <w:sz w:val="20"/>
          <w:szCs w:val="20"/>
          <w:color w:val="auto"/>
        </w:rPr>
      </w:pPr>
    </w:p>
    <w:p>
      <w:pPr>
        <w:ind w:right="100" w:firstLine="420"/>
        <w:spacing w:after="0" w:line="259" w:lineRule="auto"/>
        <w:rPr>
          <w:sz w:val="20"/>
          <w:szCs w:val="20"/>
          <w:color w:val="auto"/>
        </w:rPr>
      </w:pPr>
      <w:r>
        <w:rPr>
          <w:rFonts w:ascii="Times New Roman" w:cs="Times New Roman" w:eastAsia="Times New Roman" w:hAnsi="Times New Roman"/>
          <w:sz w:val="13"/>
          <w:szCs w:val="13"/>
          <w:color w:val="auto"/>
        </w:rPr>
        <w:t>SBIC II was historically able to borrow funds from the SBA against regulatory capital (which approximates equity capital) that is paid-in and is subject to customary regulatory requirements including an examination by the SBA. We previously funded SBIC II with $75.0 million of equity capital and it had SBA debentures outstanding of zero as of September 30, 2025 and 2024.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 million in the aggregate.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2026 Notes</w:t>
      </w:r>
    </w:p>
    <w:p>
      <w:pPr>
        <w:spacing w:after="0" w:line="131"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In April 2021, we issued $ 150.0 million in aggregate principal amount of our 2026 Notes at a public offering price per note of 99.4%. Interest on the 2026 Notes is paid semi-annually on May 1 and November 1 of each year, at a rate of 4.50% per year, commencing November 1, 2021. The effective interest rate is 4.58%.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2026 Notes-2</w:t>
      </w:r>
    </w:p>
    <w:p>
      <w:pPr>
        <w:spacing w:after="0" w:line="131" w:lineRule="exact"/>
        <w:rPr>
          <w:sz w:val="20"/>
          <w:szCs w:val="20"/>
          <w:color w:val="auto"/>
        </w:rPr>
      </w:pPr>
    </w:p>
    <w:p>
      <w:pPr>
        <w:ind w:right="100" w:firstLine="420"/>
        <w:spacing w:after="0" w:line="257" w:lineRule="auto"/>
        <w:rPr>
          <w:sz w:val="20"/>
          <w:szCs w:val="20"/>
          <w:color w:val="auto"/>
        </w:rPr>
      </w:pPr>
      <w:r>
        <w:rPr>
          <w:rFonts w:ascii="Times New Roman" w:cs="Times New Roman" w:eastAsia="Times New Roman" w:hAnsi="Times New Roman"/>
          <w:sz w:val="13"/>
          <w:szCs w:val="13"/>
          <w:color w:val="auto"/>
        </w:rPr>
        <w:t>In October 2021, we issued $165.0 million in aggregate principal amount of our 2026 Notes- 2 at a public offering price per note of 99.4%. Interest on the 2026 Notes -2 is paid semi-annually on May 1 and November 1 of each year, at a rate of 4.00% per year, commencing May 1, 2022. The effective interest rate is 4.14%. The 2026 Notes- 2 mature on November 1, 2026 and may be redeemed in whole or in part at our option subject to a make-whole premium if redeemed more than three months prior to maturity. The 2026 Notes-2 are general, unsecured obligations and rank equal in right of payment with all of our existing and future senior unsecured indebtedness. The 2026 Notes -2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12. COMMITMENTS AND CONTINGENCIES</w:t>
      </w:r>
    </w:p>
    <w:p>
      <w:pPr>
        <w:spacing w:after="0" w:line="129" w:lineRule="exact"/>
        <w:rPr>
          <w:sz w:val="20"/>
          <w:szCs w:val="20"/>
          <w:color w:val="auto"/>
        </w:rPr>
      </w:pPr>
    </w:p>
    <w:p>
      <w:pPr>
        <w:ind w:right="160" w:firstLine="420"/>
        <w:spacing w:after="0" w:line="268" w:lineRule="auto"/>
        <w:rPr>
          <w:sz w:val="20"/>
          <w:szCs w:val="20"/>
          <w:color w:val="auto"/>
        </w:rPr>
      </w:pPr>
      <w:r>
        <w:rPr>
          <w:rFonts w:ascii="Times New Roman" w:cs="Times New Roman" w:eastAsia="Times New Roman" w:hAnsi="Times New Roman"/>
          <w:sz w:val="13"/>
          <w:szCs w:val="13"/>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87"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Unfunded debt and equity investments, if any, are disclosed in the Consolidated Schedules of Investments. Under these arrangements, we may be required to supply a letter of credit to a third party if the portfolio company were to request a letter of credit. As of September 30, 2025 and 2024, we had $344.6 million and $373.9 million, respectively, in commitments to fund investments. Additionally, the Company had unfunded commitments of up to $13.2 million and $52.5 million to PSLF as of September 30, 2025 and 2024, respectively, that may be contributed primarily for the purpose of funding new investments approved by PSLF board of directors or investment committee.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13. UNCONSOLIDATED SIGNIFICANT SUBSIDIARIES</w:t>
      </w:r>
    </w:p>
    <w:p>
      <w:pPr>
        <w:spacing w:after="0" w:line="129" w:lineRule="exact"/>
        <w:rPr>
          <w:sz w:val="20"/>
          <w:szCs w:val="20"/>
          <w:color w:val="auto"/>
        </w:rPr>
      </w:pPr>
    </w:p>
    <w:p>
      <w:pPr>
        <w:ind w:right="160" w:firstLine="420"/>
        <w:spacing w:after="0" w:line="259" w:lineRule="auto"/>
        <w:rPr>
          <w:sz w:val="20"/>
          <w:szCs w:val="20"/>
          <w:color w:val="auto"/>
        </w:rPr>
      </w:pPr>
      <w:r>
        <w:rPr>
          <w:rFonts w:ascii="Times New Roman" w:cs="Times New Roman" w:eastAsia="Times New Roman" w:hAnsi="Times New Roman"/>
          <w:sz w:val="13"/>
          <w:szCs w:val="13"/>
          <w:color w:val="auto"/>
        </w:rPr>
        <w:t>We must determine which, if any, of our unconsolidated controlled portfolio companies is a "significant subsidiary" within the meaning of Regulation S-X. We have determined that, as of September 30, 2025, PennantPark Senior Loan Fund, LLC, JF Intermediate, LLC, and AKW Holdings Limited triggered at least one of the significance tests. In accordance with Rule 3-09, separate audited financial statements of JF Intermediate, LLC, and AKW Holdings Limited for the years ended September 30, 2025, 2024, and 2023 will be filed via Form 10-K/A at a later date. Similar, in accordance with Rule 3-09 of Regulation S-X, separate audited financial statements of PennantPark Senior Loan Fund, LLC for the years ended September 30, 2025, 2024, and 2023 are being filed herein as Exhibit 99.3 and Exhibit 99.4.</w:t>
      </w:r>
    </w:p>
    <w:p>
      <w:pPr>
        <w:spacing w:after="0" w:line="94" w:lineRule="exact"/>
        <w:rPr>
          <w:sz w:val="20"/>
          <w:szCs w:val="20"/>
          <w:color w:val="auto"/>
        </w:rPr>
      </w:pPr>
    </w:p>
    <w:p>
      <w:pPr>
        <w:ind w:right="60" w:firstLine="420"/>
        <w:spacing w:after="0" w:line="268" w:lineRule="auto"/>
        <w:rPr>
          <w:sz w:val="20"/>
          <w:szCs w:val="20"/>
          <w:color w:val="auto"/>
        </w:rPr>
      </w:pPr>
      <w:r>
        <w:rPr>
          <w:rFonts w:ascii="Times New Roman" w:cs="Times New Roman" w:eastAsia="Times New Roman" w:hAnsi="Times New Roman"/>
          <w:sz w:val="13"/>
          <w:szCs w:val="13"/>
          <w:color w:val="auto"/>
        </w:rPr>
        <w:t>In December 2023, JF Intermediate LLC became controlled affiliate. Below is certain selected key financial data from JF Intermediate, LLC Balance Sheet at September 30, 2025 and 2024, and the twelve months ended September 30, 2025, 2024 and 2023 Income Statement for the periods in which our investment in JF Intermediate, LLC exceeded the threshold in at least one of the tests under Rule 3-09 of Regulation S-X (amounts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8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JF Intermediate, LLC:</w:t>
            </w:r>
          </w:p>
        </w:tc>
        <w:tc>
          <w:tcPr>
            <w:tcW w:w="23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356"/>
        </w:trPr>
        <w:tc>
          <w:tcPr>
            <w:tcW w:w="3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Sheet</w:t>
            </w:r>
          </w:p>
        </w:tc>
        <w:tc>
          <w:tcPr>
            <w:tcW w:w="2320" w:type="dxa"/>
            <w:vAlign w:val="bottom"/>
          </w:tcPr>
          <w:p>
            <w:pPr>
              <w:spacing w:after="0"/>
              <w:rPr>
                <w:sz w:val="24"/>
                <w:szCs w:val="24"/>
                <w:color w:val="auto"/>
              </w:rPr>
            </w:pPr>
          </w:p>
        </w:tc>
        <w:tc>
          <w:tcPr>
            <w:tcW w:w="2160" w:type="dxa"/>
            <w:vAlign w:val="bottom"/>
          </w:tcPr>
          <w:p>
            <w:pPr>
              <w:jc w:val="right"/>
              <w:ind w:right="714"/>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520" w:type="dxa"/>
            <w:vAlign w:val="bottom"/>
          </w:tcPr>
          <w:p>
            <w:pPr>
              <w:spacing w:after="0"/>
              <w:rPr>
                <w:sz w:val="24"/>
                <w:szCs w:val="24"/>
                <w:color w:val="auto"/>
              </w:rPr>
            </w:pPr>
          </w:p>
        </w:tc>
        <w:tc>
          <w:tcPr>
            <w:tcW w:w="2080" w:type="dxa"/>
            <w:vAlign w:val="bottom"/>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September 30, 2024</w:t>
            </w:r>
          </w:p>
        </w:tc>
      </w:tr>
      <w:tr>
        <w:trPr>
          <w:trHeight w:val="156"/>
        </w:trPr>
        <w:tc>
          <w:tcPr>
            <w:tcW w:w="34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232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216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303,498</w:t>
            </w:r>
          </w:p>
        </w:tc>
        <w:tc>
          <w:tcPr>
            <w:tcW w:w="520" w:type="dxa"/>
            <w:vAlign w:val="bottom"/>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20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278,646</w:t>
            </w:r>
          </w:p>
        </w:tc>
      </w:tr>
      <w:tr>
        <w:trPr>
          <w:trHeight w:val="156"/>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Noncurrent assets</w:t>
            </w:r>
          </w:p>
        </w:tc>
        <w:tc>
          <w:tcPr>
            <w:tcW w:w="2320" w:type="dxa"/>
            <w:vAlign w:val="bottom"/>
          </w:tcPr>
          <w:p>
            <w:pPr>
              <w:spacing w:after="0"/>
              <w:rPr>
                <w:sz w:val="13"/>
                <w:szCs w:val="13"/>
                <w:color w:val="auto"/>
              </w:rPr>
            </w:pPr>
          </w:p>
        </w:tc>
        <w:tc>
          <w:tcPr>
            <w:tcW w:w="21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121,000</w:t>
            </w:r>
          </w:p>
        </w:tc>
        <w:tc>
          <w:tcPr>
            <w:tcW w:w="520" w:type="dxa"/>
            <w:vAlign w:val="bottom"/>
          </w:tcPr>
          <w:p>
            <w:pPr>
              <w:spacing w:after="0"/>
              <w:rPr>
                <w:sz w:val="13"/>
                <w:szCs w:val="13"/>
                <w:color w:val="auto"/>
              </w:rPr>
            </w:pPr>
          </w:p>
        </w:tc>
        <w:tc>
          <w:tcPr>
            <w:tcW w:w="2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120,808</w:t>
            </w:r>
          </w:p>
        </w:tc>
      </w:tr>
      <w:tr>
        <w:trPr>
          <w:trHeight w:val="156"/>
        </w:trPr>
        <w:tc>
          <w:tcPr>
            <w:tcW w:w="34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2320" w:type="dxa"/>
            <w:vAlign w:val="bottom"/>
            <w:shd w:val="clear" w:color="auto" w:fill="CCECFF"/>
          </w:tcPr>
          <w:p>
            <w:pPr>
              <w:spacing w:after="0"/>
              <w:rPr>
                <w:sz w:val="13"/>
                <w:szCs w:val="13"/>
                <w:color w:val="auto"/>
              </w:rPr>
            </w:pPr>
          </w:p>
        </w:tc>
        <w:tc>
          <w:tcPr>
            <w:tcW w:w="216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192,665</w:t>
            </w:r>
          </w:p>
        </w:tc>
        <w:tc>
          <w:tcPr>
            <w:tcW w:w="520" w:type="dxa"/>
            <w:vAlign w:val="bottom"/>
            <w:shd w:val="clear" w:color="auto" w:fill="CCECFF"/>
          </w:tcPr>
          <w:p>
            <w:pPr>
              <w:spacing w:after="0"/>
              <w:rPr>
                <w:sz w:val="13"/>
                <w:szCs w:val="13"/>
                <w:color w:val="auto"/>
              </w:rPr>
            </w:pPr>
          </w:p>
        </w:tc>
        <w:tc>
          <w:tcPr>
            <w:tcW w:w="20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181,517</w:t>
            </w:r>
          </w:p>
        </w:tc>
      </w:tr>
      <w:tr>
        <w:trPr>
          <w:trHeight w:val="172"/>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Noncurrent liabilities</w:t>
            </w:r>
          </w:p>
        </w:tc>
        <w:tc>
          <w:tcPr>
            <w:tcW w:w="2320" w:type="dxa"/>
            <w:vAlign w:val="bottom"/>
          </w:tcPr>
          <w:p>
            <w:pPr>
              <w:spacing w:after="0"/>
              <w:rPr>
                <w:sz w:val="14"/>
                <w:szCs w:val="14"/>
                <w:color w:val="auto"/>
              </w:rPr>
            </w:pPr>
          </w:p>
        </w:tc>
        <w:tc>
          <w:tcPr>
            <w:tcW w:w="21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280,683</w:t>
            </w:r>
          </w:p>
        </w:tc>
        <w:tc>
          <w:tcPr>
            <w:tcW w:w="520" w:type="dxa"/>
            <w:vAlign w:val="bottom"/>
          </w:tcPr>
          <w:p>
            <w:pPr>
              <w:spacing w:after="0"/>
              <w:rPr>
                <w:sz w:val="14"/>
                <w:szCs w:val="14"/>
                <w:color w:val="auto"/>
              </w:rPr>
            </w:pPr>
          </w:p>
        </w:tc>
        <w:tc>
          <w:tcPr>
            <w:tcW w:w="2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246,278</w:t>
            </w:r>
          </w:p>
        </w:tc>
      </w:tr>
      <w:tr>
        <w:trPr>
          <w:trHeight w:val="517"/>
        </w:trPr>
        <w:tc>
          <w:tcPr>
            <w:tcW w:w="3480" w:type="dxa"/>
            <w:vAlign w:val="bottom"/>
          </w:tcPr>
          <w:p>
            <w:pPr>
              <w:spacing w:after="0"/>
              <w:rPr>
                <w:sz w:val="24"/>
                <w:szCs w:val="24"/>
                <w:color w:val="auto"/>
              </w:rPr>
            </w:pPr>
          </w:p>
        </w:tc>
        <w:tc>
          <w:tcPr>
            <w:tcW w:w="232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rPr>
              <w:t>52</w:t>
            </w:r>
          </w:p>
        </w:tc>
        <w:tc>
          <w:tcPr>
            <w:tcW w:w="2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680"/>
        </w:trPr>
        <w:tc>
          <w:tcPr>
            <w:tcW w:w="3480" w:type="dxa"/>
            <w:vAlign w:val="bottom"/>
            <w:tcBorders>
              <w:bottom w:val="single" w:sz="8" w:color="EEEEEE"/>
            </w:tcBorders>
          </w:tcPr>
          <w:p>
            <w:pPr>
              <w:spacing w:after="0"/>
              <w:rPr>
                <w:sz w:val="24"/>
                <w:szCs w:val="24"/>
                <w:color w:val="auto"/>
              </w:rPr>
            </w:pPr>
          </w:p>
        </w:tc>
        <w:tc>
          <w:tcPr>
            <w:tcW w:w="2320" w:type="dxa"/>
            <w:vAlign w:val="bottom"/>
            <w:tcBorders>
              <w:bottom w:val="single" w:sz="8" w:color="EEEEEE"/>
            </w:tcBorders>
          </w:tcPr>
          <w:p>
            <w:pPr>
              <w:spacing w:after="0"/>
              <w:rPr>
                <w:sz w:val="24"/>
                <w:szCs w:val="24"/>
                <w:color w:val="auto"/>
              </w:rPr>
            </w:pPr>
          </w:p>
        </w:tc>
        <w:tc>
          <w:tcPr>
            <w:tcW w:w="216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20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Year Ended September 30,</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Income Statement</w:t>
            </w: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ind w:right="73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right"/>
              <w:ind w:right="718"/>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jc w:val="right"/>
              <w:ind w:right="739"/>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r>
      <w:tr>
        <w:trPr>
          <w:trHeight w:val="156"/>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Total revenue</w:t>
            </w:r>
          </w:p>
        </w:tc>
        <w:tc>
          <w:tcPr>
            <w:tcW w:w="2100" w:type="dxa"/>
            <w:vAlign w:val="bottom"/>
            <w:gridSpan w:val="2"/>
            <w:shd w:val="clear" w:color="auto" w:fill="CCEC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916,105</w:t>
            </w:r>
          </w:p>
        </w:tc>
        <w:tc>
          <w:tcPr>
            <w:tcW w:w="180" w:type="dxa"/>
            <w:vAlign w:val="bottom"/>
            <w:shd w:val="clear" w:color="auto" w:fill="CCECFF"/>
          </w:tcPr>
          <w:p>
            <w:pPr>
              <w:spacing w:after="0"/>
              <w:rPr>
                <w:sz w:val="13"/>
                <w:szCs w:val="13"/>
                <w:color w:val="auto"/>
              </w:rPr>
            </w:pPr>
          </w:p>
        </w:tc>
        <w:tc>
          <w:tcPr>
            <w:tcW w:w="2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813,923</w:t>
            </w:r>
          </w:p>
        </w:tc>
        <w:tc>
          <w:tcPr>
            <w:tcW w:w="180" w:type="dxa"/>
            <w:vAlign w:val="bottom"/>
            <w:shd w:val="clear" w:color="auto" w:fill="CCECFF"/>
          </w:tcPr>
          <w:p>
            <w:pPr>
              <w:spacing w:after="0"/>
              <w:rPr>
                <w:sz w:val="13"/>
                <w:szCs w:val="13"/>
                <w:color w:val="auto"/>
              </w:rPr>
            </w:pPr>
          </w:p>
        </w:tc>
        <w:tc>
          <w:tcPr>
            <w:tcW w:w="540" w:type="dxa"/>
            <w:vAlign w:val="bottom"/>
            <w:gridSpan w:val="2"/>
            <w:shd w:val="clear" w:color="auto" w:fill="CCEC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570,348</w:t>
            </w:r>
          </w:p>
        </w:tc>
        <w:tc>
          <w:tcPr>
            <w:tcW w:w="80" w:type="dxa"/>
            <w:vAlign w:val="bottom"/>
            <w:shd w:val="clear" w:color="auto" w:fill="CCECFF"/>
          </w:tcPr>
          <w:p>
            <w:pPr>
              <w:spacing w:after="0"/>
              <w:rPr>
                <w:sz w:val="13"/>
                <w:szCs w:val="13"/>
                <w:color w:val="auto"/>
              </w:rPr>
            </w:pPr>
          </w:p>
        </w:tc>
      </w:tr>
      <w:tr>
        <w:trPr>
          <w:trHeight w:val="156"/>
        </w:trPr>
        <w:tc>
          <w:tcPr>
            <w:tcW w:w="2680" w:type="dxa"/>
            <w:vAlign w:val="bottom"/>
          </w:tcPr>
          <w:p>
            <w:pPr>
              <w:spacing w:after="0"/>
              <w:rPr>
                <w:sz w:val="20"/>
                <w:szCs w:val="20"/>
                <w:color w:val="auto"/>
              </w:rPr>
            </w:pPr>
            <w:r>
              <w:rPr>
                <w:rFonts w:ascii="Times New Roman" w:cs="Times New Roman" w:eastAsia="Times New Roman" w:hAnsi="Times New Roman"/>
                <w:sz w:val="13"/>
                <w:szCs w:val="13"/>
                <w:color w:val="auto"/>
              </w:rPr>
              <w:t>Total expenses</w:t>
            </w:r>
          </w:p>
        </w:tc>
        <w:tc>
          <w:tcPr>
            <w:tcW w:w="1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936,468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836,196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584,776</w:t>
            </w:r>
          </w:p>
        </w:tc>
        <w:tc>
          <w:tcPr>
            <w:tcW w:w="80" w:type="dxa"/>
            <w:vAlign w:val="bottom"/>
          </w:tcPr>
          <w:p>
            <w:pPr>
              <w:spacing w:after="0"/>
              <w:rPr>
                <w:sz w:val="13"/>
                <w:szCs w:val="13"/>
                <w:color w:val="auto"/>
              </w:rPr>
            </w:pPr>
          </w:p>
        </w:tc>
      </w:tr>
      <w:tr>
        <w:trPr>
          <w:trHeight w:val="176"/>
        </w:trPr>
        <w:tc>
          <w:tcPr>
            <w:tcW w:w="2680" w:type="dxa"/>
            <w:vAlign w:val="bottom"/>
            <w:shd w:val="clear" w:color="auto" w:fill="CCECFF"/>
          </w:tcPr>
          <w:p>
            <w:pPr>
              <w:spacing w:after="0" w:line="136" w:lineRule="exact"/>
              <w:rPr>
                <w:sz w:val="20"/>
                <w:szCs w:val="20"/>
                <w:color w:val="auto"/>
              </w:rPr>
            </w:pPr>
            <w:r>
              <w:rPr>
                <w:rFonts w:ascii="Times New Roman" w:cs="Times New Roman" w:eastAsia="Times New Roman" w:hAnsi="Times New Roman"/>
                <w:sz w:val="13"/>
                <w:szCs w:val="13"/>
                <w:color w:val="auto"/>
              </w:rPr>
              <w:t>Net loss</w:t>
            </w:r>
          </w:p>
        </w:tc>
        <w:tc>
          <w:tcPr>
            <w:tcW w:w="2100" w:type="dxa"/>
            <w:vAlign w:val="bottom"/>
            <w:gridSpan w:val="2"/>
            <w:shd w:val="clear" w:color="auto" w:fill="CCECFF"/>
          </w:tcPr>
          <w:p>
            <w:pPr>
              <w:jc w:val="right"/>
              <w:ind w:right="3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600" w:type="dxa"/>
            <w:vAlign w:val="bottom"/>
            <w:gridSpan w:val="2"/>
            <w:shd w:val="clear" w:color="auto" w:fill="CCECFF"/>
          </w:tcPr>
          <w:p>
            <w:pPr>
              <w:jc w:val="right"/>
              <w:ind w:right="140"/>
              <w:spacing w:after="0" w:line="136" w:lineRule="exact"/>
              <w:rPr>
                <w:sz w:val="20"/>
                <w:szCs w:val="20"/>
                <w:color w:val="auto"/>
              </w:rPr>
            </w:pPr>
            <w:r>
              <w:rPr>
                <w:rFonts w:ascii="Times New Roman" w:cs="Times New Roman" w:eastAsia="Times New Roman" w:hAnsi="Times New Roman"/>
                <w:sz w:val="9"/>
                <w:szCs w:val="9"/>
                <w:color w:val="auto"/>
              </w:rPr>
              <w:t>(20,363</w:t>
            </w:r>
            <w:r>
              <w:rPr>
                <w:rFonts w:ascii="Times New Roman" w:cs="Times New Roman" w:eastAsia="Times New Roman" w:hAnsi="Times New Roman"/>
                <w:sz w:val="15"/>
                <w:szCs w:val="15"/>
                <w:color w:val="auto"/>
                <w:vertAlign w:val="subscript"/>
              </w:rPr>
              <w:t>)</w:t>
            </w:r>
          </w:p>
        </w:tc>
        <w:tc>
          <w:tcPr>
            <w:tcW w:w="240" w:type="dxa"/>
            <w:vAlign w:val="bottom"/>
            <w:gridSpan w:val="2"/>
            <w:shd w:val="clear" w:color="auto" w:fill="CCECFF"/>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900" w:type="dxa"/>
            <w:vAlign w:val="bottom"/>
            <w:gridSpan w:val="2"/>
            <w:shd w:val="clear" w:color="auto" w:fill="CCECFF"/>
          </w:tcPr>
          <w:p>
            <w:pPr>
              <w:jc w:val="right"/>
              <w:ind w:right="120"/>
              <w:spacing w:after="0" w:line="136" w:lineRule="exact"/>
              <w:rPr>
                <w:sz w:val="20"/>
                <w:szCs w:val="20"/>
                <w:color w:val="auto"/>
              </w:rPr>
            </w:pPr>
            <w:r>
              <w:rPr>
                <w:rFonts w:ascii="Times New Roman" w:cs="Times New Roman" w:eastAsia="Times New Roman" w:hAnsi="Times New Roman"/>
                <w:sz w:val="9"/>
                <w:szCs w:val="9"/>
                <w:color w:val="auto"/>
              </w:rPr>
              <w:t>(22,273</w:t>
            </w:r>
            <w:r>
              <w:rPr>
                <w:rFonts w:ascii="Times New Roman" w:cs="Times New Roman" w:eastAsia="Times New Roman" w:hAnsi="Times New Roman"/>
                <w:sz w:val="15"/>
                <w:szCs w:val="15"/>
                <w:color w:val="auto"/>
                <w:vertAlign w:val="subscript"/>
              </w:rPr>
              <w:t>)</w:t>
            </w:r>
          </w:p>
        </w:tc>
        <w:tc>
          <w:tcPr>
            <w:tcW w:w="540" w:type="dxa"/>
            <w:vAlign w:val="bottom"/>
            <w:gridSpan w:val="2"/>
            <w:shd w:val="clear" w:color="auto" w:fill="CCECFF"/>
          </w:tcPr>
          <w:p>
            <w:pPr>
              <w:jc w:val="right"/>
              <w:ind w:right="3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500" w:type="dxa"/>
            <w:vAlign w:val="bottom"/>
            <w:gridSpan w:val="2"/>
            <w:shd w:val="clear" w:color="auto" w:fill="CCECFF"/>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(14,428</w:t>
            </w:r>
            <w:r>
              <w:rPr>
                <w:rFonts w:ascii="Times New Roman" w:cs="Times New Roman" w:eastAsia="Times New Roman" w:hAnsi="Times New Roman"/>
                <w:sz w:val="15"/>
                <w:szCs w:val="15"/>
                <w:color w:val="auto"/>
                <w:vertAlign w:val="subscript"/>
              </w:rPr>
              <w:t>)</w:t>
            </w:r>
          </w:p>
        </w:tc>
      </w:tr>
      <w:tr>
        <w:trPr>
          <w:trHeight w:val="20"/>
        </w:trPr>
        <w:tc>
          <w:tcPr>
            <w:tcW w:w="2680" w:type="dxa"/>
            <w:vAlign w:val="bottom"/>
            <w:tcBorders>
              <w:top w:val="single" w:sz="8" w:color="CCECFF"/>
            </w:tcBorders>
            <w:shd w:val="clear" w:color="auto" w:fill="CCECFF"/>
          </w:tcPr>
          <w:p>
            <w:pPr>
              <w:spacing w:after="0" w:line="20" w:lineRule="exact"/>
              <w:rPr>
                <w:sz w:val="1"/>
                <w:szCs w:val="1"/>
                <w:color w:val="auto"/>
              </w:rPr>
            </w:pPr>
          </w:p>
        </w:tc>
        <w:tc>
          <w:tcPr>
            <w:tcW w:w="1660" w:type="dxa"/>
            <w:vAlign w:val="bottom"/>
            <w:tcBorders>
              <w:top w:val="single" w:sz="8" w:color="CCECFF"/>
            </w:tcBorders>
            <w:shd w:val="clear" w:color="auto" w:fill="CCEC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r>
    </w:tbl>
    <w:p>
      <w:pPr>
        <w:spacing w:after="0" w:line="108" w:lineRule="exact"/>
        <w:rPr>
          <w:sz w:val="20"/>
          <w:szCs w:val="20"/>
          <w:color w:val="auto"/>
        </w:rPr>
      </w:pPr>
    </w:p>
    <w:p>
      <w:pPr>
        <w:ind w:right="40" w:firstLine="420"/>
        <w:spacing w:after="0" w:line="268" w:lineRule="auto"/>
        <w:rPr>
          <w:sz w:val="20"/>
          <w:szCs w:val="20"/>
          <w:color w:val="auto"/>
        </w:rPr>
      </w:pPr>
      <w:r>
        <w:rPr>
          <w:rFonts w:ascii="Times New Roman" w:cs="Times New Roman" w:eastAsia="Times New Roman" w:hAnsi="Times New Roman"/>
          <w:sz w:val="13"/>
          <w:szCs w:val="13"/>
          <w:color w:val="auto"/>
        </w:rPr>
        <w:t>In March 2018, AKW Holdings Limited became controlled affiliate. Below is certain selected key financial data from AKW Holdings Limited Balance Sheet at September 30, 2025 and 2024, and the twelve months ended September 30, 2025, 2024 and 2023 Income Statement for the periods in which our investment in AKW Holdings Limited exceeded the threshold in at least one of the tests under Rule 3-09 of Regulation S-X (amounts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4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AKW Holdings Limited:</w:t>
            </w:r>
          </w:p>
        </w:tc>
        <w:tc>
          <w:tcPr>
            <w:tcW w:w="21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356"/>
        </w:trPr>
        <w:tc>
          <w:tcPr>
            <w:tcW w:w="3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Sheet</w:t>
            </w:r>
          </w:p>
        </w:tc>
        <w:tc>
          <w:tcPr>
            <w:tcW w:w="2160" w:type="dxa"/>
            <w:vAlign w:val="bottom"/>
          </w:tcPr>
          <w:p>
            <w:pPr>
              <w:spacing w:after="0"/>
              <w:rPr>
                <w:sz w:val="24"/>
                <w:szCs w:val="24"/>
                <w:color w:val="auto"/>
              </w:rPr>
            </w:pPr>
          </w:p>
        </w:tc>
        <w:tc>
          <w:tcPr>
            <w:tcW w:w="2160" w:type="dxa"/>
            <w:vAlign w:val="bottom"/>
          </w:tcPr>
          <w:p>
            <w:pPr>
              <w:jc w:val="right"/>
              <w:ind w:right="714"/>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520" w:type="dxa"/>
            <w:vAlign w:val="bottom"/>
          </w:tcPr>
          <w:p>
            <w:pPr>
              <w:spacing w:after="0"/>
              <w:rPr>
                <w:sz w:val="24"/>
                <w:szCs w:val="24"/>
                <w:color w:val="auto"/>
              </w:rPr>
            </w:pPr>
          </w:p>
        </w:tc>
        <w:tc>
          <w:tcPr>
            <w:tcW w:w="2080" w:type="dxa"/>
            <w:vAlign w:val="bottom"/>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September 30, 2024</w:t>
            </w:r>
          </w:p>
        </w:tc>
      </w:tr>
      <w:tr>
        <w:trPr>
          <w:trHeight w:val="156"/>
        </w:trPr>
        <w:tc>
          <w:tcPr>
            <w:tcW w:w="36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216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216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38,987</w:t>
            </w:r>
          </w:p>
        </w:tc>
        <w:tc>
          <w:tcPr>
            <w:tcW w:w="520" w:type="dxa"/>
            <w:vAlign w:val="bottom"/>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208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41,980</w:t>
            </w:r>
          </w:p>
        </w:tc>
      </w:tr>
      <w:tr>
        <w:trPr>
          <w:trHeight w:val="156"/>
        </w:trPr>
        <w:tc>
          <w:tcPr>
            <w:tcW w:w="3640" w:type="dxa"/>
            <w:vAlign w:val="bottom"/>
          </w:tcPr>
          <w:p>
            <w:pPr>
              <w:spacing w:after="0"/>
              <w:rPr>
                <w:sz w:val="20"/>
                <w:szCs w:val="20"/>
                <w:color w:val="auto"/>
              </w:rPr>
            </w:pPr>
            <w:r>
              <w:rPr>
                <w:rFonts w:ascii="Times New Roman" w:cs="Times New Roman" w:eastAsia="Times New Roman" w:hAnsi="Times New Roman"/>
                <w:sz w:val="13"/>
                <w:szCs w:val="13"/>
                <w:color w:val="auto"/>
              </w:rPr>
              <w:t>Noncurrent assets</w:t>
            </w:r>
          </w:p>
        </w:tc>
        <w:tc>
          <w:tcPr>
            <w:tcW w:w="2160" w:type="dxa"/>
            <w:vAlign w:val="bottom"/>
          </w:tcPr>
          <w:p>
            <w:pPr>
              <w:spacing w:after="0"/>
              <w:rPr>
                <w:sz w:val="13"/>
                <w:szCs w:val="13"/>
                <w:color w:val="auto"/>
              </w:rPr>
            </w:pPr>
          </w:p>
        </w:tc>
        <w:tc>
          <w:tcPr>
            <w:tcW w:w="21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9,620</w:t>
            </w:r>
          </w:p>
        </w:tc>
        <w:tc>
          <w:tcPr>
            <w:tcW w:w="520" w:type="dxa"/>
            <w:vAlign w:val="bottom"/>
          </w:tcPr>
          <w:p>
            <w:pPr>
              <w:spacing w:after="0"/>
              <w:rPr>
                <w:sz w:val="13"/>
                <w:szCs w:val="13"/>
                <w:color w:val="auto"/>
              </w:rPr>
            </w:pPr>
          </w:p>
        </w:tc>
        <w:tc>
          <w:tcPr>
            <w:tcW w:w="20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10,016</w:t>
            </w:r>
          </w:p>
        </w:tc>
      </w:tr>
      <w:tr>
        <w:trPr>
          <w:trHeight w:val="156"/>
        </w:trPr>
        <w:tc>
          <w:tcPr>
            <w:tcW w:w="36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2160" w:type="dxa"/>
            <w:vAlign w:val="bottom"/>
            <w:shd w:val="clear" w:color="auto" w:fill="CCECFF"/>
          </w:tcPr>
          <w:p>
            <w:pPr>
              <w:spacing w:after="0"/>
              <w:rPr>
                <w:sz w:val="13"/>
                <w:szCs w:val="13"/>
                <w:color w:val="auto"/>
              </w:rPr>
            </w:pPr>
          </w:p>
        </w:tc>
        <w:tc>
          <w:tcPr>
            <w:tcW w:w="216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16,042</w:t>
            </w:r>
          </w:p>
        </w:tc>
        <w:tc>
          <w:tcPr>
            <w:tcW w:w="520" w:type="dxa"/>
            <w:vAlign w:val="bottom"/>
            <w:shd w:val="clear" w:color="auto" w:fill="CCECFF"/>
          </w:tcPr>
          <w:p>
            <w:pPr>
              <w:spacing w:after="0"/>
              <w:rPr>
                <w:sz w:val="13"/>
                <w:szCs w:val="13"/>
                <w:color w:val="auto"/>
              </w:rPr>
            </w:pPr>
          </w:p>
        </w:tc>
        <w:tc>
          <w:tcPr>
            <w:tcW w:w="208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15,464</w:t>
            </w:r>
          </w:p>
        </w:tc>
      </w:tr>
      <w:tr>
        <w:trPr>
          <w:trHeight w:val="172"/>
        </w:trPr>
        <w:tc>
          <w:tcPr>
            <w:tcW w:w="3640" w:type="dxa"/>
            <w:vAlign w:val="bottom"/>
          </w:tcPr>
          <w:p>
            <w:pPr>
              <w:spacing w:after="0"/>
              <w:rPr>
                <w:sz w:val="20"/>
                <w:szCs w:val="20"/>
                <w:color w:val="auto"/>
              </w:rPr>
            </w:pPr>
            <w:r>
              <w:rPr>
                <w:rFonts w:ascii="Times New Roman" w:cs="Times New Roman" w:eastAsia="Times New Roman" w:hAnsi="Times New Roman"/>
                <w:sz w:val="13"/>
                <w:szCs w:val="13"/>
                <w:color w:val="auto"/>
              </w:rPr>
              <w:t>Noncurrent liabilities</w:t>
            </w:r>
          </w:p>
        </w:tc>
        <w:tc>
          <w:tcPr>
            <w:tcW w:w="2160" w:type="dxa"/>
            <w:vAlign w:val="bottom"/>
          </w:tcPr>
          <w:p>
            <w:pPr>
              <w:spacing w:after="0"/>
              <w:rPr>
                <w:sz w:val="14"/>
                <w:szCs w:val="14"/>
                <w:color w:val="auto"/>
              </w:rPr>
            </w:pPr>
          </w:p>
        </w:tc>
        <w:tc>
          <w:tcPr>
            <w:tcW w:w="21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53,902</w:t>
            </w:r>
          </w:p>
        </w:tc>
        <w:tc>
          <w:tcPr>
            <w:tcW w:w="520" w:type="dxa"/>
            <w:vAlign w:val="bottom"/>
          </w:tcPr>
          <w:p>
            <w:pPr>
              <w:spacing w:after="0"/>
              <w:rPr>
                <w:sz w:val="14"/>
                <w:szCs w:val="14"/>
                <w:color w:val="auto"/>
              </w:rPr>
            </w:pPr>
          </w:p>
        </w:tc>
        <w:tc>
          <w:tcPr>
            <w:tcW w:w="20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56,665</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4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Income Statement</w:t>
            </w:r>
          </w:p>
        </w:tc>
        <w:tc>
          <w:tcPr>
            <w:tcW w:w="440" w:type="dxa"/>
            <w:vAlign w:val="bottom"/>
          </w:tcPr>
          <w:p>
            <w:pPr>
              <w:spacing w:after="0"/>
              <w:rPr>
                <w:sz w:val="13"/>
                <w:szCs w:val="13"/>
                <w:color w:val="auto"/>
              </w:rPr>
            </w:pPr>
          </w:p>
        </w:tc>
        <w:tc>
          <w:tcPr>
            <w:tcW w:w="1420" w:type="dxa"/>
            <w:vAlign w:val="bottom"/>
          </w:tcPr>
          <w:p>
            <w:pPr>
              <w:jc w:val="right"/>
              <w:ind w:right="73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jc w:val="right"/>
              <w:ind w:right="718"/>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jc w:val="right"/>
              <w:ind w:right="739"/>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3"/>
                <w:szCs w:val="13"/>
                <w:color w:val="auto"/>
              </w:rPr>
            </w:pPr>
          </w:p>
        </w:tc>
      </w:tr>
      <w:tr>
        <w:trPr>
          <w:trHeight w:val="168"/>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Total revenue</w:t>
            </w:r>
          </w:p>
        </w:tc>
        <w:tc>
          <w:tcPr>
            <w:tcW w:w="44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93,718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86,518</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79,006</w:t>
            </w:r>
          </w:p>
        </w:tc>
      </w:tr>
      <w:tr>
        <w:trPr>
          <w:trHeight w:val="156"/>
        </w:trPr>
        <w:tc>
          <w:tcPr>
            <w:tcW w:w="43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Total expenses</w:t>
            </w:r>
          </w:p>
        </w:tc>
        <w:tc>
          <w:tcPr>
            <w:tcW w:w="440" w:type="dxa"/>
            <w:vAlign w:val="bottom"/>
            <w:shd w:val="clear" w:color="auto" w:fill="CCECFF"/>
          </w:tcPr>
          <w:p>
            <w:pPr>
              <w:spacing w:after="0"/>
              <w:rPr>
                <w:sz w:val="13"/>
                <w:szCs w:val="13"/>
                <w:color w:val="auto"/>
              </w:rPr>
            </w:pPr>
          </w:p>
        </w:tc>
        <w:tc>
          <w:tcPr>
            <w:tcW w:w="16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93,754</w:t>
            </w: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9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90,016</w:t>
            </w:r>
          </w:p>
        </w:tc>
        <w:tc>
          <w:tcPr>
            <w:tcW w:w="120" w:type="dxa"/>
            <w:vAlign w:val="bottom"/>
            <w:shd w:val="clear" w:color="auto" w:fill="CCECFF"/>
          </w:tcPr>
          <w:p>
            <w:pPr>
              <w:spacing w:after="0"/>
              <w:rPr>
                <w:sz w:val="13"/>
                <w:szCs w:val="13"/>
                <w:color w:val="auto"/>
              </w:rPr>
            </w:pPr>
          </w:p>
        </w:tc>
        <w:tc>
          <w:tcPr>
            <w:tcW w:w="420" w:type="dxa"/>
            <w:vAlign w:val="bottom"/>
            <w:shd w:val="clear" w:color="auto" w:fill="CCECFF"/>
          </w:tcPr>
          <w:p>
            <w:pPr>
              <w:spacing w:after="0"/>
              <w:rPr>
                <w:sz w:val="13"/>
                <w:szCs w:val="13"/>
                <w:color w:val="auto"/>
              </w:rPr>
            </w:pPr>
          </w:p>
        </w:tc>
        <w:tc>
          <w:tcPr>
            <w:tcW w:w="15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82,325</w:t>
            </w:r>
          </w:p>
        </w:tc>
      </w:tr>
      <w:tr>
        <w:trPr>
          <w:trHeight w:val="156"/>
        </w:trPr>
        <w:tc>
          <w:tcPr>
            <w:tcW w:w="43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Net loss</w:t>
            </w:r>
          </w:p>
        </w:tc>
        <w:tc>
          <w:tcPr>
            <w:tcW w:w="44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9"/>
                <w:szCs w:val="9"/>
                <w:color w:val="auto"/>
              </w:rPr>
              <w:t>(36</w:t>
            </w:r>
            <w:r>
              <w:rPr>
                <w:rFonts w:ascii="Times New Roman" w:cs="Times New Roman" w:eastAsia="Times New Roman" w:hAnsi="Times New Roman"/>
                <w:sz w:val="15"/>
                <w:szCs w:val="15"/>
                <w:color w:val="auto"/>
                <w:vertAlign w:val="subscript"/>
              </w:rPr>
              <w:t>)</w:t>
            </w:r>
          </w:p>
        </w:tc>
        <w:tc>
          <w:tcPr>
            <w:tcW w:w="22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92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9"/>
                <w:szCs w:val="9"/>
                <w:color w:val="auto"/>
              </w:rPr>
              <w:t>(3,498</w:t>
            </w:r>
            <w:r>
              <w:rPr>
                <w:rFonts w:ascii="Times New Roman" w:cs="Times New Roman" w:eastAsia="Times New Roman" w:hAnsi="Times New Roman"/>
                <w:sz w:val="15"/>
                <w:szCs w:val="15"/>
                <w:color w:val="auto"/>
                <w:vertAlign w:val="subscript"/>
              </w:rPr>
              <w:t>)</w:t>
            </w:r>
          </w:p>
        </w:tc>
        <w:tc>
          <w:tcPr>
            <w:tcW w:w="540" w:type="dxa"/>
            <w:vAlign w:val="bottom"/>
            <w:gridSpan w:val="2"/>
          </w:tcPr>
          <w:p>
            <w:pPr>
              <w:jc w:val="right"/>
              <w:ind w:right="3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50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(3,319</w:t>
            </w:r>
            <w:r>
              <w:rPr>
                <w:rFonts w:ascii="Times New Roman" w:cs="Times New Roman" w:eastAsia="Times New Roman" w:hAnsi="Times New Roman"/>
                <w:sz w:val="15"/>
                <w:szCs w:val="15"/>
                <w:color w:val="auto"/>
                <w:vertAlign w:val="subscript"/>
              </w:rPr>
              <w:t>)</w:t>
            </w:r>
          </w:p>
        </w:tc>
      </w:tr>
      <w:tr>
        <w:trPr>
          <w:trHeight w:val="20"/>
        </w:trPr>
        <w:tc>
          <w:tcPr>
            <w:tcW w:w="4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14. SEGMENT REPORTING</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Company operates through a single operating and reporting segment with an investment objective to generate both current income and capital appreciation</w:t>
      </w:r>
    </w:p>
    <w:p>
      <w:pPr>
        <w:spacing w:after="0" w:line="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3"/>
          <w:szCs w:val="13"/>
          <w:color w:val="auto"/>
        </w:rPr>
        <w:t>through debt and equity investments. The CODM is comprised of the Company's Chief Executive Officer and Chief Financial Officer. The CODM assesses the performance and makes operating decisions of the Company on a consolidated basis primary bases on the Company's net increase (decrease) in net assets resulting from operations ("Net Income") and net investment income ("NII"). The CODM utilizes Net Income and NII as the key metrics in determining the amount of dividends to be distributed to the Company's stockholders. As the Company's operations comprise of single reporting segment, the segment assets are reflected on the accompanying consolidated statements of assets and liabilities as 'total assets" and significant segment expenses are listed on accompanying consolidated statements of operations.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53" w:name="page54"/>
    <w:bookmarkEnd w:id="53"/>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PART IV</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15. Exhibits and Financial Statement Schedules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0" w:type="dxa"/>
            <w:vAlign w:val="bottom"/>
          </w:tcPr>
          <w:p>
            <w:pPr>
              <w:spacing w:after="0"/>
              <w:rPr>
                <w:sz w:val="14"/>
                <w:szCs w:val="14"/>
                <w:color w:val="auto"/>
              </w:rPr>
            </w:pPr>
          </w:p>
        </w:tc>
        <w:tc>
          <w:tcPr>
            <w:tcW w:w="10260" w:type="dxa"/>
            <w:vAlign w:val="bottom"/>
            <w:gridSpan w:val="23"/>
          </w:tcPr>
          <w:p>
            <w:pPr>
              <w:ind w:left="80"/>
              <w:spacing w:after="0"/>
              <w:rPr>
                <w:sz w:val="20"/>
                <w:szCs w:val="20"/>
                <w:color w:val="auto"/>
              </w:rPr>
            </w:pPr>
            <w:r>
              <w:rPr>
                <w:rFonts w:ascii="Times New Roman" w:cs="Times New Roman" w:eastAsia="Times New Roman" w:hAnsi="Times New Roman"/>
                <w:sz w:val="13"/>
                <w:szCs w:val="13"/>
                <w:color w:val="auto"/>
              </w:rPr>
              <w:t>The following documents are filed as part of this Annual Report:</w:t>
            </w:r>
          </w:p>
        </w:tc>
      </w:tr>
      <w:tr>
        <w:trPr>
          <w:trHeight w:val="276"/>
        </w:trPr>
        <w:tc>
          <w:tcPr>
            <w:tcW w:w="340" w:type="dxa"/>
            <w:vAlign w:val="bottom"/>
          </w:tcPr>
          <w:p>
            <w:pPr>
              <w:spacing w:after="0"/>
              <w:rPr>
                <w:sz w:val="24"/>
                <w:szCs w:val="24"/>
                <w:color w:val="auto"/>
              </w:rPr>
            </w:pPr>
          </w:p>
        </w:tc>
        <w:tc>
          <w:tcPr>
            <w:tcW w:w="10260" w:type="dxa"/>
            <w:vAlign w:val="bottom"/>
            <w:gridSpan w:val="23"/>
          </w:tcPr>
          <w:p>
            <w:pPr>
              <w:ind w:left="200"/>
              <w:spacing w:after="0"/>
              <w:rPr>
                <w:sz w:val="20"/>
                <w:szCs w:val="20"/>
                <w:color w:val="auto"/>
              </w:rPr>
            </w:pPr>
            <w:r>
              <w:rPr>
                <w:rFonts w:ascii="Times New Roman" w:cs="Times New Roman" w:eastAsia="Times New Roman" w:hAnsi="Times New Roman"/>
                <w:sz w:val="13"/>
                <w:szCs w:val="13"/>
                <w:color w:val="auto"/>
              </w:rPr>
              <w:t>(1)Financial Statements—Refer to Item 8 starting on page 3.</w:t>
            </w:r>
          </w:p>
        </w:tc>
      </w:tr>
      <w:tr>
        <w:trPr>
          <w:trHeight w:val="276"/>
        </w:trPr>
        <w:tc>
          <w:tcPr>
            <w:tcW w:w="340" w:type="dxa"/>
            <w:vAlign w:val="bottom"/>
          </w:tcPr>
          <w:p>
            <w:pPr>
              <w:spacing w:after="0"/>
              <w:rPr>
                <w:sz w:val="24"/>
                <w:szCs w:val="24"/>
                <w:color w:val="auto"/>
              </w:rPr>
            </w:pPr>
          </w:p>
        </w:tc>
        <w:tc>
          <w:tcPr>
            <w:tcW w:w="10260" w:type="dxa"/>
            <w:vAlign w:val="bottom"/>
            <w:gridSpan w:val="23"/>
          </w:tcPr>
          <w:p>
            <w:pPr>
              <w:ind w:left="200"/>
              <w:spacing w:after="0"/>
              <w:rPr>
                <w:sz w:val="20"/>
                <w:szCs w:val="20"/>
                <w:color w:val="auto"/>
              </w:rPr>
            </w:pPr>
            <w:r>
              <w:rPr>
                <w:rFonts w:ascii="Times New Roman" w:cs="Times New Roman" w:eastAsia="Times New Roman" w:hAnsi="Times New Roman"/>
                <w:sz w:val="13"/>
                <w:szCs w:val="13"/>
                <w:color w:val="auto"/>
              </w:rPr>
              <w:t>(2)Financial Statement Schedules—None.</w:t>
            </w:r>
          </w:p>
        </w:tc>
      </w:tr>
      <w:tr>
        <w:trPr>
          <w:trHeight w:val="276"/>
        </w:trPr>
        <w:tc>
          <w:tcPr>
            <w:tcW w:w="340" w:type="dxa"/>
            <w:vAlign w:val="bottom"/>
          </w:tcPr>
          <w:p>
            <w:pPr>
              <w:spacing w:after="0"/>
              <w:rPr>
                <w:sz w:val="24"/>
                <w:szCs w:val="24"/>
                <w:color w:val="auto"/>
              </w:rPr>
            </w:pPr>
          </w:p>
        </w:tc>
        <w:tc>
          <w:tcPr>
            <w:tcW w:w="10260" w:type="dxa"/>
            <w:vAlign w:val="bottom"/>
            <w:gridSpan w:val="23"/>
          </w:tcPr>
          <w:p>
            <w:pPr>
              <w:ind w:left="200"/>
              <w:spacing w:after="0"/>
              <w:rPr>
                <w:sz w:val="20"/>
                <w:szCs w:val="20"/>
                <w:color w:val="auto"/>
              </w:rPr>
            </w:pPr>
            <w:r>
              <w:rPr>
                <w:rFonts w:ascii="Times New Roman" w:cs="Times New Roman" w:eastAsia="Times New Roman" w:hAnsi="Times New Roman"/>
                <w:sz w:val="13"/>
                <w:szCs w:val="13"/>
                <w:color w:val="auto"/>
              </w:rPr>
              <w:t>(3)Exhibits</w:t>
            </w:r>
          </w:p>
        </w:tc>
      </w:tr>
      <w:tr>
        <w:trPr>
          <w:trHeight w:val="308"/>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3.1</w:t>
            </w:r>
          </w:p>
        </w:tc>
        <w:tc>
          <w:tcPr>
            <w:tcW w:w="540" w:type="dxa"/>
            <w:vAlign w:val="bottom"/>
          </w:tcPr>
          <w:p>
            <w:pPr>
              <w:spacing w:after="0"/>
              <w:rPr>
                <w:sz w:val="24"/>
                <w:szCs w:val="24"/>
                <w:color w:val="auto"/>
              </w:rPr>
            </w:pPr>
          </w:p>
        </w:tc>
        <w:tc>
          <w:tcPr>
            <w:tcW w:w="9560" w:type="dxa"/>
            <w:vAlign w:val="bottom"/>
            <w:tcBorders>
              <w:bottom w:val="single" w:sz="8" w:color="0000EE"/>
            </w:tcBorders>
            <w:gridSpan w:val="17"/>
          </w:tcPr>
          <w:p>
            <w:pPr>
              <w:spacing w:after="0"/>
              <w:rPr>
                <w:rFonts w:ascii="Times New Roman" w:cs="Times New Roman" w:eastAsia="Times New Roman" w:hAnsi="Times New Roman"/>
                <w:sz w:val="13"/>
                <w:szCs w:val="13"/>
                <w:color w:val="0000FF"/>
              </w:rPr>
            </w:pPr>
            <w:hyperlink r:id="rId61">
              <w:r>
                <w:rPr>
                  <w:rFonts w:ascii="Times New Roman" w:cs="Times New Roman" w:eastAsia="Times New Roman" w:hAnsi="Times New Roman"/>
                  <w:sz w:val="13"/>
                  <w:szCs w:val="13"/>
                  <w:color w:val="0000FF"/>
                </w:rPr>
                <w:t>Articles of Incorporation (Incorporated by reference to Exhibit 99(a) to the Registrant’s Pre-Effective Amendment No. 3 to the Registration Statement on Form N-2/A (File No. 333</w:t>
              </w:r>
            </w:hyperlink>
            <w:r>
              <w:rPr>
                <w:rFonts w:ascii="Times New Roman" w:cs="Times New Roman" w:eastAsia="Times New Roman" w:hAnsi="Times New Roman"/>
                <w:sz w:val="13"/>
                <w:szCs w:val="13"/>
                <w:color w:val="0000FF"/>
              </w:rPr>
              <w:t>-</w:t>
            </w:r>
          </w:p>
        </w:tc>
        <w:tc>
          <w:tcPr>
            <w:tcW w:w="160" w:type="dxa"/>
            <w:vAlign w:val="bottom"/>
            <w:gridSpan w:val="5"/>
          </w:tcPr>
          <w:p>
            <w:pPr>
              <w:spacing w:after="0"/>
              <w:rPr>
                <w:sz w:val="24"/>
                <w:szCs w:val="24"/>
                <w:color w:val="auto"/>
              </w:rPr>
            </w:pPr>
          </w:p>
        </w:tc>
      </w:tr>
      <w:tr>
        <w:trPr>
          <w:trHeight w:val="136"/>
        </w:trPr>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720" w:type="dxa"/>
            <w:vAlign w:val="bottom"/>
            <w:gridSpan w:val="22"/>
          </w:tcPr>
          <w:p>
            <w:pPr>
              <w:spacing w:after="0" w:line="136" w:lineRule="exact"/>
              <w:rPr>
                <w:rFonts w:ascii="Times New Roman" w:cs="Times New Roman" w:eastAsia="Times New Roman" w:hAnsi="Times New Roman"/>
                <w:sz w:val="13"/>
                <w:szCs w:val="13"/>
                <w:color w:val="0000FF"/>
              </w:rPr>
            </w:pPr>
            <w:hyperlink r:id="rId61">
              <w:r>
                <w:rPr>
                  <w:rFonts w:ascii="Times New Roman" w:cs="Times New Roman" w:eastAsia="Times New Roman" w:hAnsi="Times New Roman"/>
                  <w:sz w:val="13"/>
                  <w:szCs w:val="13"/>
                  <w:color w:val="0000FF"/>
                </w:rPr>
                <w:t>140092), filed on April 5, 2007).</w:t>
              </w:r>
            </w:hyperlink>
          </w:p>
        </w:tc>
      </w:tr>
      <w:tr>
        <w:trPr>
          <w:trHeight w:val="20"/>
        </w:trPr>
        <w:tc>
          <w:tcPr>
            <w:tcW w:w="34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6"/>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3.2</w:t>
            </w:r>
          </w:p>
        </w:tc>
        <w:tc>
          <w:tcPr>
            <w:tcW w:w="540" w:type="dxa"/>
            <w:vAlign w:val="bottom"/>
          </w:tcPr>
          <w:p>
            <w:pPr>
              <w:spacing w:after="0"/>
              <w:rPr>
                <w:sz w:val="22"/>
                <w:szCs w:val="22"/>
                <w:color w:val="auto"/>
              </w:rPr>
            </w:pPr>
          </w:p>
        </w:tc>
        <w:tc>
          <w:tcPr>
            <w:tcW w:w="9320" w:type="dxa"/>
            <w:vAlign w:val="bottom"/>
            <w:tcBorders>
              <w:bottom w:val="single" w:sz="8" w:color="0000EE"/>
            </w:tcBorders>
            <w:gridSpan w:val="14"/>
          </w:tcPr>
          <w:p>
            <w:pPr>
              <w:spacing w:after="0"/>
              <w:rPr>
                <w:rFonts w:ascii="Times New Roman" w:cs="Times New Roman" w:eastAsia="Times New Roman" w:hAnsi="Times New Roman"/>
                <w:sz w:val="13"/>
                <w:szCs w:val="13"/>
                <w:color w:val="0000FF"/>
              </w:rPr>
            </w:pPr>
            <w:hyperlink r:id="rId62">
              <w:r>
                <w:rPr>
                  <w:rFonts w:ascii="Times New Roman" w:cs="Times New Roman" w:eastAsia="Times New Roman" w:hAnsi="Times New Roman"/>
                  <w:sz w:val="13"/>
                  <w:szCs w:val="13"/>
                  <w:color w:val="0000FF"/>
                </w:rPr>
                <w:t>Articles of Amendment to Articles of Incorporation of the Registrant (Incorporated by reference to Exhibit 3.2 to the Registrant’s Quarterly Report on Form 10-Q (File No. 814-</w:t>
              </w:r>
            </w:hyperlink>
          </w:p>
        </w:tc>
        <w:tc>
          <w:tcPr>
            <w:tcW w:w="400" w:type="dxa"/>
            <w:vAlign w:val="bottom"/>
            <w:gridSpan w:val="8"/>
          </w:tcPr>
          <w:p>
            <w:pPr>
              <w:spacing w:after="0"/>
              <w:rPr>
                <w:sz w:val="22"/>
                <w:szCs w:val="22"/>
                <w:color w:val="auto"/>
              </w:rPr>
            </w:pPr>
          </w:p>
        </w:tc>
      </w:tr>
      <w:tr>
        <w:trPr>
          <w:trHeight w:val="136"/>
        </w:trPr>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80" w:type="dxa"/>
            <w:vAlign w:val="bottom"/>
            <w:tcBorders>
              <w:bottom w:val="single" w:sz="8" w:color="0000EE"/>
            </w:tcBorders>
            <w:gridSpan w:val="4"/>
          </w:tcPr>
          <w:p>
            <w:pPr>
              <w:spacing w:after="0" w:line="136" w:lineRule="exact"/>
              <w:rPr>
                <w:rFonts w:ascii="Times New Roman" w:cs="Times New Roman" w:eastAsia="Times New Roman" w:hAnsi="Times New Roman"/>
                <w:sz w:val="13"/>
                <w:szCs w:val="13"/>
                <w:color w:val="0000FF"/>
              </w:rPr>
            </w:pPr>
            <w:hyperlink r:id="rId62">
              <w:r>
                <w:rPr>
                  <w:rFonts w:ascii="Times New Roman" w:cs="Times New Roman" w:eastAsia="Times New Roman" w:hAnsi="Times New Roman"/>
                  <w:sz w:val="13"/>
                  <w:szCs w:val="13"/>
                  <w:color w:val="0000FF"/>
                </w:rPr>
                <w:t>00736), filed on August 7, 2024).</w:t>
              </w:r>
            </w:hyperlink>
          </w:p>
        </w:tc>
        <w:tc>
          <w:tcPr>
            <w:tcW w:w="7940" w:type="dxa"/>
            <w:vAlign w:val="bottom"/>
            <w:gridSpan w:val="18"/>
          </w:tcPr>
          <w:p>
            <w:pPr>
              <w:spacing w:after="0"/>
              <w:rPr>
                <w:sz w:val="11"/>
                <w:szCs w:val="11"/>
                <w:color w:val="auto"/>
              </w:rPr>
            </w:pPr>
          </w:p>
        </w:tc>
      </w:tr>
      <w:tr>
        <w:trPr>
          <w:trHeight w:val="268"/>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3.3</w:t>
            </w:r>
          </w:p>
        </w:tc>
        <w:tc>
          <w:tcPr>
            <w:tcW w:w="540" w:type="dxa"/>
            <w:vAlign w:val="bottom"/>
          </w:tcPr>
          <w:p>
            <w:pPr>
              <w:spacing w:after="0"/>
              <w:rPr>
                <w:sz w:val="23"/>
                <w:szCs w:val="23"/>
                <w:color w:val="auto"/>
              </w:rPr>
            </w:pPr>
          </w:p>
        </w:tc>
        <w:tc>
          <w:tcPr>
            <w:tcW w:w="9560" w:type="dxa"/>
            <w:vAlign w:val="bottom"/>
            <w:tcBorders>
              <w:bottom w:val="single" w:sz="8" w:color="0000EE"/>
            </w:tcBorders>
            <w:gridSpan w:val="17"/>
          </w:tcPr>
          <w:p>
            <w:pPr>
              <w:spacing w:after="0"/>
              <w:rPr>
                <w:rFonts w:ascii="Times New Roman" w:cs="Times New Roman" w:eastAsia="Times New Roman" w:hAnsi="Times New Roman"/>
                <w:sz w:val="13"/>
                <w:szCs w:val="13"/>
                <w:color w:val="0000FF"/>
              </w:rPr>
            </w:pPr>
            <w:hyperlink r:id="rId63">
              <w:r>
                <w:rPr>
                  <w:rFonts w:ascii="Times New Roman" w:cs="Times New Roman" w:eastAsia="Times New Roman" w:hAnsi="Times New Roman"/>
                  <w:sz w:val="13"/>
                  <w:szCs w:val="13"/>
                  <w:color w:val="0000FF"/>
                </w:rPr>
                <w:t>Second Amended and Restated Bylaws of the Registrant (Incorporated by reference to Exhibit 3.2 to the Registrant’s Quarterly Report on Form 10-Q (File No. 814-00736), filed on</w:t>
              </w:r>
            </w:hyperlink>
          </w:p>
        </w:tc>
        <w:tc>
          <w:tcPr>
            <w:tcW w:w="160" w:type="dxa"/>
            <w:vAlign w:val="bottom"/>
            <w:gridSpan w:val="5"/>
          </w:tcPr>
          <w:p>
            <w:pPr>
              <w:spacing w:after="0"/>
              <w:rPr>
                <w:sz w:val="23"/>
                <w:szCs w:val="23"/>
                <w:color w:val="auto"/>
              </w:rPr>
            </w:pPr>
          </w:p>
        </w:tc>
      </w:tr>
      <w:tr>
        <w:trPr>
          <w:trHeight w:val="136"/>
        </w:trPr>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Borders>
              <w:bottom w:val="single" w:sz="8" w:color="0000EE"/>
            </w:tcBorders>
            <w:gridSpan w:val="2"/>
          </w:tcPr>
          <w:p>
            <w:pPr>
              <w:spacing w:after="0" w:line="136" w:lineRule="exact"/>
              <w:rPr>
                <w:rFonts w:ascii="Times New Roman" w:cs="Times New Roman" w:eastAsia="Times New Roman" w:hAnsi="Times New Roman"/>
                <w:sz w:val="13"/>
                <w:szCs w:val="13"/>
                <w:color w:val="0000FF"/>
                <w:w w:val="97"/>
              </w:rPr>
            </w:pPr>
            <w:hyperlink r:id="rId63">
              <w:r>
                <w:rPr>
                  <w:rFonts w:ascii="Times New Roman" w:cs="Times New Roman" w:eastAsia="Times New Roman" w:hAnsi="Times New Roman"/>
                  <w:sz w:val="13"/>
                  <w:szCs w:val="13"/>
                  <w:color w:val="0000FF"/>
                  <w:w w:val="97"/>
                </w:rPr>
                <w:t>May 11, 2020).</w:t>
              </w:r>
            </w:hyperlink>
          </w:p>
        </w:tc>
        <w:tc>
          <w:tcPr>
            <w:tcW w:w="8920" w:type="dxa"/>
            <w:vAlign w:val="bottom"/>
            <w:gridSpan w:val="20"/>
          </w:tcPr>
          <w:p>
            <w:pPr>
              <w:spacing w:after="0"/>
              <w:rPr>
                <w:sz w:val="11"/>
                <w:szCs w:val="11"/>
                <w:color w:val="auto"/>
              </w:rPr>
            </w:pPr>
          </w:p>
        </w:tc>
      </w:tr>
      <w:tr>
        <w:trPr>
          <w:trHeight w:val="280"/>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4.1</w:t>
            </w:r>
          </w:p>
        </w:tc>
        <w:tc>
          <w:tcPr>
            <w:tcW w:w="540" w:type="dxa"/>
            <w:vAlign w:val="bottom"/>
          </w:tcPr>
          <w:p>
            <w:pPr>
              <w:spacing w:after="0"/>
              <w:rPr>
                <w:sz w:val="24"/>
                <w:szCs w:val="24"/>
                <w:color w:val="auto"/>
              </w:rPr>
            </w:pPr>
          </w:p>
        </w:tc>
        <w:tc>
          <w:tcPr>
            <w:tcW w:w="9280" w:type="dxa"/>
            <w:vAlign w:val="bottom"/>
            <w:tcBorders>
              <w:bottom w:val="single" w:sz="8" w:color="0000EE"/>
            </w:tcBorders>
            <w:gridSpan w:val="13"/>
          </w:tcPr>
          <w:p>
            <w:pPr>
              <w:spacing w:after="0"/>
              <w:rPr>
                <w:rFonts w:ascii="Times New Roman" w:cs="Times New Roman" w:eastAsia="Times New Roman" w:hAnsi="Times New Roman"/>
                <w:sz w:val="13"/>
                <w:szCs w:val="13"/>
                <w:color w:val="0000FF"/>
              </w:rPr>
            </w:pPr>
            <w:hyperlink r:id="rId64">
              <w:r>
                <w:rPr>
                  <w:rFonts w:ascii="Times New Roman" w:cs="Times New Roman" w:eastAsia="Times New Roman" w:hAnsi="Times New Roman"/>
                  <w:sz w:val="13"/>
                  <w:szCs w:val="13"/>
                  <w:color w:val="0000FF"/>
                </w:rPr>
                <w:t>Form of Share Certificate (Incorporated by reference to Exhibit 99(d)(1) to the Registrant’s Registration Statement on Form N-2 (File No. 333-150033), filed on April 2, 2008)</w:t>
              </w:r>
            </w:hyperlink>
            <w:r>
              <w:rPr>
                <w:rFonts w:ascii="Times New Roman" w:cs="Times New Roman" w:eastAsia="Times New Roman" w:hAnsi="Times New Roman"/>
                <w:sz w:val="13"/>
                <w:szCs w:val="13"/>
                <w:color w:val="0000FF"/>
              </w:rPr>
              <w:t>.</w:t>
            </w:r>
          </w:p>
        </w:tc>
        <w:tc>
          <w:tcPr>
            <w:tcW w:w="440" w:type="dxa"/>
            <w:vAlign w:val="bottom"/>
            <w:gridSpan w:val="9"/>
          </w:tcPr>
          <w:p>
            <w:pPr>
              <w:spacing w:after="0"/>
              <w:rPr>
                <w:sz w:val="24"/>
                <w:szCs w:val="24"/>
                <w:color w:val="auto"/>
              </w:rPr>
            </w:pPr>
          </w:p>
        </w:tc>
      </w:tr>
      <w:tr>
        <w:trPr>
          <w:trHeight w:val="256"/>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4.2</w:t>
            </w:r>
          </w:p>
        </w:tc>
        <w:tc>
          <w:tcPr>
            <w:tcW w:w="540" w:type="dxa"/>
            <w:vAlign w:val="bottom"/>
          </w:tcPr>
          <w:p>
            <w:pPr>
              <w:spacing w:after="0"/>
              <w:rPr>
                <w:sz w:val="22"/>
                <w:szCs w:val="22"/>
                <w:color w:val="auto"/>
              </w:rPr>
            </w:pPr>
          </w:p>
        </w:tc>
        <w:tc>
          <w:tcPr>
            <w:tcW w:w="9540" w:type="dxa"/>
            <w:vAlign w:val="bottom"/>
            <w:tcBorders>
              <w:bottom w:val="single" w:sz="8" w:color="0000EE"/>
            </w:tcBorders>
            <w:gridSpan w:val="16"/>
          </w:tcPr>
          <w:p>
            <w:pPr>
              <w:spacing w:after="0"/>
              <w:rPr>
                <w:rFonts w:ascii="Times New Roman" w:cs="Times New Roman" w:eastAsia="Times New Roman" w:hAnsi="Times New Roman"/>
                <w:sz w:val="13"/>
                <w:szCs w:val="13"/>
                <w:color w:val="0000FF"/>
              </w:rPr>
            </w:pPr>
            <w:hyperlink r:id="rId65">
              <w:r>
                <w:rPr>
                  <w:rFonts w:ascii="Times New Roman" w:cs="Times New Roman" w:eastAsia="Times New Roman" w:hAnsi="Times New Roman"/>
                  <w:sz w:val="13"/>
                  <w:szCs w:val="13"/>
                  <w:color w:val="0000FF"/>
                </w:rPr>
                <w:t>Base Indenture, dated as of January 22, 2013, relating to the 6.25% Senior Notes due 2025, between the Registrant and American Stock Transfer &amp; Trust Company, LLC, as trustee</w:t>
              </w:r>
            </w:hyperlink>
          </w:p>
        </w:tc>
        <w:tc>
          <w:tcPr>
            <w:tcW w:w="180" w:type="dxa"/>
            <w:vAlign w:val="bottom"/>
            <w:gridSpan w:val="6"/>
          </w:tcPr>
          <w:p>
            <w:pPr>
              <w:spacing w:after="0"/>
              <w:rPr>
                <w:sz w:val="22"/>
                <w:szCs w:val="22"/>
                <w:color w:val="auto"/>
              </w:rPr>
            </w:pPr>
          </w:p>
        </w:tc>
      </w:tr>
      <w:tr>
        <w:trPr>
          <w:trHeight w:val="136"/>
        </w:trPr>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720" w:type="dxa"/>
            <w:vAlign w:val="bottom"/>
            <w:tcBorders>
              <w:bottom w:val="single" w:sz="8" w:color="0000EE"/>
            </w:tcBorders>
            <w:gridSpan w:val="22"/>
          </w:tcPr>
          <w:p>
            <w:pPr>
              <w:spacing w:after="0" w:line="136" w:lineRule="exact"/>
              <w:rPr>
                <w:rFonts w:ascii="Times New Roman" w:cs="Times New Roman" w:eastAsia="Times New Roman" w:hAnsi="Times New Roman"/>
                <w:sz w:val="13"/>
                <w:szCs w:val="13"/>
                <w:color w:val="0000FF"/>
              </w:rPr>
            </w:pPr>
            <w:hyperlink r:id="rId65">
              <w:r>
                <w:rPr>
                  <w:rFonts w:ascii="Times New Roman" w:cs="Times New Roman" w:eastAsia="Times New Roman" w:hAnsi="Times New Roman"/>
                  <w:sz w:val="13"/>
                  <w:szCs w:val="13"/>
                  <w:color w:val="0000FF"/>
                </w:rPr>
                <w:t>(Incorporated by reference to Exhibit 99(d)(8) to the Registrant’s Post-Effective Amendment No.4 to the Registration Statement on Form N-2/A (File No.333-172524), filed on January</w:t>
              </w:r>
            </w:hyperlink>
          </w:p>
        </w:tc>
      </w:tr>
      <w:tr>
        <w:trPr>
          <w:trHeight w:val="136"/>
        </w:trPr>
        <w:tc>
          <w:tcPr>
            <w:tcW w:w="340" w:type="dxa"/>
            <w:vAlign w:val="bottom"/>
          </w:tcPr>
          <w:p>
            <w:pPr>
              <w:spacing w:after="0"/>
              <w:rPr>
                <w:sz w:val="11"/>
                <w:szCs w:val="11"/>
                <w:color w:val="auto"/>
              </w:rPr>
            </w:pPr>
          </w:p>
        </w:tc>
        <w:tc>
          <w:tcPr>
            <w:tcW w:w="1060" w:type="dxa"/>
            <w:vAlign w:val="bottom"/>
            <w:gridSpan w:val="2"/>
          </w:tcPr>
          <w:p>
            <w:pPr>
              <w:ind w:left="520"/>
              <w:spacing w:after="0" w:line="136" w:lineRule="exact"/>
              <w:rPr>
                <w:rFonts w:ascii="Times New Roman" w:cs="Times New Roman" w:eastAsia="Times New Roman" w:hAnsi="Times New Roman"/>
                <w:sz w:val="13"/>
                <w:szCs w:val="13"/>
                <w:color w:val="0000FF"/>
                <w:w w:val="97"/>
              </w:rPr>
            </w:pPr>
            <w:hyperlink r:id="rId65">
              <w:r>
                <w:rPr>
                  <w:rFonts w:ascii="Times New Roman" w:cs="Times New Roman" w:eastAsia="Times New Roman" w:hAnsi="Times New Roman"/>
                  <w:sz w:val="13"/>
                  <w:szCs w:val="13"/>
                  <w:color w:val="0000FF"/>
                  <w:w w:val="97"/>
                </w:rPr>
                <w:t>22, 2013).</w:t>
              </w:r>
            </w:hyperlink>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34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6"/>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4.3</w:t>
            </w:r>
          </w:p>
        </w:tc>
        <w:tc>
          <w:tcPr>
            <w:tcW w:w="540" w:type="dxa"/>
            <w:vAlign w:val="bottom"/>
          </w:tcPr>
          <w:p>
            <w:pPr>
              <w:spacing w:after="0"/>
              <w:rPr>
                <w:sz w:val="22"/>
                <w:szCs w:val="22"/>
                <w:color w:val="auto"/>
              </w:rPr>
            </w:pPr>
          </w:p>
        </w:tc>
        <w:tc>
          <w:tcPr>
            <w:tcW w:w="9640" w:type="dxa"/>
            <w:vAlign w:val="bottom"/>
            <w:tcBorders>
              <w:bottom w:val="single" w:sz="8" w:color="0000EE"/>
            </w:tcBorders>
            <w:gridSpan w:val="19"/>
          </w:tcPr>
          <w:p>
            <w:pPr>
              <w:spacing w:after="0"/>
              <w:rPr>
                <w:rFonts w:ascii="Times New Roman" w:cs="Times New Roman" w:eastAsia="Times New Roman" w:hAnsi="Times New Roman"/>
                <w:sz w:val="13"/>
                <w:szCs w:val="13"/>
                <w:color w:val="0000FF"/>
              </w:rPr>
            </w:pPr>
            <w:hyperlink r:id="rId66">
              <w:r>
                <w:rPr>
                  <w:rFonts w:ascii="Times New Roman" w:cs="Times New Roman" w:eastAsia="Times New Roman" w:hAnsi="Times New Roman"/>
                  <w:sz w:val="13"/>
                  <w:szCs w:val="13"/>
                  <w:color w:val="0000FF"/>
                </w:rPr>
                <w:t>Fourth Supplemental Indenture, dated as of April 21, 2021, by and between the Company and American Stock Transfer &amp; Trust Company, LLC, as trustee (Incorporated by reference</w:t>
              </w:r>
            </w:hyperlink>
          </w:p>
        </w:tc>
        <w:tc>
          <w:tcPr>
            <w:tcW w:w="80" w:type="dxa"/>
            <w:vAlign w:val="bottom"/>
            <w:gridSpan w:val="3"/>
          </w:tcPr>
          <w:p>
            <w:pPr>
              <w:spacing w:after="0"/>
              <w:rPr>
                <w:sz w:val="22"/>
                <w:szCs w:val="22"/>
                <w:color w:val="auto"/>
              </w:rPr>
            </w:pPr>
          </w:p>
        </w:tc>
      </w:tr>
      <w:tr>
        <w:trPr>
          <w:trHeight w:val="136"/>
        </w:trPr>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20" w:type="dxa"/>
            <w:vAlign w:val="bottom"/>
            <w:tcBorders>
              <w:bottom w:val="single" w:sz="8" w:color="0000EE"/>
            </w:tcBorders>
            <w:gridSpan w:val="6"/>
          </w:tcPr>
          <w:p>
            <w:pPr>
              <w:spacing w:after="0" w:line="136" w:lineRule="exact"/>
              <w:rPr>
                <w:rFonts w:ascii="Times New Roman" w:cs="Times New Roman" w:eastAsia="Times New Roman" w:hAnsi="Times New Roman"/>
                <w:sz w:val="13"/>
                <w:szCs w:val="13"/>
                <w:color w:val="0000FF"/>
              </w:rPr>
            </w:pPr>
            <w:hyperlink r:id="rId66">
              <w:r>
                <w:rPr>
                  <w:rFonts w:ascii="Times New Roman" w:cs="Times New Roman" w:eastAsia="Times New Roman" w:hAnsi="Times New Roman"/>
                  <w:sz w:val="13"/>
                  <w:szCs w:val="13"/>
                  <w:color w:val="0000FF"/>
                </w:rPr>
                <w:t>to Exhibit 4.1 to the Registrant’s Form 8-K (File No. 814-00736), filed April 22, 2021).</w:t>
              </w:r>
            </w:hyperlink>
          </w:p>
        </w:tc>
        <w:tc>
          <w:tcPr>
            <w:tcW w:w="5100" w:type="dxa"/>
            <w:vAlign w:val="bottom"/>
            <w:gridSpan w:val="16"/>
          </w:tcPr>
          <w:p>
            <w:pPr>
              <w:spacing w:after="0"/>
              <w:rPr>
                <w:sz w:val="11"/>
                <w:szCs w:val="11"/>
                <w:color w:val="auto"/>
              </w:rPr>
            </w:pPr>
          </w:p>
        </w:tc>
      </w:tr>
      <w:tr>
        <w:trPr>
          <w:trHeight w:val="256"/>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4.4</w:t>
            </w:r>
          </w:p>
        </w:tc>
        <w:tc>
          <w:tcPr>
            <w:tcW w:w="540" w:type="dxa"/>
            <w:vAlign w:val="bottom"/>
          </w:tcPr>
          <w:p>
            <w:pPr>
              <w:spacing w:after="0"/>
              <w:rPr>
                <w:sz w:val="22"/>
                <w:szCs w:val="22"/>
                <w:color w:val="auto"/>
              </w:rPr>
            </w:pPr>
          </w:p>
        </w:tc>
        <w:tc>
          <w:tcPr>
            <w:tcW w:w="3400" w:type="dxa"/>
            <w:vAlign w:val="bottom"/>
            <w:tcBorders>
              <w:bottom w:val="single" w:sz="8" w:color="0000EE"/>
            </w:tcBorders>
            <w:gridSpan w:val="5"/>
          </w:tcPr>
          <w:p>
            <w:pPr>
              <w:spacing w:after="0"/>
              <w:rPr>
                <w:rFonts w:ascii="Times New Roman" w:cs="Times New Roman" w:eastAsia="Times New Roman" w:hAnsi="Times New Roman"/>
                <w:sz w:val="13"/>
                <w:szCs w:val="13"/>
                <w:color w:val="0000FF"/>
              </w:rPr>
            </w:pPr>
            <w:hyperlink r:id="rId66">
              <w:r>
                <w:rPr>
                  <w:rFonts w:ascii="Times New Roman" w:cs="Times New Roman" w:eastAsia="Times New Roman" w:hAnsi="Times New Roman"/>
                  <w:sz w:val="13"/>
                  <w:szCs w:val="13"/>
                  <w:color w:val="0000FF"/>
                </w:rPr>
                <w:t>Form of 4.50% Notes due 2026 (included as part of Exhibit 4.3).</w:t>
              </w:r>
            </w:hyperlink>
          </w:p>
        </w:tc>
        <w:tc>
          <w:tcPr>
            <w:tcW w:w="6320" w:type="dxa"/>
            <w:vAlign w:val="bottom"/>
            <w:gridSpan w:val="17"/>
          </w:tcPr>
          <w:p>
            <w:pPr>
              <w:spacing w:after="0"/>
              <w:rPr>
                <w:sz w:val="22"/>
                <w:szCs w:val="22"/>
                <w:color w:val="auto"/>
              </w:rPr>
            </w:pPr>
          </w:p>
        </w:tc>
      </w:tr>
      <w:tr>
        <w:trPr>
          <w:trHeight w:val="256"/>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4.5</w:t>
            </w:r>
          </w:p>
        </w:tc>
        <w:tc>
          <w:tcPr>
            <w:tcW w:w="540" w:type="dxa"/>
            <w:vAlign w:val="bottom"/>
          </w:tcPr>
          <w:p>
            <w:pPr>
              <w:spacing w:after="0"/>
              <w:rPr>
                <w:sz w:val="22"/>
                <w:szCs w:val="22"/>
                <w:color w:val="auto"/>
              </w:rPr>
            </w:pPr>
          </w:p>
        </w:tc>
        <w:tc>
          <w:tcPr>
            <w:tcW w:w="9700" w:type="dxa"/>
            <w:vAlign w:val="bottom"/>
            <w:tcBorders>
              <w:bottom w:val="single" w:sz="8" w:color="0000EE"/>
            </w:tcBorders>
            <w:gridSpan w:val="21"/>
          </w:tcPr>
          <w:p>
            <w:pPr>
              <w:spacing w:after="0"/>
              <w:rPr>
                <w:rFonts w:ascii="Times New Roman" w:cs="Times New Roman" w:eastAsia="Times New Roman" w:hAnsi="Times New Roman"/>
                <w:sz w:val="13"/>
                <w:szCs w:val="13"/>
                <w:color w:val="0000FF"/>
              </w:rPr>
            </w:pPr>
            <w:hyperlink r:id="rId67">
              <w:r>
                <w:rPr>
                  <w:rFonts w:ascii="Times New Roman" w:cs="Times New Roman" w:eastAsia="Times New Roman" w:hAnsi="Times New Roman"/>
                  <w:sz w:val="13"/>
                  <w:szCs w:val="13"/>
                  <w:color w:val="0000FF"/>
                </w:rPr>
                <w:t>Fifth Supplemental Indenture, dated as of October 21, 2021, by and between the Company and American Stock Transfer &amp; Trust Company, LLC, as trustee (Incorporated by reference</w:t>
              </w:r>
            </w:hyperlink>
          </w:p>
        </w:tc>
        <w:tc>
          <w:tcPr>
            <w:tcW w:w="20" w:type="dxa"/>
            <w:vAlign w:val="bottom"/>
          </w:tcPr>
          <w:p>
            <w:pPr>
              <w:spacing w:after="0"/>
              <w:rPr>
                <w:sz w:val="22"/>
                <w:szCs w:val="22"/>
                <w:color w:val="auto"/>
              </w:rPr>
            </w:pPr>
          </w:p>
        </w:tc>
      </w:tr>
      <w:tr>
        <w:trPr>
          <w:trHeight w:val="136"/>
        </w:trPr>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920" w:type="dxa"/>
            <w:vAlign w:val="bottom"/>
            <w:tcBorders>
              <w:bottom w:val="single" w:sz="8" w:color="0000EE"/>
            </w:tcBorders>
            <w:gridSpan w:val="8"/>
          </w:tcPr>
          <w:p>
            <w:pPr>
              <w:spacing w:after="0" w:line="136" w:lineRule="exact"/>
              <w:rPr>
                <w:rFonts w:ascii="Times New Roman" w:cs="Times New Roman" w:eastAsia="Times New Roman" w:hAnsi="Times New Roman"/>
                <w:sz w:val="13"/>
                <w:szCs w:val="13"/>
                <w:color w:val="0000FF"/>
              </w:rPr>
            </w:pPr>
            <w:hyperlink r:id="rId67">
              <w:r>
                <w:rPr>
                  <w:rFonts w:ascii="Times New Roman" w:cs="Times New Roman" w:eastAsia="Times New Roman" w:hAnsi="Times New Roman"/>
                  <w:sz w:val="13"/>
                  <w:szCs w:val="13"/>
                  <w:color w:val="0000FF"/>
                </w:rPr>
                <w:t>to Exhibit 4.1 to the Registrant’s Form 8-K (File No. 814-00736), filed on October 21, 2021).</w:t>
              </w:r>
            </w:hyperlink>
          </w:p>
        </w:tc>
        <w:tc>
          <w:tcPr>
            <w:tcW w:w="4800" w:type="dxa"/>
            <w:vAlign w:val="bottom"/>
            <w:gridSpan w:val="14"/>
          </w:tcPr>
          <w:p>
            <w:pPr>
              <w:spacing w:after="0"/>
              <w:rPr>
                <w:sz w:val="11"/>
                <w:szCs w:val="11"/>
                <w:color w:val="auto"/>
              </w:rPr>
            </w:pPr>
          </w:p>
        </w:tc>
      </w:tr>
      <w:tr>
        <w:trPr>
          <w:trHeight w:val="256"/>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4.6</w:t>
            </w:r>
          </w:p>
        </w:tc>
        <w:tc>
          <w:tcPr>
            <w:tcW w:w="540" w:type="dxa"/>
            <w:vAlign w:val="bottom"/>
          </w:tcPr>
          <w:p>
            <w:pPr>
              <w:spacing w:after="0"/>
              <w:rPr>
                <w:sz w:val="22"/>
                <w:szCs w:val="22"/>
                <w:color w:val="auto"/>
              </w:rPr>
            </w:pPr>
          </w:p>
        </w:tc>
        <w:tc>
          <w:tcPr>
            <w:tcW w:w="3400" w:type="dxa"/>
            <w:vAlign w:val="bottom"/>
            <w:tcBorders>
              <w:bottom w:val="single" w:sz="8" w:color="0000EE"/>
            </w:tcBorders>
            <w:gridSpan w:val="5"/>
          </w:tcPr>
          <w:p>
            <w:pPr>
              <w:spacing w:after="0"/>
              <w:rPr>
                <w:rFonts w:ascii="Times New Roman" w:cs="Times New Roman" w:eastAsia="Times New Roman" w:hAnsi="Times New Roman"/>
                <w:sz w:val="13"/>
                <w:szCs w:val="13"/>
                <w:color w:val="0000FF"/>
              </w:rPr>
            </w:pPr>
            <w:hyperlink r:id="rId67">
              <w:r>
                <w:rPr>
                  <w:rFonts w:ascii="Times New Roman" w:cs="Times New Roman" w:eastAsia="Times New Roman" w:hAnsi="Times New Roman"/>
                  <w:sz w:val="13"/>
                  <w:szCs w:val="13"/>
                  <w:color w:val="0000FF"/>
                </w:rPr>
                <w:t>Form of 4.00% Notes due 2026 (included as part of Exhibit 4.5).</w:t>
              </w:r>
            </w:hyperlink>
          </w:p>
        </w:tc>
        <w:tc>
          <w:tcPr>
            <w:tcW w:w="6320" w:type="dxa"/>
            <w:vAlign w:val="bottom"/>
            <w:gridSpan w:val="17"/>
          </w:tcPr>
          <w:p>
            <w:pPr>
              <w:spacing w:after="0"/>
              <w:rPr>
                <w:sz w:val="22"/>
                <w:szCs w:val="22"/>
                <w:color w:val="auto"/>
              </w:rPr>
            </w:pPr>
          </w:p>
        </w:tc>
      </w:tr>
      <w:tr>
        <w:trPr>
          <w:trHeight w:val="256"/>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4.7</w:t>
            </w:r>
          </w:p>
        </w:tc>
        <w:tc>
          <w:tcPr>
            <w:tcW w:w="540" w:type="dxa"/>
            <w:vAlign w:val="bottom"/>
          </w:tcPr>
          <w:p>
            <w:pPr>
              <w:spacing w:after="0"/>
              <w:rPr>
                <w:sz w:val="22"/>
                <w:szCs w:val="22"/>
                <w:color w:val="auto"/>
              </w:rPr>
            </w:pPr>
          </w:p>
        </w:tc>
        <w:tc>
          <w:tcPr>
            <w:tcW w:w="7740" w:type="dxa"/>
            <w:vAlign w:val="bottom"/>
            <w:tcBorders>
              <w:bottom w:val="single" w:sz="8" w:color="0000EE"/>
            </w:tcBorders>
            <w:gridSpan w:val="11"/>
          </w:tcPr>
          <w:p>
            <w:pPr>
              <w:spacing w:after="0"/>
              <w:rPr>
                <w:rFonts w:ascii="Times New Roman" w:cs="Times New Roman" w:eastAsia="Times New Roman" w:hAnsi="Times New Roman"/>
                <w:sz w:val="13"/>
                <w:szCs w:val="13"/>
                <w:color w:val="0000FF"/>
              </w:rPr>
            </w:pPr>
            <w:hyperlink r:id="rId68">
              <w:r>
                <w:rPr>
                  <w:rFonts w:ascii="Times New Roman" w:cs="Times New Roman" w:eastAsia="Times New Roman" w:hAnsi="Times New Roman"/>
                  <w:sz w:val="13"/>
                  <w:szCs w:val="13"/>
                  <w:color w:val="0000FF"/>
                </w:rPr>
                <w:t>Description of Securities (Incorporated by reference to Exhibit 4.7 to the Registrant’s Form 10-K (File No. 814-00736), filed November 21, 2019)</w:t>
              </w:r>
            </w:hyperlink>
            <w:r>
              <w:rPr>
                <w:rFonts w:ascii="Times New Roman" w:cs="Times New Roman" w:eastAsia="Times New Roman" w:hAnsi="Times New Roman"/>
                <w:sz w:val="13"/>
                <w:szCs w:val="13"/>
                <w:color w:val="0000FF"/>
              </w:rPr>
              <w:t>.</w:t>
            </w:r>
          </w:p>
        </w:tc>
        <w:tc>
          <w:tcPr>
            <w:tcW w:w="1980" w:type="dxa"/>
            <w:vAlign w:val="bottom"/>
            <w:gridSpan w:val="11"/>
          </w:tcPr>
          <w:p>
            <w:pPr>
              <w:spacing w:after="0"/>
              <w:rPr>
                <w:sz w:val="22"/>
                <w:szCs w:val="22"/>
                <w:color w:val="auto"/>
              </w:rPr>
            </w:pPr>
          </w:p>
        </w:tc>
      </w:tr>
      <w:tr>
        <w:trPr>
          <w:trHeight w:val="256"/>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6"/>
              </w:rPr>
              <w:t>10.1</w:t>
            </w:r>
          </w:p>
        </w:tc>
        <w:tc>
          <w:tcPr>
            <w:tcW w:w="540" w:type="dxa"/>
            <w:vAlign w:val="bottom"/>
          </w:tcPr>
          <w:p>
            <w:pPr>
              <w:spacing w:after="0"/>
              <w:rPr>
                <w:sz w:val="22"/>
                <w:szCs w:val="22"/>
                <w:color w:val="auto"/>
              </w:rPr>
            </w:pPr>
          </w:p>
        </w:tc>
        <w:tc>
          <w:tcPr>
            <w:tcW w:w="9560" w:type="dxa"/>
            <w:vAlign w:val="bottom"/>
            <w:tcBorders>
              <w:bottom w:val="single" w:sz="8" w:color="0000EE"/>
            </w:tcBorders>
            <w:gridSpan w:val="17"/>
          </w:tcPr>
          <w:p>
            <w:pPr>
              <w:spacing w:after="0"/>
              <w:rPr>
                <w:rFonts w:ascii="Times New Roman" w:cs="Times New Roman" w:eastAsia="Times New Roman" w:hAnsi="Times New Roman"/>
                <w:sz w:val="13"/>
                <w:szCs w:val="13"/>
                <w:color w:val="0000FF"/>
              </w:rPr>
            </w:pPr>
            <w:hyperlink r:id="rId69">
              <w:r>
                <w:rPr>
                  <w:rFonts w:ascii="Times New Roman" w:cs="Times New Roman" w:eastAsia="Times New Roman" w:hAnsi="Times New Roman"/>
                  <w:sz w:val="13"/>
                  <w:szCs w:val="13"/>
                  <w:color w:val="0000FF"/>
                </w:rPr>
                <w:t>Amended and Restated Administration Agreement, dated as of May 20, 2024, between the Registrant and PennantPark Investment Administration, LLC (Incorporated by reference</w:t>
              </w:r>
            </w:hyperlink>
          </w:p>
        </w:tc>
        <w:tc>
          <w:tcPr>
            <w:tcW w:w="160" w:type="dxa"/>
            <w:vAlign w:val="bottom"/>
            <w:gridSpan w:val="5"/>
          </w:tcPr>
          <w:p>
            <w:pPr>
              <w:spacing w:after="0"/>
              <w:rPr>
                <w:sz w:val="22"/>
                <w:szCs w:val="22"/>
                <w:color w:val="auto"/>
              </w:rPr>
            </w:pPr>
          </w:p>
        </w:tc>
      </w:tr>
      <w:tr>
        <w:trPr>
          <w:trHeight w:val="136"/>
        </w:trPr>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40" w:type="dxa"/>
            <w:vAlign w:val="bottom"/>
            <w:tcBorders>
              <w:bottom w:val="single" w:sz="8" w:color="0000EE"/>
            </w:tcBorders>
            <w:gridSpan w:val="9"/>
          </w:tcPr>
          <w:p>
            <w:pPr>
              <w:spacing w:after="0" w:line="136" w:lineRule="exact"/>
              <w:rPr>
                <w:rFonts w:ascii="Times New Roman" w:cs="Times New Roman" w:eastAsia="Times New Roman" w:hAnsi="Times New Roman"/>
                <w:sz w:val="13"/>
                <w:szCs w:val="13"/>
                <w:color w:val="0000FF"/>
              </w:rPr>
            </w:pPr>
            <w:hyperlink r:id="rId69">
              <w:r>
                <w:rPr>
                  <w:rFonts w:ascii="Times New Roman" w:cs="Times New Roman" w:eastAsia="Times New Roman" w:hAnsi="Times New Roman"/>
                  <w:sz w:val="13"/>
                  <w:szCs w:val="13"/>
                  <w:color w:val="0000FF"/>
                </w:rPr>
                <w:t>to Exhibit 10.2 to the Registrant’s Quarterly Report on Form 10-Q (File No. 814-00736), filed on August 7, 2024).</w:t>
              </w:r>
            </w:hyperlink>
          </w:p>
        </w:tc>
        <w:tc>
          <w:tcPr>
            <w:tcW w:w="3680" w:type="dxa"/>
            <w:vAlign w:val="bottom"/>
            <w:gridSpan w:val="13"/>
          </w:tcPr>
          <w:p>
            <w:pPr>
              <w:spacing w:after="0"/>
              <w:rPr>
                <w:sz w:val="11"/>
                <w:szCs w:val="11"/>
                <w:color w:val="auto"/>
              </w:rPr>
            </w:pPr>
          </w:p>
        </w:tc>
      </w:tr>
      <w:tr>
        <w:trPr>
          <w:trHeight w:val="256"/>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6"/>
              </w:rPr>
              <w:t>10.2</w:t>
            </w:r>
          </w:p>
        </w:tc>
        <w:tc>
          <w:tcPr>
            <w:tcW w:w="540" w:type="dxa"/>
            <w:vAlign w:val="bottom"/>
          </w:tcPr>
          <w:p>
            <w:pPr>
              <w:spacing w:after="0"/>
              <w:rPr>
                <w:sz w:val="22"/>
                <w:szCs w:val="22"/>
                <w:color w:val="auto"/>
              </w:rPr>
            </w:pPr>
          </w:p>
        </w:tc>
        <w:tc>
          <w:tcPr>
            <w:tcW w:w="9280" w:type="dxa"/>
            <w:vAlign w:val="bottom"/>
            <w:tcBorders>
              <w:bottom w:val="single" w:sz="8" w:color="0000EE"/>
            </w:tcBorders>
            <w:gridSpan w:val="13"/>
          </w:tcPr>
          <w:p>
            <w:pPr>
              <w:spacing w:after="0"/>
              <w:rPr>
                <w:rFonts w:ascii="Times New Roman" w:cs="Times New Roman" w:eastAsia="Times New Roman" w:hAnsi="Times New Roman"/>
                <w:sz w:val="13"/>
                <w:szCs w:val="13"/>
                <w:color w:val="0000FF"/>
              </w:rPr>
            </w:pPr>
            <w:hyperlink r:id="rId70">
              <w:r>
                <w:rPr>
                  <w:rFonts w:ascii="Times New Roman" w:cs="Times New Roman" w:eastAsia="Times New Roman" w:hAnsi="Times New Roman"/>
                  <w:sz w:val="13"/>
                  <w:szCs w:val="13"/>
                  <w:color w:val="0000FF"/>
                </w:rPr>
                <w:t>Dividend Reinvestment Plan (Incorporated by reference to Exhibit 99(e) to the Registrant’s Registration Statement on Form N-2 (File No. 333-150033), filed on April 2, 2008).</w:t>
              </w:r>
            </w:hyperlink>
          </w:p>
        </w:tc>
        <w:tc>
          <w:tcPr>
            <w:tcW w:w="440" w:type="dxa"/>
            <w:vAlign w:val="bottom"/>
            <w:gridSpan w:val="9"/>
          </w:tcPr>
          <w:p>
            <w:pPr>
              <w:spacing w:after="0"/>
              <w:rPr>
                <w:sz w:val="22"/>
                <w:szCs w:val="22"/>
                <w:color w:val="auto"/>
              </w:rPr>
            </w:pPr>
          </w:p>
        </w:tc>
      </w:tr>
      <w:tr>
        <w:trPr>
          <w:trHeight w:val="256"/>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6"/>
              </w:rPr>
              <w:t>10.3</w:t>
            </w:r>
          </w:p>
        </w:tc>
        <w:tc>
          <w:tcPr>
            <w:tcW w:w="540" w:type="dxa"/>
            <w:vAlign w:val="bottom"/>
          </w:tcPr>
          <w:p>
            <w:pPr>
              <w:spacing w:after="0"/>
              <w:rPr>
                <w:sz w:val="22"/>
                <w:szCs w:val="22"/>
                <w:color w:val="auto"/>
              </w:rPr>
            </w:pPr>
          </w:p>
        </w:tc>
        <w:tc>
          <w:tcPr>
            <w:tcW w:w="9500" w:type="dxa"/>
            <w:vAlign w:val="bottom"/>
            <w:tcBorders>
              <w:bottom w:val="single" w:sz="8" w:color="0000EE"/>
            </w:tcBorders>
            <w:gridSpan w:val="15"/>
          </w:tcPr>
          <w:p>
            <w:pPr>
              <w:spacing w:after="0"/>
              <w:rPr>
                <w:rFonts w:ascii="Times New Roman" w:cs="Times New Roman" w:eastAsia="Times New Roman" w:hAnsi="Times New Roman"/>
                <w:sz w:val="13"/>
                <w:szCs w:val="13"/>
                <w:color w:val="0000FF"/>
              </w:rPr>
            </w:pPr>
            <w:hyperlink r:id="rId71">
              <w:r>
                <w:rPr>
                  <w:rFonts w:ascii="Times New Roman" w:cs="Times New Roman" w:eastAsia="Times New Roman" w:hAnsi="Times New Roman"/>
                  <w:sz w:val="13"/>
                  <w:szCs w:val="13"/>
                  <w:color w:val="0000FF"/>
                </w:rPr>
                <w:t>First Omnibus Amendment to Second Amended and Restated Senior Secured Revolving Credit Agreement and Second Amended and Restated Guarantee and Security Agreement,</w:t>
              </w:r>
            </w:hyperlink>
          </w:p>
        </w:tc>
        <w:tc>
          <w:tcPr>
            <w:tcW w:w="220" w:type="dxa"/>
            <w:vAlign w:val="bottom"/>
            <w:gridSpan w:val="7"/>
          </w:tcPr>
          <w:p>
            <w:pPr>
              <w:spacing w:after="0"/>
              <w:rPr>
                <w:sz w:val="22"/>
                <w:szCs w:val="22"/>
                <w:color w:val="auto"/>
              </w:rPr>
            </w:pPr>
          </w:p>
        </w:tc>
      </w:tr>
      <w:tr>
        <w:trPr>
          <w:trHeight w:val="136"/>
        </w:trPr>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20" w:type="dxa"/>
            <w:vAlign w:val="bottom"/>
            <w:tcBorders>
              <w:bottom w:val="single" w:sz="8" w:color="0000EE"/>
            </w:tcBorders>
            <w:gridSpan w:val="18"/>
          </w:tcPr>
          <w:p>
            <w:pPr>
              <w:spacing w:after="0" w:line="136" w:lineRule="exact"/>
              <w:rPr>
                <w:rFonts w:ascii="Times New Roman" w:cs="Times New Roman" w:eastAsia="Times New Roman" w:hAnsi="Times New Roman"/>
                <w:sz w:val="13"/>
                <w:szCs w:val="13"/>
                <w:color w:val="0000FF"/>
              </w:rPr>
            </w:pPr>
            <w:hyperlink r:id="rId71">
              <w:r>
                <w:rPr>
                  <w:rFonts w:ascii="Times New Roman" w:cs="Times New Roman" w:eastAsia="Times New Roman" w:hAnsi="Times New Roman"/>
                  <w:sz w:val="13"/>
                  <w:szCs w:val="13"/>
                  <w:color w:val="0000FF"/>
                </w:rPr>
                <w:t>dated as of May 25, 2017, among the Registrant, the lenders party thereto and SunTrust Bank, as administrative agent for the lenders (Incorporated by reference to Exhibit 10.1 to the</w:t>
              </w:r>
            </w:hyperlink>
          </w:p>
        </w:tc>
        <w:tc>
          <w:tcPr>
            <w:tcW w:w="100" w:type="dxa"/>
            <w:vAlign w:val="bottom"/>
            <w:gridSpan w:val="4"/>
          </w:tcPr>
          <w:p>
            <w:pPr>
              <w:spacing w:after="0"/>
              <w:rPr>
                <w:sz w:val="11"/>
                <w:szCs w:val="11"/>
                <w:color w:val="auto"/>
              </w:rPr>
            </w:pPr>
          </w:p>
        </w:tc>
      </w:tr>
      <w:tr>
        <w:trPr>
          <w:trHeight w:val="136"/>
        </w:trPr>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720" w:type="dxa"/>
            <w:vAlign w:val="bottom"/>
            <w:gridSpan w:val="22"/>
          </w:tcPr>
          <w:p>
            <w:pPr>
              <w:spacing w:after="0" w:line="136" w:lineRule="exact"/>
              <w:rPr>
                <w:rFonts w:ascii="Times New Roman" w:cs="Times New Roman" w:eastAsia="Times New Roman" w:hAnsi="Times New Roman"/>
                <w:sz w:val="13"/>
                <w:szCs w:val="13"/>
                <w:color w:val="0000FF"/>
              </w:rPr>
            </w:pPr>
            <w:hyperlink r:id="rId71">
              <w:r>
                <w:rPr>
                  <w:rFonts w:ascii="Times New Roman" w:cs="Times New Roman" w:eastAsia="Times New Roman" w:hAnsi="Times New Roman"/>
                  <w:sz w:val="13"/>
                  <w:szCs w:val="13"/>
                  <w:color w:val="0000FF"/>
                </w:rPr>
                <w:t>Registrant’s Quarterly Report on Form 10-Q (File No. 814-00736), filed on August 7, 2017).</w:t>
              </w:r>
            </w:hyperlink>
          </w:p>
        </w:tc>
      </w:tr>
      <w:tr>
        <w:trPr>
          <w:trHeight w:val="20"/>
        </w:trPr>
        <w:tc>
          <w:tcPr>
            <w:tcW w:w="34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4880" w:type="dxa"/>
            <w:vAlign w:val="bottom"/>
            <w:gridSpan w:val="7"/>
            <w:shd w:val="clear" w:color="auto" w:fill="0000EE"/>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6"/>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6"/>
              </w:rPr>
              <w:t>10.4</w:t>
            </w:r>
          </w:p>
        </w:tc>
        <w:tc>
          <w:tcPr>
            <w:tcW w:w="540" w:type="dxa"/>
            <w:vAlign w:val="bottom"/>
          </w:tcPr>
          <w:p>
            <w:pPr>
              <w:spacing w:after="0"/>
              <w:rPr>
                <w:sz w:val="22"/>
                <w:szCs w:val="22"/>
                <w:color w:val="auto"/>
              </w:rPr>
            </w:pPr>
          </w:p>
        </w:tc>
        <w:tc>
          <w:tcPr>
            <w:tcW w:w="9680" w:type="dxa"/>
            <w:vAlign w:val="bottom"/>
            <w:tcBorders>
              <w:bottom w:val="single" w:sz="8" w:color="0000EE"/>
            </w:tcBorders>
            <w:gridSpan w:val="20"/>
          </w:tcPr>
          <w:p>
            <w:pPr>
              <w:spacing w:after="0"/>
              <w:rPr>
                <w:rFonts w:ascii="Times New Roman" w:cs="Times New Roman" w:eastAsia="Times New Roman" w:hAnsi="Times New Roman"/>
                <w:sz w:val="13"/>
                <w:szCs w:val="13"/>
                <w:color w:val="0000FF"/>
              </w:rPr>
            </w:pPr>
            <w:hyperlink r:id="rId72">
              <w:r>
                <w:rPr>
                  <w:rFonts w:ascii="Times New Roman" w:cs="Times New Roman" w:eastAsia="Times New Roman" w:hAnsi="Times New Roman"/>
                  <w:sz w:val="13"/>
                  <w:szCs w:val="13"/>
                  <w:color w:val="0000FF"/>
                </w:rPr>
                <w:t>Indemnification Agreement, dated as of November 15, 2016, between PennantPark Investment Corporation and each of the directors and officers listed on Schedule A attached thereto</w:t>
              </w:r>
            </w:hyperlink>
          </w:p>
        </w:tc>
        <w:tc>
          <w:tcPr>
            <w:tcW w:w="40" w:type="dxa"/>
            <w:vAlign w:val="bottom"/>
            <w:gridSpan w:val="2"/>
          </w:tcPr>
          <w:p>
            <w:pPr>
              <w:spacing w:after="0"/>
              <w:rPr>
                <w:sz w:val="22"/>
                <w:szCs w:val="22"/>
                <w:color w:val="auto"/>
              </w:rPr>
            </w:pPr>
          </w:p>
        </w:tc>
      </w:tr>
      <w:tr>
        <w:trPr>
          <w:trHeight w:val="136"/>
        </w:trPr>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720" w:type="dxa"/>
            <w:vAlign w:val="bottom"/>
            <w:gridSpan w:val="22"/>
          </w:tcPr>
          <w:p>
            <w:pPr>
              <w:spacing w:after="0" w:line="136" w:lineRule="exact"/>
              <w:rPr>
                <w:rFonts w:ascii="Times New Roman" w:cs="Times New Roman" w:eastAsia="Times New Roman" w:hAnsi="Times New Roman"/>
                <w:sz w:val="13"/>
                <w:szCs w:val="13"/>
                <w:color w:val="0000FF"/>
              </w:rPr>
            </w:pPr>
            <w:hyperlink r:id="rId72">
              <w:r>
                <w:rPr>
                  <w:rFonts w:ascii="Times New Roman" w:cs="Times New Roman" w:eastAsia="Times New Roman" w:hAnsi="Times New Roman"/>
                  <w:sz w:val="13"/>
                  <w:szCs w:val="13"/>
                  <w:color w:val="0000FF"/>
                </w:rPr>
                <w:t>(Incorporated by reference to Exhibit 10.5 to the Registrant’s Annual Report on Form 10-K (File No. 814-00736) filed on November 21, 2016).</w:t>
              </w:r>
            </w:hyperlink>
          </w:p>
        </w:tc>
      </w:tr>
      <w:tr>
        <w:trPr>
          <w:trHeight w:val="20"/>
        </w:trPr>
        <w:tc>
          <w:tcPr>
            <w:tcW w:w="34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7560" w:type="dxa"/>
            <w:vAlign w:val="bottom"/>
            <w:tcBorders>
              <w:right w:val="single" w:sz="8" w:color="0000EE"/>
            </w:tcBorders>
            <w:gridSpan w:val="10"/>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40" w:type="dxa"/>
            <w:vAlign w:val="bottom"/>
            <w:gridSpan w:val="10"/>
          </w:tcPr>
          <w:p>
            <w:pPr>
              <w:spacing w:after="0" w:line="20" w:lineRule="exact"/>
              <w:rPr>
                <w:sz w:val="1"/>
                <w:szCs w:val="1"/>
                <w:color w:val="auto"/>
              </w:rPr>
            </w:pPr>
          </w:p>
        </w:tc>
      </w:tr>
      <w:tr>
        <w:trPr>
          <w:trHeight w:val="256"/>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6"/>
              </w:rPr>
              <w:t>10.5</w:t>
            </w:r>
          </w:p>
        </w:tc>
        <w:tc>
          <w:tcPr>
            <w:tcW w:w="540" w:type="dxa"/>
            <w:vAlign w:val="bottom"/>
          </w:tcPr>
          <w:p>
            <w:pPr>
              <w:spacing w:after="0"/>
              <w:rPr>
                <w:sz w:val="22"/>
                <w:szCs w:val="22"/>
                <w:color w:val="auto"/>
              </w:rPr>
            </w:pPr>
          </w:p>
        </w:tc>
        <w:tc>
          <w:tcPr>
            <w:tcW w:w="9180" w:type="dxa"/>
            <w:vAlign w:val="bottom"/>
            <w:tcBorders>
              <w:bottom w:val="single" w:sz="8" w:color="0000EE"/>
            </w:tcBorders>
            <w:gridSpan w:val="12"/>
          </w:tcPr>
          <w:p>
            <w:pPr>
              <w:spacing w:after="0"/>
              <w:rPr>
                <w:rFonts w:ascii="Times New Roman" w:cs="Times New Roman" w:eastAsia="Times New Roman" w:hAnsi="Times New Roman"/>
                <w:sz w:val="13"/>
                <w:szCs w:val="13"/>
                <w:color w:val="0000FF"/>
              </w:rPr>
            </w:pPr>
            <w:hyperlink r:id="rId73">
              <w:r>
                <w:rPr>
                  <w:rFonts w:ascii="Times New Roman" w:cs="Times New Roman" w:eastAsia="Times New Roman" w:hAnsi="Times New Roman"/>
                  <w:sz w:val="13"/>
                  <w:szCs w:val="13"/>
                  <w:color w:val="0000FF"/>
                </w:rPr>
                <w:t>Fourth Amended and Restated Investment Advisory Management Agreement, dated as of May 20, 2024, between the Registrant and PennantPark Investment Advisers, LLC</w:t>
              </w:r>
            </w:hyperlink>
          </w:p>
        </w:tc>
        <w:tc>
          <w:tcPr>
            <w:tcW w:w="540" w:type="dxa"/>
            <w:vAlign w:val="bottom"/>
            <w:gridSpan w:val="10"/>
          </w:tcPr>
          <w:p>
            <w:pPr>
              <w:spacing w:after="0"/>
              <w:rPr>
                <w:sz w:val="22"/>
                <w:szCs w:val="22"/>
                <w:color w:val="auto"/>
              </w:rPr>
            </w:pPr>
          </w:p>
        </w:tc>
      </w:tr>
      <w:tr>
        <w:trPr>
          <w:trHeight w:val="136"/>
        </w:trPr>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720" w:type="dxa"/>
            <w:vAlign w:val="bottom"/>
            <w:gridSpan w:val="22"/>
          </w:tcPr>
          <w:p>
            <w:pPr>
              <w:spacing w:after="0" w:line="136" w:lineRule="exact"/>
              <w:rPr>
                <w:rFonts w:ascii="Times New Roman" w:cs="Times New Roman" w:eastAsia="Times New Roman" w:hAnsi="Times New Roman"/>
                <w:sz w:val="13"/>
                <w:szCs w:val="13"/>
                <w:color w:val="0000FF"/>
              </w:rPr>
            </w:pPr>
            <w:hyperlink r:id="rId73">
              <w:r>
                <w:rPr>
                  <w:rFonts w:ascii="Times New Roman" w:cs="Times New Roman" w:eastAsia="Times New Roman" w:hAnsi="Times New Roman"/>
                  <w:sz w:val="13"/>
                  <w:szCs w:val="13"/>
                  <w:color w:val="0000FF"/>
                </w:rPr>
                <w:t>(Incorporated by reference to Exhibit 10.5 to the Registrant's Annual Report on Form 10-K (File No. 814-00736) filed on November 24, 2025).</w:t>
              </w:r>
            </w:hyperlink>
          </w:p>
        </w:tc>
      </w:tr>
      <w:tr>
        <w:trPr>
          <w:trHeight w:val="512"/>
        </w:trPr>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tcBorders>
              <w:top w:val="single" w:sz="8" w:color="0000EE"/>
            </w:tcBorders>
            <w:gridSpan w:val="6"/>
          </w:tcPr>
          <w:p>
            <w:pPr>
              <w:jc w:val="right"/>
              <w:ind w:right="140"/>
              <w:spacing w:after="0"/>
              <w:rPr>
                <w:sz w:val="20"/>
                <w:szCs w:val="20"/>
                <w:color w:val="auto"/>
              </w:rPr>
            </w:pPr>
            <w:r>
              <w:rPr>
                <w:rFonts w:ascii="Times New Roman" w:cs="Times New Roman" w:eastAsia="Times New Roman" w:hAnsi="Times New Roman"/>
                <w:sz w:val="13"/>
                <w:szCs w:val="13"/>
                <w:color w:val="auto"/>
              </w:rPr>
              <w:t>54</w:t>
            </w: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0"/>
        </w:trPr>
        <w:tc>
          <w:tcPr>
            <w:tcW w:w="34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620" w:type="dxa"/>
            <w:vAlign w:val="bottom"/>
            <w:tcBorders>
              <w:bottom w:val="single" w:sz="8" w:color="EEEEEE"/>
            </w:tcBorders>
          </w:tcPr>
          <w:p>
            <w:pPr>
              <w:spacing w:after="0"/>
              <w:rPr>
                <w:sz w:val="24"/>
                <w:szCs w:val="24"/>
                <w:color w:val="auto"/>
              </w:rPr>
            </w:pPr>
          </w:p>
        </w:tc>
        <w:tc>
          <w:tcPr>
            <w:tcW w:w="12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15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4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12" w:right="640" w:bottom="1440" w:gutter="0" w:footer="0" w:header="0"/>
        </w:sectPr>
      </w:pPr>
    </w:p>
    <w:bookmarkStart w:id="54" w:name="page55"/>
    <w:bookmarkEnd w:id="54"/>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10.6</w:t>
            </w:r>
          </w:p>
        </w:tc>
        <w:tc>
          <w:tcPr>
            <w:tcW w:w="9140" w:type="dxa"/>
            <w:vAlign w:val="bottom"/>
            <w:tcBorders>
              <w:bottom w:val="single" w:sz="8" w:color="0000EE"/>
            </w:tcBorders>
            <w:gridSpan w:val="17"/>
          </w:tcPr>
          <w:p>
            <w:pPr>
              <w:spacing w:after="0"/>
              <w:rPr>
                <w:rFonts w:ascii="Times New Roman" w:cs="Times New Roman" w:eastAsia="Times New Roman" w:hAnsi="Times New Roman"/>
                <w:sz w:val="13"/>
                <w:szCs w:val="13"/>
                <w:color w:val="0000FF"/>
              </w:rPr>
            </w:pPr>
            <w:hyperlink r:id="rId75">
              <w:r>
                <w:rPr>
                  <w:rFonts w:ascii="Times New Roman" w:cs="Times New Roman" w:eastAsia="Times New Roman" w:hAnsi="Times New Roman"/>
                  <w:sz w:val="13"/>
                  <w:szCs w:val="13"/>
                  <w:color w:val="0000FF"/>
                </w:rPr>
                <w:t>Second Amendment to Second Amended and Restated Senior Secured Revolving Credit Agreement, dated as of September 4, 2019, by and among PennantPark Investment</w:t>
              </w:r>
            </w:hyperlink>
          </w:p>
        </w:tc>
        <w:tc>
          <w:tcPr>
            <w:tcW w:w="560" w:type="dxa"/>
            <w:vAlign w:val="bottom"/>
            <w:gridSpan w:val="19"/>
          </w:tcPr>
          <w:p>
            <w:pPr>
              <w:spacing w:after="0"/>
              <w:rPr>
                <w:sz w:val="12"/>
                <w:szCs w:val="12"/>
                <w:color w:val="auto"/>
              </w:rPr>
            </w:pPr>
          </w:p>
        </w:tc>
      </w:tr>
      <w:tr>
        <w:trPr>
          <w:trHeight w:val="136"/>
        </w:trPr>
        <w:tc>
          <w:tcPr>
            <w:tcW w:w="860" w:type="dxa"/>
            <w:vAlign w:val="bottom"/>
          </w:tcPr>
          <w:p>
            <w:pPr>
              <w:spacing w:after="0"/>
              <w:rPr>
                <w:sz w:val="11"/>
                <w:szCs w:val="11"/>
                <w:color w:val="auto"/>
              </w:rPr>
            </w:pPr>
          </w:p>
        </w:tc>
        <w:tc>
          <w:tcPr>
            <w:tcW w:w="9460" w:type="dxa"/>
            <w:vAlign w:val="bottom"/>
            <w:tcBorders>
              <w:bottom w:val="single" w:sz="8" w:color="0000EE"/>
            </w:tcBorders>
            <w:gridSpan w:val="25"/>
          </w:tcPr>
          <w:p>
            <w:pPr>
              <w:spacing w:after="0" w:line="136" w:lineRule="exact"/>
              <w:rPr>
                <w:rFonts w:ascii="Times New Roman" w:cs="Times New Roman" w:eastAsia="Times New Roman" w:hAnsi="Times New Roman"/>
                <w:sz w:val="13"/>
                <w:szCs w:val="13"/>
                <w:color w:val="0000FF"/>
              </w:rPr>
            </w:pPr>
            <w:hyperlink r:id="rId75">
              <w:r>
                <w:rPr>
                  <w:rFonts w:ascii="Times New Roman" w:cs="Times New Roman" w:eastAsia="Times New Roman" w:hAnsi="Times New Roman"/>
                  <w:sz w:val="13"/>
                  <w:szCs w:val="13"/>
                  <w:color w:val="0000FF"/>
                </w:rPr>
                <w:t>Corporation, as borrower, the lenders party thereto, SunTrust Bank, as administrative agent and collateral agent, and solely with respect to Section 4.9, PNNT CI (GALLS) Prime</w:t>
              </w:r>
            </w:hyperlink>
          </w:p>
        </w:tc>
        <w:tc>
          <w:tcPr>
            <w:tcW w:w="240" w:type="dxa"/>
            <w:vAlign w:val="bottom"/>
            <w:gridSpan w:val="11"/>
          </w:tcPr>
          <w:p>
            <w:pPr>
              <w:spacing w:after="0"/>
              <w:rPr>
                <w:sz w:val="11"/>
                <w:szCs w:val="11"/>
                <w:color w:val="auto"/>
              </w:rPr>
            </w:pPr>
          </w:p>
        </w:tc>
      </w:tr>
      <w:tr>
        <w:trPr>
          <w:trHeight w:val="136"/>
        </w:trPr>
        <w:tc>
          <w:tcPr>
            <w:tcW w:w="860" w:type="dxa"/>
            <w:vAlign w:val="bottom"/>
          </w:tcPr>
          <w:p>
            <w:pPr>
              <w:spacing w:after="0"/>
              <w:rPr>
                <w:sz w:val="11"/>
                <w:szCs w:val="11"/>
                <w:color w:val="auto"/>
              </w:rPr>
            </w:pPr>
          </w:p>
        </w:tc>
        <w:tc>
          <w:tcPr>
            <w:tcW w:w="9140" w:type="dxa"/>
            <w:vAlign w:val="bottom"/>
            <w:tcBorders>
              <w:bottom w:val="single" w:sz="8" w:color="0000EE"/>
            </w:tcBorders>
            <w:gridSpan w:val="17"/>
          </w:tcPr>
          <w:p>
            <w:pPr>
              <w:spacing w:after="0" w:line="136" w:lineRule="exact"/>
              <w:rPr>
                <w:rFonts w:ascii="Times New Roman" w:cs="Times New Roman" w:eastAsia="Times New Roman" w:hAnsi="Times New Roman"/>
                <w:sz w:val="13"/>
                <w:szCs w:val="13"/>
                <w:color w:val="0000FF"/>
              </w:rPr>
            </w:pPr>
            <w:hyperlink r:id="rId75">
              <w:r>
                <w:rPr>
                  <w:rFonts w:ascii="Times New Roman" w:cs="Times New Roman" w:eastAsia="Times New Roman" w:hAnsi="Times New Roman"/>
                  <w:sz w:val="13"/>
                  <w:szCs w:val="13"/>
                  <w:color w:val="0000FF"/>
                </w:rPr>
                <w:t>Investment Holdings, LLC, PNNT Investment Holdings, LLC, PNNT New Gulf Resources, LLC, PNNT ecoserve, LLC and PNNT Cascade Environmental Holdings, LLC</w:t>
              </w:r>
            </w:hyperlink>
          </w:p>
        </w:tc>
        <w:tc>
          <w:tcPr>
            <w:tcW w:w="560" w:type="dxa"/>
            <w:vAlign w:val="bottom"/>
            <w:gridSpan w:val="19"/>
          </w:tcPr>
          <w:p>
            <w:pPr>
              <w:spacing w:after="0"/>
              <w:rPr>
                <w:sz w:val="11"/>
                <w:szCs w:val="11"/>
                <w:color w:val="auto"/>
              </w:rPr>
            </w:pPr>
          </w:p>
        </w:tc>
      </w:tr>
      <w:tr>
        <w:trPr>
          <w:trHeight w:val="136"/>
        </w:trPr>
        <w:tc>
          <w:tcPr>
            <w:tcW w:w="860" w:type="dxa"/>
            <w:vAlign w:val="bottom"/>
          </w:tcPr>
          <w:p>
            <w:pPr>
              <w:spacing w:after="0"/>
              <w:rPr>
                <w:sz w:val="11"/>
                <w:szCs w:val="11"/>
                <w:color w:val="auto"/>
              </w:rPr>
            </w:pPr>
          </w:p>
        </w:tc>
        <w:tc>
          <w:tcPr>
            <w:tcW w:w="9700" w:type="dxa"/>
            <w:vAlign w:val="bottom"/>
            <w:gridSpan w:val="36"/>
          </w:tcPr>
          <w:p>
            <w:pPr>
              <w:spacing w:after="0" w:line="136" w:lineRule="exact"/>
              <w:rPr>
                <w:rFonts w:ascii="Times New Roman" w:cs="Times New Roman" w:eastAsia="Times New Roman" w:hAnsi="Times New Roman"/>
                <w:sz w:val="13"/>
                <w:szCs w:val="13"/>
                <w:color w:val="0000FF"/>
              </w:rPr>
            </w:pPr>
            <w:hyperlink r:id="rId75">
              <w:r>
                <w:rPr>
                  <w:rFonts w:ascii="Times New Roman" w:cs="Times New Roman" w:eastAsia="Times New Roman" w:hAnsi="Times New Roman"/>
                  <w:sz w:val="13"/>
                  <w:szCs w:val="13"/>
                  <w:color w:val="0000FF"/>
                </w:rPr>
                <w:t>(Incorporated by reference to Exhibit 10.1 to the Registrant’s Current Report on Form 8-K (File No. 814-00736), filed on September 4, 2019).</w:t>
              </w:r>
            </w:hyperlink>
          </w:p>
        </w:tc>
      </w:tr>
      <w:tr>
        <w:trPr>
          <w:trHeight w:val="20"/>
        </w:trPr>
        <w:tc>
          <w:tcPr>
            <w:tcW w:w="8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10.7</w:t>
            </w:r>
          </w:p>
        </w:tc>
        <w:tc>
          <w:tcPr>
            <w:tcW w:w="9060" w:type="dxa"/>
            <w:vAlign w:val="bottom"/>
            <w:tcBorders>
              <w:bottom w:val="single" w:sz="8" w:color="0000EE"/>
            </w:tcBorders>
            <w:gridSpan w:val="16"/>
          </w:tcPr>
          <w:p>
            <w:pPr>
              <w:spacing w:after="0"/>
              <w:rPr>
                <w:rFonts w:ascii="Times New Roman" w:cs="Times New Roman" w:eastAsia="Times New Roman" w:hAnsi="Times New Roman"/>
                <w:sz w:val="13"/>
                <w:szCs w:val="13"/>
                <w:color w:val="0000FF"/>
              </w:rPr>
            </w:pPr>
            <w:hyperlink r:id="rId76">
              <w:r>
                <w:rPr>
                  <w:rFonts w:ascii="Times New Roman" w:cs="Times New Roman" w:eastAsia="Times New Roman" w:hAnsi="Times New Roman"/>
                  <w:sz w:val="13"/>
                  <w:szCs w:val="13"/>
                  <w:color w:val="0000FF"/>
                </w:rPr>
                <w:t>Amended and Restated Limited Liability Company Agreement of PennantPark Senior Loan Fund, LLC, dated as of July 31, 2020, by and among PennantPark Investment</w:t>
              </w:r>
            </w:hyperlink>
          </w:p>
        </w:tc>
        <w:tc>
          <w:tcPr>
            <w:tcW w:w="640" w:type="dxa"/>
            <w:vAlign w:val="bottom"/>
            <w:gridSpan w:val="20"/>
          </w:tcPr>
          <w:p>
            <w:pPr>
              <w:spacing w:after="0"/>
              <w:rPr>
                <w:sz w:val="22"/>
                <w:szCs w:val="22"/>
                <w:color w:val="auto"/>
              </w:rPr>
            </w:pPr>
          </w:p>
        </w:tc>
      </w:tr>
      <w:tr>
        <w:trPr>
          <w:trHeight w:val="136"/>
        </w:trPr>
        <w:tc>
          <w:tcPr>
            <w:tcW w:w="860" w:type="dxa"/>
            <w:vAlign w:val="bottom"/>
          </w:tcPr>
          <w:p>
            <w:pPr>
              <w:spacing w:after="0"/>
              <w:rPr>
                <w:sz w:val="11"/>
                <w:szCs w:val="11"/>
                <w:color w:val="auto"/>
              </w:rPr>
            </w:pPr>
          </w:p>
        </w:tc>
        <w:tc>
          <w:tcPr>
            <w:tcW w:w="9620" w:type="dxa"/>
            <w:vAlign w:val="bottom"/>
            <w:tcBorders>
              <w:bottom w:val="single" w:sz="8" w:color="0000EE"/>
            </w:tcBorders>
            <w:gridSpan w:val="32"/>
          </w:tcPr>
          <w:p>
            <w:pPr>
              <w:spacing w:after="0" w:line="136" w:lineRule="exact"/>
              <w:rPr>
                <w:rFonts w:ascii="Times New Roman" w:cs="Times New Roman" w:eastAsia="Times New Roman" w:hAnsi="Times New Roman"/>
                <w:sz w:val="13"/>
                <w:szCs w:val="13"/>
                <w:color w:val="0000FF"/>
              </w:rPr>
            </w:pPr>
            <w:hyperlink r:id="rId76">
              <w:r>
                <w:rPr>
                  <w:rFonts w:ascii="Times New Roman" w:cs="Times New Roman" w:eastAsia="Times New Roman" w:hAnsi="Times New Roman"/>
                  <w:sz w:val="13"/>
                  <w:szCs w:val="13"/>
                  <w:color w:val="0000FF"/>
                </w:rPr>
                <w:t>Corporation, Pantheon Private Debt Program SCSp SICAV – RAIF In Respect Of Its Compartment Pantheon Senior Debt Secondaries II (USD) and Solutio Premium Private Debt I</w:t>
              </w:r>
            </w:hyperlink>
          </w:p>
        </w:tc>
        <w:tc>
          <w:tcPr>
            <w:tcW w:w="80" w:type="dxa"/>
            <w:vAlign w:val="bottom"/>
            <w:gridSpan w:val="4"/>
          </w:tcPr>
          <w:p>
            <w:pPr>
              <w:spacing w:after="0"/>
              <w:rPr>
                <w:sz w:val="11"/>
                <w:szCs w:val="11"/>
                <w:color w:val="auto"/>
              </w:rPr>
            </w:pPr>
          </w:p>
        </w:tc>
      </w:tr>
      <w:tr>
        <w:trPr>
          <w:trHeight w:val="136"/>
        </w:trPr>
        <w:tc>
          <w:tcPr>
            <w:tcW w:w="860" w:type="dxa"/>
            <w:vAlign w:val="bottom"/>
          </w:tcPr>
          <w:p>
            <w:pPr>
              <w:spacing w:after="0"/>
              <w:rPr>
                <w:sz w:val="11"/>
                <w:szCs w:val="11"/>
                <w:color w:val="auto"/>
              </w:rPr>
            </w:pPr>
          </w:p>
        </w:tc>
        <w:tc>
          <w:tcPr>
            <w:tcW w:w="7700" w:type="dxa"/>
            <w:vAlign w:val="bottom"/>
            <w:tcBorders>
              <w:bottom w:val="single" w:sz="8" w:color="0000EE"/>
            </w:tcBorders>
            <w:gridSpan w:val="13"/>
          </w:tcPr>
          <w:p>
            <w:pPr>
              <w:spacing w:after="0" w:line="136" w:lineRule="exact"/>
              <w:rPr>
                <w:rFonts w:ascii="Times New Roman" w:cs="Times New Roman" w:eastAsia="Times New Roman" w:hAnsi="Times New Roman"/>
                <w:sz w:val="13"/>
                <w:szCs w:val="13"/>
                <w:color w:val="0000FF"/>
              </w:rPr>
            </w:pPr>
            <w:hyperlink r:id="rId76">
              <w:r>
                <w:rPr>
                  <w:rFonts w:ascii="Times New Roman" w:cs="Times New Roman" w:eastAsia="Times New Roman" w:hAnsi="Times New Roman"/>
                  <w:sz w:val="13"/>
                  <w:szCs w:val="13"/>
                  <w:color w:val="0000FF"/>
                </w:rPr>
                <w:t>SCSp (Incorporated by reference to Exhibit 10.1 to the Registrant’s Current Report on Form 8-K (File No. 814-00736), filed on August 4, 2020).</w:t>
              </w:r>
            </w:hyperlink>
          </w:p>
        </w:tc>
        <w:tc>
          <w:tcPr>
            <w:tcW w:w="2000" w:type="dxa"/>
            <w:vAlign w:val="bottom"/>
            <w:gridSpan w:val="23"/>
          </w:tcPr>
          <w:p>
            <w:pPr>
              <w:spacing w:after="0"/>
              <w:rPr>
                <w:sz w:val="11"/>
                <w:szCs w:val="11"/>
                <w:color w:val="auto"/>
              </w:rPr>
            </w:pPr>
          </w:p>
        </w:tc>
      </w:tr>
      <w:tr>
        <w:trPr>
          <w:trHeight w:val="25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10.8</w:t>
            </w:r>
          </w:p>
        </w:tc>
        <w:tc>
          <w:tcPr>
            <w:tcW w:w="9260" w:type="dxa"/>
            <w:vAlign w:val="bottom"/>
            <w:tcBorders>
              <w:bottom w:val="single" w:sz="8" w:color="0000EE"/>
            </w:tcBorders>
            <w:gridSpan w:val="21"/>
          </w:tcPr>
          <w:p>
            <w:pPr>
              <w:spacing w:after="0"/>
              <w:rPr>
                <w:rFonts w:ascii="Times New Roman" w:cs="Times New Roman" w:eastAsia="Times New Roman" w:hAnsi="Times New Roman"/>
                <w:sz w:val="13"/>
                <w:szCs w:val="13"/>
                <w:color w:val="0000FF"/>
              </w:rPr>
            </w:pPr>
            <w:hyperlink r:id="rId77">
              <w:r>
                <w:rPr>
                  <w:rFonts w:ascii="Times New Roman" w:cs="Times New Roman" w:eastAsia="Times New Roman" w:hAnsi="Times New Roman"/>
                  <w:sz w:val="13"/>
                  <w:szCs w:val="13"/>
                  <w:color w:val="0000FF"/>
                </w:rPr>
                <w:t>First Amendment to the Amended and Restated Limited Liability Company Agreement of PennantPark Senior Loan Fund, LLC, dated as of October 31, 2020, by and among</w:t>
              </w:r>
            </w:hyperlink>
          </w:p>
        </w:tc>
        <w:tc>
          <w:tcPr>
            <w:tcW w:w="440" w:type="dxa"/>
            <w:vAlign w:val="bottom"/>
            <w:gridSpan w:val="15"/>
          </w:tcPr>
          <w:p>
            <w:pPr>
              <w:spacing w:after="0"/>
              <w:rPr>
                <w:sz w:val="22"/>
                <w:szCs w:val="22"/>
                <w:color w:val="auto"/>
              </w:rPr>
            </w:pPr>
          </w:p>
        </w:tc>
      </w:tr>
      <w:tr>
        <w:trPr>
          <w:trHeight w:val="136"/>
        </w:trPr>
        <w:tc>
          <w:tcPr>
            <w:tcW w:w="860" w:type="dxa"/>
            <w:vAlign w:val="bottom"/>
          </w:tcPr>
          <w:p>
            <w:pPr>
              <w:spacing w:after="0"/>
              <w:rPr>
                <w:sz w:val="11"/>
                <w:szCs w:val="11"/>
                <w:color w:val="auto"/>
              </w:rPr>
            </w:pPr>
          </w:p>
        </w:tc>
        <w:tc>
          <w:tcPr>
            <w:tcW w:w="9560" w:type="dxa"/>
            <w:vAlign w:val="bottom"/>
            <w:tcBorders>
              <w:bottom w:val="single" w:sz="8" w:color="0000EE"/>
            </w:tcBorders>
            <w:gridSpan w:val="29"/>
          </w:tcPr>
          <w:p>
            <w:pPr>
              <w:spacing w:after="0" w:line="136" w:lineRule="exact"/>
              <w:rPr>
                <w:rFonts w:ascii="Times New Roman" w:cs="Times New Roman" w:eastAsia="Times New Roman" w:hAnsi="Times New Roman"/>
                <w:sz w:val="13"/>
                <w:szCs w:val="13"/>
                <w:color w:val="0000FF"/>
              </w:rPr>
            </w:pPr>
            <w:hyperlink r:id="rId77">
              <w:r>
                <w:rPr>
                  <w:rFonts w:ascii="Times New Roman" w:cs="Times New Roman" w:eastAsia="Times New Roman" w:hAnsi="Times New Roman"/>
                  <w:sz w:val="13"/>
                  <w:szCs w:val="13"/>
                  <w:color w:val="0000FF"/>
                </w:rPr>
                <w:t>PennantPark Investment Corporation, Pantheon Private Debt Program SCSp SICAV – RAIF In Respect Of Its Compartment Pantheon Senior Debt Secondaries II (USD), Pantheon</w:t>
              </w:r>
            </w:hyperlink>
          </w:p>
        </w:tc>
        <w:tc>
          <w:tcPr>
            <w:tcW w:w="140" w:type="dxa"/>
            <w:vAlign w:val="bottom"/>
            <w:gridSpan w:val="7"/>
          </w:tcPr>
          <w:p>
            <w:pPr>
              <w:spacing w:after="0"/>
              <w:rPr>
                <w:sz w:val="11"/>
                <w:szCs w:val="11"/>
                <w:color w:val="auto"/>
              </w:rPr>
            </w:pPr>
          </w:p>
        </w:tc>
      </w:tr>
      <w:tr>
        <w:trPr>
          <w:trHeight w:val="136"/>
        </w:trPr>
        <w:tc>
          <w:tcPr>
            <w:tcW w:w="860" w:type="dxa"/>
            <w:vAlign w:val="bottom"/>
          </w:tcPr>
          <w:p>
            <w:pPr>
              <w:spacing w:after="0"/>
              <w:rPr>
                <w:sz w:val="11"/>
                <w:szCs w:val="11"/>
                <w:color w:val="auto"/>
              </w:rPr>
            </w:pPr>
          </w:p>
        </w:tc>
        <w:tc>
          <w:tcPr>
            <w:tcW w:w="9600" w:type="dxa"/>
            <w:vAlign w:val="bottom"/>
            <w:tcBorders>
              <w:bottom w:val="single" w:sz="8" w:color="0000EE"/>
            </w:tcBorders>
            <w:gridSpan w:val="31"/>
          </w:tcPr>
          <w:p>
            <w:pPr>
              <w:spacing w:after="0" w:line="136" w:lineRule="exact"/>
              <w:rPr>
                <w:rFonts w:ascii="Times New Roman" w:cs="Times New Roman" w:eastAsia="Times New Roman" w:hAnsi="Times New Roman"/>
                <w:sz w:val="13"/>
                <w:szCs w:val="13"/>
                <w:color w:val="0000FF"/>
              </w:rPr>
            </w:pPr>
            <w:hyperlink r:id="rId77">
              <w:r>
                <w:rPr>
                  <w:rFonts w:ascii="Times New Roman" w:cs="Times New Roman" w:eastAsia="Times New Roman" w:hAnsi="Times New Roman"/>
                  <w:sz w:val="13"/>
                  <w:szCs w:val="13"/>
                  <w:color w:val="0000FF"/>
                </w:rPr>
                <w:t>Private Debt Program SCSp SICAV-RAIF In Respect Of Its Compartment Pantheon Credit Opportunities II (USD), Pantheon Private Debt Program SCSp SICAV-RAIF In Respect</w:t>
              </w:r>
            </w:hyperlink>
          </w:p>
        </w:tc>
        <w:tc>
          <w:tcPr>
            <w:tcW w:w="100" w:type="dxa"/>
            <w:vAlign w:val="bottom"/>
            <w:gridSpan w:val="5"/>
          </w:tcPr>
          <w:p>
            <w:pPr>
              <w:spacing w:after="0"/>
              <w:rPr>
                <w:sz w:val="11"/>
                <w:szCs w:val="11"/>
                <w:color w:val="auto"/>
              </w:rPr>
            </w:pPr>
          </w:p>
        </w:tc>
      </w:tr>
      <w:tr>
        <w:trPr>
          <w:trHeight w:val="136"/>
        </w:trPr>
        <w:tc>
          <w:tcPr>
            <w:tcW w:w="860" w:type="dxa"/>
            <w:vAlign w:val="bottom"/>
          </w:tcPr>
          <w:p>
            <w:pPr>
              <w:spacing w:after="0"/>
              <w:rPr>
                <w:sz w:val="11"/>
                <w:szCs w:val="11"/>
                <w:color w:val="auto"/>
              </w:rPr>
            </w:pPr>
          </w:p>
        </w:tc>
        <w:tc>
          <w:tcPr>
            <w:tcW w:w="9660" w:type="dxa"/>
            <w:vAlign w:val="bottom"/>
            <w:tcBorders>
              <w:bottom w:val="single" w:sz="8" w:color="0000EE"/>
            </w:tcBorders>
            <w:gridSpan w:val="34"/>
          </w:tcPr>
          <w:p>
            <w:pPr>
              <w:spacing w:after="0" w:line="136" w:lineRule="exact"/>
              <w:rPr>
                <w:rFonts w:ascii="Times New Roman" w:cs="Times New Roman" w:eastAsia="Times New Roman" w:hAnsi="Times New Roman"/>
                <w:sz w:val="13"/>
                <w:szCs w:val="13"/>
                <w:color w:val="0000FF"/>
              </w:rPr>
            </w:pPr>
            <w:hyperlink r:id="rId77">
              <w:r>
                <w:rPr>
                  <w:rFonts w:ascii="Times New Roman" w:cs="Times New Roman" w:eastAsia="Times New Roman" w:hAnsi="Times New Roman"/>
                  <w:sz w:val="13"/>
                  <w:szCs w:val="13"/>
                  <w:color w:val="0000FF"/>
                </w:rPr>
                <w:t>Of Its Compartment Tubera Credit 2020 and Solutio Premium Private Debt I SCSp (Incorporated by reference to Exhibit 10.12 to the Registrant’s Annual Report on Form 10-K (File</w:t>
              </w:r>
            </w:hyperlink>
          </w:p>
        </w:tc>
        <w:tc>
          <w:tcPr>
            <w:tcW w:w="40" w:type="dxa"/>
            <w:vAlign w:val="bottom"/>
            <w:gridSpan w:val="2"/>
          </w:tcPr>
          <w:p>
            <w:pPr>
              <w:spacing w:after="0"/>
              <w:rPr>
                <w:sz w:val="11"/>
                <w:szCs w:val="11"/>
                <w:color w:val="auto"/>
              </w:rPr>
            </w:pPr>
          </w:p>
        </w:tc>
      </w:tr>
      <w:tr>
        <w:trPr>
          <w:trHeight w:val="136"/>
        </w:trPr>
        <w:tc>
          <w:tcPr>
            <w:tcW w:w="860" w:type="dxa"/>
            <w:vAlign w:val="bottom"/>
          </w:tcPr>
          <w:p>
            <w:pPr>
              <w:spacing w:after="0"/>
              <w:rPr>
                <w:sz w:val="11"/>
                <w:szCs w:val="11"/>
                <w:color w:val="auto"/>
              </w:rPr>
            </w:pPr>
          </w:p>
        </w:tc>
        <w:tc>
          <w:tcPr>
            <w:tcW w:w="2480" w:type="dxa"/>
            <w:vAlign w:val="bottom"/>
            <w:tcBorders>
              <w:bottom w:val="single" w:sz="8" w:color="0000EE"/>
            </w:tcBorders>
            <w:gridSpan w:val="5"/>
          </w:tcPr>
          <w:p>
            <w:pPr>
              <w:spacing w:after="0" w:line="136" w:lineRule="exact"/>
              <w:rPr>
                <w:rFonts w:ascii="Times New Roman" w:cs="Times New Roman" w:eastAsia="Times New Roman" w:hAnsi="Times New Roman"/>
                <w:sz w:val="13"/>
                <w:szCs w:val="13"/>
                <w:color w:val="0000FF"/>
              </w:rPr>
            </w:pPr>
            <w:hyperlink r:id="rId77">
              <w:r>
                <w:rPr>
                  <w:rFonts w:ascii="Times New Roman" w:cs="Times New Roman" w:eastAsia="Times New Roman" w:hAnsi="Times New Roman"/>
                  <w:sz w:val="13"/>
                  <w:szCs w:val="13"/>
                  <w:color w:val="0000FF"/>
                </w:rPr>
                <w:t>No. 814-00736), filed on November 19, 2020).</w:t>
              </w:r>
            </w:hyperlink>
          </w:p>
        </w:tc>
        <w:tc>
          <w:tcPr>
            <w:tcW w:w="7220" w:type="dxa"/>
            <w:vAlign w:val="bottom"/>
            <w:gridSpan w:val="31"/>
          </w:tcPr>
          <w:p>
            <w:pPr>
              <w:spacing w:after="0"/>
              <w:rPr>
                <w:sz w:val="11"/>
                <w:szCs w:val="11"/>
                <w:color w:val="auto"/>
              </w:rPr>
            </w:pPr>
          </w:p>
        </w:tc>
      </w:tr>
      <w:tr>
        <w:trPr>
          <w:trHeight w:val="25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10.9</w:t>
            </w:r>
          </w:p>
        </w:tc>
        <w:tc>
          <w:tcPr>
            <w:tcW w:w="9360" w:type="dxa"/>
            <w:vAlign w:val="bottom"/>
            <w:tcBorders>
              <w:bottom w:val="single" w:sz="8" w:color="0000EE"/>
            </w:tcBorders>
            <w:gridSpan w:val="24"/>
          </w:tcPr>
          <w:p>
            <w:pPr>
              <w:spacing w:after="0"/>
              <w:rPr>
                <w:rFonts w:ascii="Times New Roman" w:cs="Times New Roman" w:eastAsia="Times New Roman" w:hAnsi="Times New Roman"/>
                <w:sz w:val="13"/>
                <w:szCs w:val="13"/>
                <w:color w:val="0000FF"/>
              </w:rPr>
            </w:pPr>
            <w:hyperlink r:id="rId78">
              <w:r>
                <w:rPr>
                  <w:rFonts w:ascii="Times New Roman" w:cs="Times New Roman" w:eastAsia="Times New Roman" w:hAnsi="Times New Roman"/>
                  <w:sz w:val="13"/>
                  <w:szCs w:val="13"/>
                  <w:color w:val="0000FF"/>
                </w:rPr>
                <w:t>Second Amendment to the Amended and Restated Limited Liability Company Agreement of PennantPark Senior Loan Fund, LLC, dated as of October 31, 2020, by and among</w:t>
              </w:r>
            </w:hyperlink>
          </w:p>
        </w:tc>
        <w:tc>
          <w:tcPr>
            <w:tcW w:w="340" w:type="dxa"/>
            <w:vAlign w:val="bottom"/>
            <w:gridSpan w:val="12"/>
          </w:tcPr>
          <w:p>
            <w:pPr>
              <w:spacing w:after="0"/>
              <w:rPr>
                <w:sz w:val="22"/>
                <w:szCs w:val="22"/>
                <w:color w:val="auto"/>
              </w:rPr>
            </w:pPr>
          </w:p>
        </w:tc>
      </w:tr>
      <w:tr>
        <w:trPr>
          <w:trHeight w:val="136"/>
        </w:trPr>
        <w:tc>
          <w:tcPr>
            <w:tcW w:w="860" w:type="dxa"/>
            <w:vAlign w:val="bottom"/>
          </w:tcPr>
          <w:p>
            <w:pPr>
              <w:spacing w:after="0"/>
              <w:rPr>
                <w:sz w:val="11"/>
                <w:szCs w:val="11"/>
                <w:color w:val="auto"/>
              </w:rPr>
            </w:pPr>
          </w:p>
        </w:tc>
        <w:tc>
          <w:tcPr>
            <w:tcW w:w="9540" w:type="dxa"/>
            <w:vAlign w:val="bottom"/>
            <w:tcBorders>
              <w:bottom w:val="single" w:sz="8" w:color="0000EE"/>
            </w:tcBorders>
            <w:gridSpan w:val="28"/>
          </w:tcPr>
          <w:p>
            <w:pPr>
              <w:spacing w:after="0" w:line="136" w:lineRule="exact"/>
              <w:rPr>
                <w:rFonts w:ascii="Times New Roman" w:cs="Times New Roman" w:eastAsia="Times New Roman" w:hAnsi="Times New Roman"/>
                <w:sz w:val="13"/>
                <w:szCs w:val="13"/>
                <w:color w:val="0000FF"/>
              </w:rPr>
            </w:pPr>
            <w:hyperlink r:id="rId78">
              <w:r>
                <w:rPr>
                  <w:rFonts w:ascii="Times New Roman" w:cs="Times New Roman" w:eastAsia="Times New Roman" w:hAnsi="Times New Roman"/>
                  <w:sz w:val="13"/>
                  <w:szCs w:val="13"/>
                  <w:color w:val="0000FF"/>
                </w:rPr>
                <w:t>PennantPark Investment Corporation, Pantheon Private Debt Program SCSp SICAV – RAIF In Respect Of Its Compartment Pantheon Senior Debt Secondaries II (USD), Pantheon</w:t>
              </w:r>
            </w:hyperlink>
          </w:p>
        </w:tc>
        <w:tc>
          <w:tcPr>
            <w:tcW w:w="160" w:type="dxa"/>
            <w:vAlign w:val="bottom"/>
            <w:gridSpan w:val="8"/>
          </w:tcPr>
          <w:p>
            <w:pPr>
              <w:spacing w:after="0"/>
              <w:rPr>
                <w:sz w:val="11"/>
                <w:szCs w:val="11"/>
                <w:color w:val="auto"/>
              </w:rPr>
            </w:pPr>
          </w:p>
        </w:tc>
      </w:tr>
      <w:tr>
        <w:trPr>
          <w:trHeight w:val="136"/>
        </w:trPr>
        <w:tc>
          <w:tcPr>
            <w:tcW w:w="860" w:type="dxa"/>
            <w:vAlign w:val="bottom"/>
          </w:tcPr>
          <w:p>
            <w:pPr>
              <w:spacing w:after="0"/>
              <w:rPr>
                <w:sz w:val="11"/>
                <w:szCs w:val="11"/>
                <w:color w:val="auto"/>
              </w:rPr>
            </w:pPr>
          </w:p>
        </w:tc>
        <w:tc>
          <w:tcPr>
            <w:tcW w:w="9560" w:type="dxa"/>
            <w:vAlign w:val="bottom"/>
            <w:tcBorders>
              <w:bottom w:val="single" w:sz="8" w:color="0000EE"/>
            </w:tcBorders>
            <w:gridSpan w:val="29"/>
          </w:tcPr>
          <w:p>
            <w:pPr>
              <w:spacing w:after="0" w:line="136" w:lineRule="exact"/>
              <w:rPr>
                <w:rFonts w:ascii="Times New Roman" w:cs="Times New Roman" w:eastAsia="Times New Roman" w:hAnsi="Times New Roman"/>
                <w:sz w:val="13"/>
                <w:szCs w:val="13"/>
                <w:color w:val="0000FF"/>
              </w:rPr>
            </w:pPr>
            <w:hyperlink r:id="rId78">
              <w:r>
                <w:rPr>
                  <w:rFonts w:ascii="Times New Roman" w:cs="Times New Roman" w:eastAsia="Times New Roman" w:hAnsi="Times New Roman"/>
                  <w:sz w:val="13"/>
                  <w:szCs w:val="13"/>
                  <w:color w:val="0000FF"/>
                </w:rPr>
                <w:t>Private Debt Program SCSp SICAV-RAIF In Respect Of Its Compartment Pantheon Credit Opportunities II (USD), Pantheon Private Debt Program SCSp SICAV-RAIF In Respect</w:t>
              </w:r>
            </w:hyperlink>
          </w:p>
        </w:tc>
        <w:tc>
          <w:tcPr>
            <w:tcW w:w="140" w:type="dxa"/>
            <w:vAlign w:val="bottom"/>
            <w:gridSpan w:val="7"/>
          </w:tcPr>
          <w:p>
            <w:pPr>
              <w:spacing w:after="0"/>
              <w:rPr>
                <w:sz w:val="11"/>
                <w:szCs w:val="11"/>
                <w:color w:val="auto"/>
              </w:rPr>
            </w:pPr>
          </w:p>
        </w:tc>
      </w:tr>
      <w:tr>
        <w:trPr>
          <w:trHeight w:val="136"/>
        </w:trPr>
        <w:tc>
          <w:tcPr>
            <w:tcW w:w="860" w:type="dxa"/>
            <w:vAlign w:val="bottom"/>
          </w:tcPr>
          <w:p>
            <w:pPr>
              <w:spacing w:after="0"/>
              <w:rPr>
                <w:sz w:val="11"/>
                <w:szCs w:val="11"/>
                <w:color w:val="auto"/>
              </w:rPr>
            </w:pPr>
          </w:p>
        </w:tc>
        <w:tc>
          <w:tcPr>
            <w:tcW w:w="9520" w:type="dxa"/>
            <w:vAlign w:val="bottom"/>
            <w:tcBorders>
              <w:bottom w:val="single" w:sz="8" w:color="0000EE"/>
            </w:tcBorders>
            <w:gridSpan w:val="27"/>
          </w:tcPr>
          <w:p>
            <w:pPr>
              <w:spacing w:after="0" w:line="136" w:lineRule="exact"/>
              <w:rPr>
                <w:rFonts w:ascii="Times New Roman" w:cs="Times New Roman" w:eastAsia="Times New Roman" w:hAnsi="Times New Roman"/>
                <w:sz w:val="13"/>
                <w:szCs w:val="13"/>
                <w:color w:val="0000FF"/>
              </w:rPr>
            </w:pPr>
            <w:hyperlink r:id="rId78">
              <w:r>
                <w:rPr>
                  <w:rFonts w:ascii="Times New Roman" w:cs="Times New Roman" w:eastAsia="Times New Roman" w:hAnsi="Times New Roman"/>
                  <w:sz w:val="13"/>
                  <w:szCs w:val="13"/>
                  <w:color w:val="0000FF"/>
                </w:rPr>
                <w:t>Of Its Compartment Tubera Credit 2020 and Solutio Premium Private Debt I SCSp (Incorporated by reference to Exhibit 10.1 to the Registrant’s Current Report on Form 8-K (File</w:t>
              </w:r>
            </w:hyperlink>
          </w:p>
        </w:tc>
        <w:tc>
          <w:tcPr>
            <w:tcW w:w="180" w:type="dxa"/>
            <w:vAlign w:val="bottom"/>
            <w:gridSpan w:val="9"/>
          </w:tcPr>
          <w:p>
            <w:pPr>
              <w:spacing w:after="0"/>
              <w:rPr>
                <w:sz w:val="11"/>
                <w:szCs w:val="11"/>
                <w:color w:val="auto"/>
              </w:rPr>
            </w:pPr>
          </w:p>
        </w:tc>
      </w:tr>
      <w:tr>
        <w:trPr>
          <w:trHeight w:val="136"/>
        </w:trPr>
        <w:tc>
          <w:tcPr>
            <w:tcW w:w="860" w:type="dxa"/>
            <w:vAlign w:val="bottom"/>
          </w:tcPr>
          <w:p>
            <w:pPr>
              <w:spacing w:after="0"/>
              <w:rPr>
                <w:sz w:val="11"/>
                <w:szCs w:val="11"/>
                <w:color w:val="auto"/>
              </w:rPr>
            </w:pPr>
          </w:p>
        </w:tc>
        <w:tc>
          <w:tcPr>
            <w:tcW w:w="2460" w:type="dxa"/>
            <w:vAlign w:val="bottom"/>
            <w:tcBorders>
              <w:bottom w:val="single" w:sz="8" w:color="0000EE"/>
            </w:tcBorders>
            <w:gridSpan w:val="4"/>
          </w:tcPr>
          <w:p>
            <w:pPr>
              <w:spacing w:after="0" w:line="136" w:lineRule="exact"/>
              <w:rPr>
                <w:rFonts w:ascii="Times New Roman" w:cs="Times New Roman" w:eastAsia="Times New Roman" w:hAnsi="Times New Roman"/>
                <w:sz w:val="13"/>
                <w:szCs w:val="13"/>
                <w:color w:val="0000FF"/>
              </w:rPr>
            </w:pPr>
            <w:hyperlink r:id="rId78">
              <w:r>
                <w:rPr>
                  <w:rFonts w:ascii="Times New Roman" w:cs="Times New Roman" w:eastAsia="Times New Roman" w:hAnsi="Times New Roman"/>
                  <w:sz w:val="13"/>
                  <w:szCs w:val="13"/>
                  <w:color w:val="0000FF"/>
                </w:rPr>
                <w:t>No. 814-00736), filed on September 4, 2024).</w:t>
              </w:r>
            </w:hyperlink>
          </w:p>
        </w:tc>
        <w:tc>
          <w:tcPr>
            <w:tcW w:w="7240" w:type="dxa"/>
            <w:vAlign w:val="bottom"/>
            <w:gridSpan w:val="32"/>
          </w:tcPr>
          <w:p>
            <w:pPr>
              <w:spacing w:after="0"/>
              <w:rPr>
                <w:sz w:val="11"/>
                <w:szCs w:val="11"/>
                <w:color w:val="auto"/>
              </w:rPr>
            </w:pPr>
          </w:p>
        </w:tc>
      </w:tr>
      <w:tr>
        <w:trPr>
          <w:trHeight w:val="25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10.10</w:t>
            </w:r>
          </w:p>
        </w:tc>
        <w:tc>
          <w:tcPr>
            <w:tcW w:w="9620" w:type="dxa"/>
            <w:vAlign w:val="bottom"/>
            <w:tcBorders>
              <w:bottom w:val="single" w:sz="8" w:color="0000EE"/>
            </w:tcBorders>
            <w:gridSpan w:val="32"/>
          </w:tcPr>
          <w:p>
            <w:pPr>
              <w:spacing w:after="0"/>
              <w:rPr>
                <w:rFonts w:ascii="Times New Roman" w:cs="Times New Roman" w:eastAsia="Times New Roman" w:hAnsi="Times New Roman"/>
                <w:sz w:val="13"/>
                <w:szCs w:val="13"/>
                <w:color w:val="0000FF"/>
              </w:rPr>
            </w:pPr>
            <w:hyperlink r:id="rId79">
              <w:r>
                <w:rPr>
                  <w:rFonts w:ascii="Times New Roman" w:cs="Times New Roman" w:eastAsia="Times New Roman" w:hAnsi="Times New Roman"/>
                  <w:sz w:val="13"/>
                  <w:szCs w:val="13"/>
                  <w:color w:val="0000FF"/>
                </w:rPr>
                <w:t>Fifth Amendment to Second Amended and Restated Senior Secured Revolving Credit Agreement and Second Amended and Restated Guarantee and Security Agreement, dated as of</w:t>
              </w:r>
            </w:hyperlink>
          </w:p>
        </w:tc>
        <w:tc>
          <w:tcPr>
            <w:tcW w:w="80" w:type="dxa"/>
            <w:vAlign w:val="bottom"/>
            <w:gridSpan w:val="4"/>
          </w:tcPr>
          <w:p>
            <w:pPr>
              <w:spacing w:after="0"/>
              <w:rPr>
                <w:sz w:val="22"/>
                <w:szCs w:val="22"/>
                <w:color w:val="auto"/>
              </w:rPr>
            </w:pPr>
          </w:p>
        </w:tc>
      </w:tr>
      <w:tr>
        <w:trPr>
          <w:trHeight w:val="136"/>
        </w:trPr>
        <w:tc>
          <w:tcPr>
            <w:tcW w:w="860" w:type="dxa"/>
            <w:vAlign w:val="bottom"/>
          </w:tcPr>
          <w:p>
            <w:pPr>
              <w:spacing w:after="0"/>
              <w:rPr>
                <w:sz w:val="11"/>
                <w:szCs w:val="11"/>
                <w:color w:val="auto"/>
              </w:rPr>
            </w:pPr>
          </w:p>
        </w:tc>
        <w:tc>
          <w:tcPr>
            <w:tcW w:w="9500" w:type="dxa"/>
            <w:vAlign w:val="bottom"/>
            <w:tcBorders>
              <w:bottom w:val="single" w:sz="8" w:color="0000EE"/>
            </w:tcBorders>
            <w:gridSpan w:val="26"/>
          </w:tcPr>
          <w:p>
            <w:pPr>
              <w:spacing w:after="0" w:line="136" w:lineRule="exact"/>
              <w:rPr>
                <w:rFonts w:ascii="Times New Roman" w:cs="Times New Roman" w:eastAsia="Times New Roman" w:hAnsi="Times New Roman"/>
                <w:sz w:val="13"/>
                <w:szCs w:val="13"/>
                <w:color w:val="0000FF"/>
              </w:rPr>
            </w:pPr>
            <w:hyperlink r:id="rId79">
              <w:r>
                <w:rPr>
                  <w:rFonts w:ascii="Times New Roman" w:cs="Times New Roman" w:eastAsia="Times New Roman" w:hAnsi="Times New Roman"/>
                  <w:sz w:val="13"/>
                  <w:szCs w:val="13"/>
                  <w:color w:val="0000FF"/>
                </w:rPr>
                <w:t>July 29, 2022, among the Registrant, the lenders party thereto and Truist Bank, as administrative agent for the lenders (Incorporated by reference to Exhibit 10.2 to the Registrant’s</w:t>
              </w:r>
            </w:hyperlink>
          </w:p>
        </w:tc>
        <w:tc>
          <w:tcPr>
            <w:tcW w:w="200" w:type="dxa"/>
            <w:vAlign w:val="bottom"/>
            <w:gridSpan w:val="10"/>
          </w:tcPr>
          <w:p>
            <w:pPr>
              <w:spacing w:after="0"/>
              <w:rPr>
                <w:sz w:val="11"/>
                <w:szCs w:val="11"/>
                <w:color w:val="auto"/>
              </w:rPr>
            </w:pPr>
          </w:p>
        </w:tc>
      </w:tr>
      <w:tr>
        <w:trPr>
          <w:trHeight w:val="136"/>
        </w:trPr>
        <w:tc>
          <w:tcPr>
            <w:tcW w:w="860" w:type="dxa"/>
            <w:vAlign w:val="bottom"/>
          </w:tcPr>
          <w:p>
            <w:pPr>
              <w:spacing w:after="0"/>
              <w:rPr>
                <w:sz w:val="11"/>
                <w:szCs w:val="11"/>
                <w:color w:val="auto"/>
              </w:rPr>
            </w:pPr>
          </w:p>
        </w:tc>
        <w:tc>
          <w:tcPr>
            <w:tcW w:w="3180" w:type="dxa"/>
            <w:vAlign w:val="bottom"/>
            <w:tcBorders>
              <w:bottom w:val="single" w:sz="8" w:color="0000EE"/>
            </w:tcBorders>
            <w:gridSpan w:val="6"/>
          </w:tcPr>
          <w:p>
            <w:pPr>
              <w:spacing w:after="0" w:line="136" w:lineRule="exact"/>
              <w:rPr>
                <w:rFonts w:ascii="Times New Roman" w:cs="Times New Roman" w:eastAsia="Times New Roman" w:hAnsi="Times New Roman"/>
                <w:sz w:val="13"/>
                <w:szCs w:val="13"/>
                <w:color w:val="0000FF"/>
              </w:rPr>
            </w:pPr>
            <w:hyperlink r:id="rId79">
              <w:r>
                <w:rPr>
                  <w:rFonts w:ascii="Times New Roman" w:cs="Times New Roman" w:eastAsia="Times New Roman" w:hAnsi="Times New Roman"/>
                  <w:sz w:val="13"/>
                  <w:szCs w:val="13"/>
                  <w:color w:val="0000FF"/>
                </w:rPr>
                <w:t>Form 10-Q (File No. 814-00736), filed on August 3, 2022).</w:t>
              </w:r>
            </w:hyperlink>
          </w:p>
        </w:tc>
        <w:tc>
          <w:tcPr>
            <w:tcW w:w="6520" w:type="dxa"/>
            <w:vAlign w:val="bottom"/>
            <w:gridSpan w:val="30"/>
          </w:tcPr>
          <w:p>
            <w:pPr>
              <w:spacing w:after="0"/>
              <w:rPr>
                <w:sz w:val="11"/>
                <w:szCs w:val="11"/>
                <w:color w:val="auto"/>
              </w:rPr>
            </w:pPr>
          </w:p>
        </w:tc>
      </w:tr>
      <w:tr>
        <w:trPr>
          <w:trHeight w:val="25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10.11</w:t>
            </w:r>
          </w:p>
        </w:tc>
        <w:tc>
          <w:tcPr>
            <w:tcW w:w="9340" w:type="dxa"/>
            <w:vAlign w:val="bottom"/>
            <w:tcBorders>
              <w:bottom w:val="single" w:sz="8" w:color="0000EE"/>
            </w:tcBorders>
            <w:gridSpan w:val="23"/>
          </w:tcPr>
          <w:p>
            <w:pPr>
              <w:spacing w:after="0"/>
              <w:rPr>
                <w:rFonts w:ascii="Times New Roman" w:cs="Times New Roman" w:eastAsia="Times New Roman" w:hAnsi="Times New Roman"/>
                <w:sz w:val="13"/>
                <w:szCs w:val="13"/>
                <w:color w:val="0000FF"/>
              </w:rPr>
            </w:pPr>
            <w:hyperlink r:id="rId80">
              <w:r>
                <w:rPr>
                  <w:rFonts w:ascii="Times New Roman" w:cs="Times New Roman" w:eastAsia="Times New Roman" w:hAnsi="Times New Roman"/>
                  <w:sz w:val="13"/>
                  <w:szCs w:val="13"/>
                  <w:color w:val="0000FF"/>
                </w:rPr>
                <w:t>Equity Distribution Agreement, dated as of June 4, 2024, by and among PennantPark Investment Corporation, PennantPark Investment Advisers, LLC, PennantPark Investment</w:t>
              </w:r>
            </w:hyperlink>
          </w:p>
        </w:tc>
        <w:tc>
          <w:tcPr>
            <w:tcW w:w="360" w:type="dxa"/>
            <w:vAlign w:val="bottom"/>
            <w:gridSpan w:val="13"/>
          </w:tcPr>
          <w:p>
            <w:pPr>
              <w:spacing w:after="0"/>
              <w:rPr>
                <w:sz w:val="22"/>
                <w:szCs w:val="22"/>
                <w:color w:val="auto"/>
              </w:rPr>
            </w:pPr>
          </w:p>
        </w:tc>
      </w:tr>
      <w:tr>
        <w:trPr>
          <w:trHeight w:val="136"/>
        </w:trPr>
        <w:tc>
          <w:tcPr>
            <w:tcW w:w="860" w:type="dxa"/>
            <w:vAlign w:val="bottom"/>
          </w:tcPr>
          <w:p>
            <w:pPr>
              <w:spacing w:after="0"/>
              <w:rPr>
                <w:sz w:val="11"/>
                <w:szCs w:val="11"/>
                <w:color w:val="auto"/>
              </w:rPr>
            </w:pPr>
          </w:p>
        </w:tc>
        <w:tc>
          <w:tcPr>
            <w:tcW w:w="9680" w:type="dxa"/>
            <w:vAlign w:val="bottom"/>
            <w:tcBorders>
              <w:bottom w:val="single" w:sz="8" w:color="0000EE"/>
            </w:tcBorders>
            <w:gridSpan w:val="35"/>
          </w:tcPr>
          <w:p>
            <w:pPr>
              <w:spacing w:after="0" w:line="136" w:lineRule="exact"/>
              <w:rPr>
                <w:rFonts w:ascii="Times New Roman" w:cs="Times New Roman" w:eastAsia="Times New Roman" w:hAnsi="Times New Roman"/>
                <w:sz w:val="13"/>
                <w:szCs w:val="13"/>
                <w:color w:val="0000FF"/>
              </w:rPr>
            </w:pPr>
            <w:hyperlink r:id="rId80">
              <w:r>
                <w:rPr>
                  <w:rFonts w:ascii="Times New Roman" w:cs="Times New Roman" w:eastAsia="Times New Roman" w:hAnsi="Times New Roman"/>
                  <w:sz w:val="13"/>
                  <w:szCs w:val="13"/>
                  <w:color w:val="0000FF"/>
                </w:rPr>
                <w:t>Administration, LLC and Truist Securities, Inc., as the sales agent (Incorporated by reference to Ex. 1.1 to the Registrant’s Current Report on Form 8-K (File No. 814-00736), filed on</w:t>
              </w:r>
            </w:hyperlink>
          </w:p>
        </w:tc>
        <w:tc>
          <w:tcPr>
            <w:tcW w:w="20" w:type="dxa"/>
            <w:vAlign w:val="bottom"/>
          </w:tcPr>
          <w:p>
            <w:pPr>
              <w:spacing w:after="0"/>
              <w:rPr>
                <w:sz w:val="11"/>
                <w:szCs w:val="11"/>
                <w:color w:val="auto"/>
              </w:rPr>
            </w:pPr>
          </w:p>
        </w:tc>
      </w:tr>
      <w:tr>
        <w:trPr>
          <w:trHeight w:val="136"/>
        </w:trPr>
        <w:tc>
          <w:tcPr>
            <w:tcW w:w="860" w:type="dxa"/>
            <w:vAlign w:val="bottom"/>
          </w:tcPr>
          <w:p>
            <w:pPr>
              <w:spacing w:after="0"/>
              <w:rPr>
                <w:sz w:val="11"/>
                <w:szCs w:val="11"/>
                <w:color w:val="auto"/>
              </w:rPr>
            </w:pPr>
          </w:p>
        </w:tc>
        <w:tc>
          <w:tcPr>
            <w:tcW w:w="9700" w:type="dxa"/>
            <w:vAlign w:val="bottom"/>
            <w:gridSpan w:val="36"/>
          </w:tcPr>
          <w:p>
            <w:pPr>
              <w:spacing w:after="0" w:line="136" w:lineRule="exact"/>
              <w:rPr>
                <w:rFonts w:ascii="Times New Roman" w:cs="Times New Roman" w:eastAsia="Times New Roman" w:hAnsi="Times New Roman"/>
                <w:sz w:val="13"/>
                <w:szCs w:val="13"/>
                <w:color w:val="0000FF"/>
              </w:rPr>
            </w:pPr>
            <w:hyperlink r:id="rId80">
              <w:r>
                <w:rPr>
                  <w:rFonts w:ascii="Times New Roman" w:cs="Times New Roman" w:eastAsia="Times New Roman" w:hAnsi="Times New Roman"/>
                  <w:sz w:val="13"/>
                  <w:szCs w:val="13"/>
                  <w:color w:val="0000FF"/>
                </w:rPr>
                <w:t>June 4, 2024).</w:t>
              </w:r>
            </w:hyperlink>
          </w:p>
        </w:tc>
      </w:tr>
      <w:tr>
        <w:trPr>
          <w:trHeight w:val="20"/>
        </w:trPr>
        <w:tc>
          <w:tcPr>
            <w:tcW w:w="8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10.12</w:t>
            </w:r>
          </w:p>
        </w:tc>
        <w:tc>
          <w:tcPr>
            <w:tcW w:w="9320" w:type="dxa"/>
            <w:vAlign w:val="bottom"/>
            <w:tcBorders>
              <w:bottom w:val="single" w:sz="8" w:color="0000EE"/>
            </w:tcBorders>
            <w:gridSpan w:val="22"/>
          </w:tcPr>
          <w:p>
            <w:pPr>
              <w:spacing w:after="0"/>
              <w:rPr>
                <w:rFonts w:ascii="Times New Roman" w:cs="Times New Roman" w:eastAsia="Times New Roman" w:hAnsi="Times New Roman"/>
                <w:sz w:val="13"/>
                <w:szCs w:val="13"/>
                <w:color w:val="0000FF"/>
              </w:rPr>
            </w:pPr>
            <w:hyperlink r:id="rId81">
              <w:r>
                <w:rPr>
                  <w:rFonts w:ascii="Times New Roman" w:cs="Times New Roman" w:eastAsia="Times New Roman" w:hAnsi="Times New Roman"/>
                  <w:sz w:val="13"/>
                  <w:szCs w:val="13"/>
                  <w:color w:val="0000FF"/>
                </w:rPr>
                <w:t>Equity Distribution Agreement, dated as of June 4, 2024 by and among PennantPark Investment Corporation, PennantPark Investment Advisers, LLC, PennantPark Investment</w:t>
              </w:r>
            </w:hyperlink>
          </w:p>
        </w:tc>
        <w:tc>
          <w:tcPr>
            <w:tcW w:w="380" w:type="dxa"/>
            <w:vAlign w:val="bottom"/>
            <w:gridSpan w:val="14"/>
          </w:tcPr>
          <w:p>
            <w:pPr>
              <w:spacing w:after="0"/>
              <w:rPr>
                <w:sz w:val="22"/>
                <w:szCs w:val="22"/>
                <w:color w:val="auto"/>
              </w:rPr>
            </w:pPr>
          </w:p>
        </w:tc>
      </w:tr>
      <w:tr>
        <w:trPr>
          <w:trHeight w:val="136"/>
        </w:trPr>
        <w:tc>
          <w:tcPr>
            <w:tcW w:w="860" w:type="dxa"/>
            <w:vAlign w:val="bottom"/>
          </w:tcPr>
          <w:p>
            <w:pPr>
              <w:spacing w:after="0"/>
              <w:rPr>
                <w:sz w:val="11"/>
                <w:szCs w:val="11"/>
                <w:color w:val="auto"/>
              </w:rPr>
            </w:pPr>
          </w:p>
        </w:tc>
        <w:tc>
          <w:tcPr>
            <w:tcW w:w="9320" w:type="dxa"/>
            <w:vAlign w:val="bottom"/>
            <w:tcBorders>
              <w:bottom w:val="single" w:sz="8" w:color="0000EE"/>
            </w:tcBorders>
            <w:gridSpan w:val="22"/>
          </w:tcPr>
          <w:p>
            <w:pPr>
              <w:spacing w:after="0" w:line="136" w:lineRule="exact"/>
              <w:rPr>
                <w:rFonts w:ascii="Times New Roman" w:cs="Times New Roman" w:eastAsia="Times New Roman" w:hAnsi="Times New Roman"/>
                <w:sz w:val="13"/>
                <w:szCs w:val="13"/>
                <w:color w:val="0000FF"/>
              </w:rPr>
            </w:pPr>
            <w:hyperlink r:id="rId81">
              <w:r>
                <w:rPr>
                  <w:rFonts w:ascii="Times New Roman" w:cs="Times New Roman" w:eastAsia="Times New Roman" w:hAnsi="Times New Roman"/>
                  <w:sz w:val="13"/>
                  <w:szCs w:val="13"/>
                  <w:color w:val="0000FF"/>
                </w:rPr>
                <w:t>Administration, LLC and Keefe, Bruyette &amp; Woods, Inc., as the sales agent (Incorporated by reference to Ex. 1.2 to the Registrant’s Current Report on Form 8-K (File No. 814-</w:t>
              </w:r>
            </w:hyperlink>
          </w:p>
        </w:tc>
        <w:tc>
          <w:tcPr>
            <w:tcW w:w="380" w:type="dxa"/>
            <w:vAlign w:val="bottom"/>
            <w:gridSpan w:val="14"/>
          </w:tcPr>
          <w:p>
            <w:pPr>
              <w:spacing w:after="0"/>
              <w:rPr>
                <w:sz w:val="11"/>
                <w:szCs w:val="11"/>
                <w:color w:val="auto"/>
              </w:rPr>
            </w:pPr>
          </w:p>
        </w:tc>
      </w:tr>
      <w:tr>
        <w:trPr>
          <w:trHeight w:val="136"/>
        </w:trPr>
        <w:tc>
          <w:tcPr>
            <w:tcW w:w="860" w:type="dxa"/>
            <w:vAlign w:val="bottom"/>
          </w:tcPr>
          <w:p>
            <w:pPr>
              <w:spacing w:after="0"/>
              <w:rPr>
                <w:sz w:val="11"/>
                <w:szCs w:val="11"/>
                <w:color w:val="auto"/>
              </w:rPr>
            </w:pPr>
          </w:p>
        </w:tc>
        <w:tc>
          <w:tcPr>
            <w:tcW w:w="1640" w:type="dxa"/>
            <w:vAlign w:val="bottom"/>
            <w:tcBorders>
              <w:bottom w:val="single" w:sz="8" w:color="0000EE"/>
            </w:tcBorders>
            <w:gridSpan w:val="3"/>
          </w:tcPr>
          <w:p>
            <w:pPr>
              <w:spacing w:after="0" w:line="136" w:lineRule="exact"/>
              <w:rPr>
                <w:rFonts w:ascii="Times New Roman" w:cs="Times New Roman" w:eastAsia="Times New Roman" w:hAnsi="Times New Roman"/>
                <w:sz w:val="13"/>
                <w:szCs w:val="13"/>
                <w:color w:val="0000FF"/>
              </w:rPr>
            </w:pPr>
            <w:hyperlink r:id="rId81">
              <w:r>
                <w:rPr>
                  <w:rFonts w:ascii="Times New Roman" w:cs="Times New Roman" w:eastAsia="Times New Roman" w:hAnsi="Times New Roman"/>
                  <w:sz w:val="13"/>
                  <w:szCs w:val="13"/>
                  <w:color w:val="0000FF"/>
                </w:rPr>
                <w:t>00736), filed on June 4, 2024).</w:t>
              </w:r>
            </w:hyperlink>
          </w:p>
        </w:tc>
        <w:tc>
          <w:tcPr>
            <w:tcW w:w="8060" w:type="dxa"/>
            <w:vAlign w:val="bottom"/>
            <w:gridSpan w:val="33"/>
          </w:tcPr>
          <w:p>
            <w:pPr>
              <w:spacing w:after="0"/>
              <w:rPr>
                <w:sz w:val="11"/>
                <w:szCs w:val="11"/>
                <w:color w:val="auto"/>
              </w:rPr>
            </w:pPr>
          </w:p>
        </w:tc>
      </w:tr>
      <w:tr>
        <w:trPr>
          <w:trHeight w:val="25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10.13</w:t>
            </w:r>
          </w:p>
        </w:tc>
        <w:tc>
          <w:tcPr>
            <w:tcW w:w="9640" w:type="dxa"/>
            <w:vAlign w:val="bottom"/>
            <w:tcBorders>
              <w:bottom w:val="single" w:sz="8" w:color="0000EE"/>
            </w:tcBorders>
            <w:gridSpan w:val="33"/>
          </w:tcPr>
          <w:p>
            <w:pPr>
              <w:spacing w:after="0"/>
              <w:rPr>
                <w:rFonts w:ascii="Times New Roman" w:cs="Times New Roman" w:eastAsia="Times New Roman" w:hAnsi="Times New Roman"/>
                <w:sz w:val="13"/>
                <w:szCs w:val="13"/>
                <w:color w:val="0000FF"/>
              </w:rPr>
            </w:pPr>
            <w:hyperlink r:id="rId82">
              <w:r>
                <w:rPr>
                  <w:rFonts w:ascii="Times New Roman" w:cs="Times New Roman" w:eastAsia="Times New Roman" w:hAnsi="Times New Roman"/>
                  <w:sz w:val="13"/>
                  <w:szCs w:val="13"/>
                  <w:color w:val="0000FF"/>
                </w:rPr>
                <w:t>Sixth Amendment to Second Amended and Restated Senior Secured Revolving Credit Agreement, dated as of June 25, 2024, by and among PennantPark Investment Corporation and</w:t>
              </w:r>
            </w:hyperlink>
          </w:p>
        </w:tc>
        <w:tc>
          <w:tcPr>
            <w:tcW w:w="60" w:type="dxa"/>
            <w:vAlign w:val="bottom"/>
            <w:gridSpan w:val="3"/>
          </w:tcPr>
          <w:p>
            <w:pPr>
              <w:spacing w:after="0"/>
              <w:rPr>
                <w:sz w:val="22"/>
                <w:szCs w:val="22"/>
                <w:color w:val="auto"/>
              </w:rPr>
            </w:pPr>
          </w:p>
        </w:tc>
      </w:tr>
      <w:tr>
        <w:trPr>
          <w:trHeight w:val="136"/>
        </w:trPr>
        <w:tc>
          <w:tcPr>
            <w:tcW w:w="860" w:type="dxa"/>
            <w:vAlign w:val="bottom"/>
          </w:tcPr>
          <w:p>
            <w:pPr>
              <w:spacing w:after="0"/>
              <w:rPr>
                <w:sz w:val="11"/>
                <w:szCs w:val="11"/>
                <w:color w:val="auto"/>
              </w:rPr>
            </w:pPr>
          </w:p>
        </w:tc>
        <w:tc>
          <w:tcPr>
            <w:tcW w:w="9500" w:type="dxa"/>
            <w:vAlign w:val="bottom"/>
            <w:tcBorders>
              <w:bottom w:val="single" w:sz="8" w:color="0000EE"/>
            </w:tcBorders>
            <w:gridSpan w:val="26"/>
          </w:tcPr>
          <w:p>
            <w:pPr>
              <w:spacing w:after="0" w:line="136" w:lineRule="exact"/>
              <w:rPr>
                <w:rFonts w:ascii="Times New Roman" w:cs="Times New Roman" w:eastAsia="Times New Roman" w:hAnsi="Times New Roman"/>
                <w:sz w:val="13"/>
                <w:szCs w:val="13"/>
                <w:color w:val="0000FF"/>
              </w:rPr>
            </w:pPr>
            <w:hyperlink r:id="rId82">
              <w:r>
                <w:rPr>
                  <w:rFonts w:ascii="Times New Roman" w:cs="Times New Roman" w:eastAsia="Times New Roman" w:hAnsi="Times New Roman"/>
                  <w:sz w:val="13"/>
                  <w:szCs w:val="13"/>
                  <w:color w:val="0000FF"/>
                </w:rPr>
                <w:t>Truist Bank, as administrative agent. (Incorporated by reference to Exhibit 10.5 to the Registrant’s Quarterly Report on Form 10-Q (File No. 814-00736), filed on August 7, 2024).</w:t>
              </w:r>
            </w:hyperlink>
          </w:p>
        </w:tc>
        <w:tc>
          <w:tcPr>
            <w:tcW w:w="200" w:type="dxa"/>
            <w:vAlign w:val="bottom"/>
            <w:gridSpan w:val="10"/>
          </w:tcPr>
          <w:p>
            <w:pPr>
              <w:spacing w:after="0"/>
              <w:rPr>
                <w:sz w:val="11"/>
                <w:szCs w:val="11"/>
                <w:color w:val="auto"/>
              </w:rPr>
            </w:pPr>
          </w:p>
        </w:tc>
      </w:tr>
      <w:tr>
        <w:trPr>
          <w:trHeight w:val="25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10.14</w:t>
            </w:r>
          </w:p>
        </w:tc>
        <w:tc>
          <w:tcPr>
            <w:tcW w:w="9660" w:type="dxa"/>
            <w:vAlign w:val="bottom"/>
            <w:tcBorders>
              <w:bottom w:val="single" w:sz="8" w:color="0000EE"/>
            </w:tcBorders>
            <w:gridSpan w:val="34"/>
          </w:tcPr>
          <w:p>
            <w:pPr>
              <w:spacing w:after="0"/>
              <w:rPr>
                <w:rFonts w:ascii="Times New Roman" w:cs="Times New Roman" w:eastAsia="Times New Roman" w:hAnsi="Times New Roman"/>
                <w:sz w:val="13"/>
                <w:szCs w:val="13"/>
                <w:color w:val="0000FF"/>
              </w:rPr>
            </w:pPr>
            <w:hyperlink r:id="rId83">
              <w:r>
                <w:rPr>
                  <w:rFonts w:ascii="Times New Roman" w:cs="Times New Roman" w:eastAsia="Times New Roman" w:hAnsi="Times New Roman"/>
                  <w:sz w:val="13"/>
                  <w:szCs w:val="13"/>
                  <w:color w:val="0000FF"/>
                </w:rPr>
                <w:t>Notice of Commitment Increase Request, dated as of February 7, 2025, from PennantPark Investment Corporation to Truist Bank, as Administrative Agent (Incorporated by reference</w:t>
              </w:r>
            </w:hyperlink>
          </w:p>
        </w:tc>
        <w:tc>
          <w:tcPr>
            <w:tcW w:w="40" w:type="dxa"/>
            <w:vAlign w:val="bottom"/>
            <w:gridSpan w:val="2"/>
          </w:tcPr>
          <w:p>
            <w:pPr>
              <w:spacing w:after="0"/>
              <w:rPr>
                <w:sz w:val="22"/>
                <w:szCs w:val="22"/>
                <w:color w:val="auto"/>
              </w:rPr>
            </w:pPr>
          </w:p>
        </w:tc>
      </w:tr>
      <w:tr>
        <w:trPr>
          <w:trHeight w:val="136"/>
        </w:trPr>
        <w:tc>
          <w:tcPr>
            <w:tcW w:w="860" w:type="dxa"/>
            <w:vAlign w:val="bottom"/>
          </w:tcPr>
          <w:p>
            <w:pPr>
              <w:spacing w:after="0"/>
              <w:rPr>
                <w:sz w:val="11"/>
                <w:szCs w:val="11"/>
                <w:color w:val="auto"/>
              </w:rPr>
            </w:pPr>
          </w:p>
        </w:tc>
        <w:tc>
          <w:tcPr>
            <w:tcW w:w="9700" w:type="dxa"/>
            <w:vAlign w:val="bottom"/>
            <w:gridSpan w:val="36"/>
          </w:tcPr>
          <w:p>
            <w:pPr>
              <w:spacing w:after="0" w:line="136" w:lineRule="exact"/>
              <w:rPr>
                <w:rFonts w:ascii="Times New Roman" w:cs="Times New Roman" w:eastAsia="Times New Roman" w:hAnsi="Times New Roman"/>
                <w:sz w:val="13"/>
                <w:szCs w:val="13"/>
                <w:color w:val="0000FF"/>
              </w:rPr>
            </w:pPr>
            <w:hyperlink r:id="rId83">
              <w:r>
                <w:rPr>
                  <w:rFonts w:ascii="Times New Roman" w:cs="Times New Roman" w:eastAsia="Times New Roman" w:hAnsi="Times New Roman"/>
                  <w:sz w:val="13"/>
                  <w:szCs w:val="13"/>
                  <w:color w:val="0000FF"/>
                </w:rPr>
                <w:t>to Exhibit 10.1 to the Registrant's Quarterly Report on Form 10-Q, (File No. 814-00736), filed on February 10, 2025).</w:t>
              </w:r>
            </w:hyperlink>
          </w:p>
        </w:tc>
      </w:tr>
      <w:tr>
        <w:trPr>
          <w:trHeight w:val="20"/>
        </w:trPr>
        <w:tc>
          <w:tcPr>
            <w:tcW w:w="8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82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5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14.1</w:t>
            </w:r>
          </w:p>
        </w:tc>
        <w:tc>
          <w:tcPr>
            <w:tcW w:w="9700" w:type="dxa"/>
            <w:vAlign w:val="bottom"/>
            <w:gridSpan w:val="36"/>
          </w:tcPr>
          <w:p>
            <w:pPr>
              <w:spacing w:after="0"/>
              <w:rPr>
                <w:rFonts w:ascii="Times New Roman" w:cs="Times New Roman" w:eastAsia="Times New Roman" w:hAnsi="Times New Roman"/>
                <w:sz w:val="13"/>
                <w:szCs w:val="13"/>
                <w:color w:val="0000FF"/>
              </w:rPr>
            </w:pPr>
            <w:hyperlink r:id="rId84">
              <w:r>
                <w:rPr>
                  <w:rFonts w:ascii="Times New Roman" w:cs="Times New Roman" w:eastAsia="Times New Roman" w:hAnsi="Times New Roman"/>
                  <w:sz w:val="13"/>
                  <w:szCs w:val="13"/>
                  <w:color w:val="0000FF"/>
                </w:rPr>
                <w:t>Joint Code of Ethics of the Registrant (Incorporated by reference to Exhibit 14.1 to the Registrant's Annual Report on Form 10-K (File No. 814-00736) filed on November 24, 2025).</w:t>
              </w:r>
            </w:hyperlink>
          </w:p>
        </w:tc>
      </w:tr>
      <w:tr>
        <w:trPr>
          <w:trHeight w:val="25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19.1</w:t>
            </w:r>
          </w:p>
        </w:tc>
        <w:tc>
          <w:tcPr>
            <w:tcW w:w="844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3"/>
                <w:szCs w:val="13"/>
                <w:color w:val="0000FF"/>
              </w:rPr>
            </w:pPr>
            <w:hyperlink r:id="rId85">
              <w:r>
                <w:rPr>
                  <w:rFonts w:ascii="Times New Roman" w:cs="Times New Roman" w:eastAsia="Times New Roman" w:hAnsi="Times New Roman"/>
                  <w:sz w:val="13"/>
                  <w:szCs w:val="13"/>
                  <w:color w:val="0000FF"/>
                </w:rPr>
                <w:t>Insider Trading Policy (included in the Joint Code of Ethics of the Registrant) (Incorporated by reference to Exhibit 14.1 to this Annual Report on Form 10-K).</w:t>
              </w:r>
            </w:hyperlink>
          </w:p>
        </w:tc>
        <w:tc>
          <w:tcPr>
            <w:tcW w:w="1140" w:type="dxa"/>
            <w:vAlign w:val="bottom"/>
            <w:tcBorders>
              <w:top w:val="single" w:sz="8" w:color="0000EE"/>
            </w:tcBorders>
            <w:gridSpan w:val="16"/>
          </w:tcPr>
          <w:p>
            <w:pPr>
              <w:spacing w:after="0"/>
              <w:rPr>
                <w:sz w:val="22"/>
                <w:szCs w:val="22"/>
                <w:color w:val="auto"/>
              </w:rPr>
            </w:pPr>
          </w:p>
        </w:tc>
        <w:tc>
          <w:tcPr>
            <w:tcW w:w="120" w:type="dxa"/>
            <w:vAlign w:val="bottom"/>
            <w:gridSpan w:val="6"/>
          </w:tcPr>
          <w:p>
            <w:pPr>
              <w:spacing w:after="0"/>
              <w:rPr>
                <w:sz w:val="22"/>
                <w:szCs w:val="22"/>
                <w:color w:val="auto"/>
              </w:rPr>
            </w:pPr>
          </w:p>
        </w:tc>
      </w:tr>
      <w:tr>
        <w:trPr>
          <w:trHeight w:val="25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21.1</w:t>
            </w:r>
          </w:p>
        </w:tc>
        <w:tc>
          <w:tcPr>
            <w:tcW w:w="9160" w:type="dxa"/>
            <w:vAlign w:val="bottom"/>
            <w:tcBorders>
              <w:bottom w:val="single" w:sz="8" w:color="0000EE"/>
            </w:tcBorders>
            <w:gridSpan w:val="18"/>
          </w:tcPr>
          <w:p>
            <w:pPr>
              <w:spacing w:after="0"/>
              <w:rPr>
                <w:rFonts w:ascii="Times New Roman" w:cs="Times New Roman" w:eastAsia="Times New Roman" w:hAnsi="Times New Roman"/>
                <w:sz w:val="13"/>
                <w:szCs w:val="13"/>
                <w:color w:val="0000FF"/>
              </w:rPr>
            </w:pPr>
            <w:hyperlink r:id="rId86">
              <w:r>
                <w:rPr>
                  <w:rFonts w:ascii="Times New Roman" w:cs="Times New Roman" w:eastAsia="Times New Roman" w:hAnsi="Times New Roman"/>
                  <w:sz w:val="13"/>
                  <w:szCs w:val="13"/>
                  <w:color w:val="0000FF"/>
                </w:rPr>
                <w:t>Subsidiaries of the Registrant (Incorporated by reference to Exhibit 21.1 to the Registrant's Annual Report on Form 10-K (File No. 814-00736) filed on November 24, 2025)</w:t>
              </w:r>
            </w:hyperlink>
            <w:r>
              <w:rPr>
                <w:rFonts w:ascii="Times New Roman" w:cs="Times New Roman" w:eastAsia="Times New Roman" w:hAnsi="Times New Roman"/>
                <w:sz w:val="13"/>
                <w:szCs w:val="13"/>
                <w:color w:val="0000FF"/>
              </w:rPr>
              <w:t>.</w:t>
            </w:r>
          </w:p>
        </w:tc>
        <w:tc>
          <w:tcPr>
            <w:tcW w:w="540" w:type="dxa"/>
            <w:vAlign w:val="bottom"/>
            <w:gridSpan w:val="18"/>
          </w:tcPr>
          <w:p>
            <w:pPr>
              <w:spacing w:after="0"/>
              <w:rPr>
                <w:sz w:val="22"/>
                <w:szCs w:val="22"/>
                <w:color w:val="auto"/>
              </w:rPr>
            </w:pPr>
          </w:p>
        </w:tc>
      </w:tr>
      <w:tr>
        <w:trPr>
          <w:trHeight w:val="25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23.1</w:t>
            </w:r>
          </w:p>
        </w:tc>
        <w:tc>
          <w:tcPr>
            <w:tcW w:w="8960" w:type="dxa"/>
            <w:vAlign w:val="bottom"/>
            <w:tcBorders>
              <w:bottom w:val="single" w:sz="8" w:color="0000EE"/>
            </w:tcBorders>
            <w:gridSpan w:val="15"/>
          </w:tcPr>
          <w:p>
            <w:pPr>
              <w:spacing w:after="0"/>
              <w:rPr>
                <w:rFonts w:ascii="Times New Roman" w:cs="Times New Roman" w:eastAsia="Times New Roman" w:hAnsi="Times New Roman"/>
                <w:sz w:val="13"/>
                <w:szCs w:val="13"/>
                <w:color w:val="0000FF"/>
              </w:rPr>
            </w:pPr>
            <w:hyperlink r:id="rId87">
              <w:r>
                <w:rPr>
                  <w:rFonts w:ascii="Times New Roman" w:cs="Times New Roman" w:eastAsia="Times New Roman" w:hAnsi="Times New Roman"/>
                  <w:sz w:val="13"/>
                  <w:szCs w:val="13"/>
                  <w:color w:val="0000FF"/>
                </w:rPr>
                <w:t>Consent of RSM US LLP (Incorporated by reference to Exhibit 23.1 to the Registrant's Annual Report on Form 10-K (File No. 814-00736) filed on November 24, 2025)</w:t>
              </w:r>
            </w:hyperlink>
            <w:r>
              <w:rPr>
                <w:rFonts w:ascii="Times New Roman" w:cs="Times New Roman" w:eastAsia="Times New Roman" w:hAnsi="Times New Roman"/>
                <w:sz w:val="13"/>
                <w:szCs w:val="13"/>
                <w:color w:val="0000FF"/>
              </w:rPr>
              <w:t>.</w:t>
            </w:r>
          </w:p>
        </w:tc>
        <w:tc>
          <w:tcPr>
            <w:tcW w:w="740" w:type="dxa"/>
            <w:vAlign w:val="bottom"/>
            <w:gridSpan w:val="21"/>
          </w:tcPr>
          <w:p>
            <w:pPr>
              <w:spacing w:after="0"/>
              <w:rPr>
                <w:sz w:val="22"/>
                <w:szCs w:val="22"/>
                <w:color w:val="auto"/>
              </w:rPr>
            </w:pPr>
          </w:p>
        </w:tc>
      </w:tr>
      <w:tr>
        <w:trPr>
          <w:trHeight w:val="25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31.1*</w:t>
            </w:r>
          </w:p>
        </w:tc>
        <w:tc>
          <w:tcPr>
            <w:tcW w:w="6240" w:type="dxa"/>
            <w:vAlign w:val="bottom"/>
            <w:tcBorders>
              <w:bottom w:val="single" w:sz="8" w:color="0000EE"/>
            </w:tcBorders>
            <w:gridSpan w:val="11"/>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Executive Officer pursuant to Rule 13a-14 of the Securities Exchange Act of 1934, as amended.</w:t>
              </w:r>
            </w:hyperlink>
          </w:p>
        </w:tc>
        <w:tc>
          <w:tcPr>
            <w:tcW w:w="3460" w:type="dxa"/>
            <w:vAlign w:val="bottom"/>
            <w:gridSpan w:val="25"/>
          </w:tcPr>
          <w:p>
            <w:pPr>
              <w:spacing w:after="0"/>
              <w:rPr>
                <w:sz w:val="22"/>
                <w:szCs w:val="22"/>
                <w:color w:val="auto"/>
              </w:rPr>
            </w:pPr>
          </w:p>
        </w:tc>
      </w:tr>
      <w:tr>
        <w:trPr>
          <w:trHeight w:val="25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31.2*</w:t>
            </w:r>
          </w:p>
        </w:tc>
        <w:tc>
          <w:tcPr>
            <w:tcW w:w="6220" w:type="dxa"/>
            <w:vAlign w:val="bottom"/>
            <w:tcBorders>
              <w:bottom w:val="single" w:sz="8" w:color="0000EE"/>
            </w:tcBorders>
            <w:gridSpan w:val="10"/>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Financial Officer pursuant to Rule 13a-14 of the Securities Exchange Act of 1934, as amended.</w:t>
              </w:r>
            </w:hyperlink>
          </w:p>
        </w:tc>
        <w:tc>
          <w:tcPr>
            <w:tcW w:w="3480" w:type="dxa"/>
            <w:vAlign w:val="bottom"/>
            <w:gridSpan w:val="26"/>
          </w:tcPr>
          <w:p>
            <w:pPr>
              <w:spacing w:after="0"/>
              <w:rPr>
                <w:sz w:val="22"/>
                <w:szCs w:val="22"/>
                <w:color w:val="auto"/>
              </w:rPr>
            </w:pPr>
          </w:p>
        </w:tc>
      </w:tr>
      <w:tr>
        <w:trPr>
          <w:trHeight w:val="25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32.1*</w:t>
            </w:r>
          </w:p>
        </w:tc>
        <w:tc>
          <w:tcPr>
            <w:tcW w:w="5280" w:type="dxa"/>
            <w:vAlign w:val="bottom"/>
            <w:tcBorders>
              <w:bottom w:val="single" w:sz="8" w:color="0000EE"/>
            </w:tcBorders>
            <w:gridSpan w:val="9"/>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Executive Officer pursuant to section 906 of the Sarbanes-Oxley Act of 2002.</w:t>
              </w:r>
            </w:hyperlink>
          </w:p>
        </w:tc>
        <w:tc>
          <w:tcPr>
            <w:tcW w:w="4420" w:type="dxa"/>
            <w:vAlign w:val="bottom"/>
            <w:gridSpan w:val="27"/>
          </w:tcPr>
          <w:p>
            <w:pPr>
              <w:spacing w:after="0"/>
              <w:rPr>
                <w:sz w:val="22"/>
                <w:szCs w:val="22"/>
                <w:color w:val="auto"/>
              </w:rPr>
            </w:pPr>
          </w:p>
        </w:tc>
      </w:tr>
      <w:tr>
        <w:trPr>
          <w:trHeight w:val="340"/>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32.2*</w:t>
            </w:r>
          </w:p>
        </w:tc>
        <w:tc>
          <w:tcPr>
            <w:tcW w:w="5240" w:type="dxa"/>
            <w:vAlign w:val="bottom"/>
            <w:tcBorders>
              <w:bottom w:val="single" w:sz="8" w:color="0000EE"/>
            </w:tcBorders>
            <w:gridSpan w:val="8"/>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Financial Officer pursuant to section 906 of the Sarbanes-Oxley Act of 2002.</w:t>
              </w:r>
            </w:hyperlink>
          </w:p>
        </w:tc>
        <w:tc>
          <w:tcPr>
            <w:tcW w:w="4460" w:type="dxa"/>
            <w:vAlign w:val="bottom"/>
            <w:gridSpan w:val="28"/>
          </w:tcPr>
          <w:p>
            <w:pPr>
              <w:spacing w:after="0"/>
              <w:rPr>
                <w:sz w:val="24"/>
                <w:szCs w:val="24"/>
                <w:color w:val="auto"/>
              </w:rPr>
            </w:pPr>
          </w:p>
        </w:tc>
      </w:tr>
      <w:tr>
        <w:trPr>
          <w:trHeight w:val="25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97.1</w:t>
            </w:r>
          </w:p>
        </w:tc>
        <w:tc>
          <w:tcPr>
            <w:tcW w:w="9700" w:type="dxa"/>
            <w:vAlign w:val="bottom"/>
            <w:gridSpan w:val="36"/>
          </w:tcPr>
          <w:p>
            <w:pPr>
              <w:spacing w:after="0"/>
              <w:rPr>
                <w:rFonts w:ascii="Times New Roman" w:cs="Times New Roman" w:eastAsia="Times New Roman" w:hAnsi="Times New Roman"/>
                <w:sz w:val="13"/>
                <w:szCs w:val="13"/>
                <w:color w:val="0000FF"/>
              </w:rPr>
            </w:pPr>
            <w:hyperlink r:id="rId88">
              <w:r>
                <w:rPr>
                  <w:rFonts w:ascii="Times New Roman" w:cs="Times New Roman" w:eastAsia="Times New Roman" w:hAnsi="Times New Roman"/>
                  <w:sz w:val="13"/>
                  <w:szCs w:val="13"/>
                  <w:color w:val="0000FF"/>
                </w:rPr>
                <w:t>Clawback Policy (Incorporated by reference to Exhibit 97.1 to the Registrant's Annual Report on Form 10-K (File No. 814-00736), filed on December 8, 2023).</w:t>
              </w:r>
            </w:hyperlink>
          </w:p>
        </w:tc>
      </w:tr>
      <w:tr>
        <w:trPr>
          <w:trHeight w:val="20"/>
        </w:trPr>
        <w:tc>
          <w:tcPr>
            <w:tcW w:w="8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820" w:type="dxa"/>
            <w:vAlign w:val="bottom"/>
            <w:gridSpan w:val="5"/>
            <w:shd w:val="clear" w:color="auto" w:fill="0000EE"/>
          </w:tcPr>
          <w:p>
            <w:pPr>
              <w:spacing w:after="0" w:line="20" w:lineRule="exact"/>
              <w:rPr>
                <w:sz w:val="1"/>
                <w:szCs w:val="1"/>
                <w:color w:val="auto"/>
              </w:rPr>
            </w:pPr>
          </w:p>
        </w:tc>
        <w:tc>
          <w:tcPr>
            <w:tcW w:w="3460" w:type="dxa"/>
            <w:vAlign w:val="bottom"/>
            <w:gridSpan w:val="7"/>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16"/>
          </w:tcPr>
          <w:p>
            <w:pPr>
              <w:spacing w:after="0" w:line="20" w:lineRule="exact"/>
              <w:rPr>
                <w:sz w:val="1"/>
                <w:szCs w:val="1"/>
                <w:color w:val="auto"/>
              </w:rPr>
            </w:pPr>
          </w:p>
        </w:tc>
      </w:tr>
      <w:tr>
        <w:trPr>
          <w:trHeight w:val="25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9240" w:type="dxa"/>
            <w:vAlign w:val="bottom"/>
            <w:tcBorders>
              <w:bottom w:val="single" w:sz="8" w:color="0000EE"/>
            </w:tcBorders>
            <w:gridSpan w:val="20"/>
          </w:tcPr>
          <w:p>
            <w:pPr>
              <w:spacing w:after="0"/>
              <w:rPr>
                <w:rFonts w:ascii="Times New Roman" w:cs="Times New Roman" w:eastAsia="Times New Roman" w:hAnsi="Times New Roman"/>
                <w:sz w:val="13"/>
                <w:szCs w:val="13"/>
                <w:color w:val="0000FF"/>
              </w:rPr>
            </w:pPr>
            <w:hyperlink r:id="rId89">
              <w:r>
                <w:rPr>
                  <w:rFonts w:ascii="Times New Roman" w:cs="Times New Roman" w:eastAsia="Times New Roman" w:hAnsi="Times New Roman"/>
                  <w:sz w:val="13"/>
                  <w:szCs w:val="13"/>
                  <w:color w:val="0000FF"/>
                </w:rPr>
                <w:t>Privacy Policy of the Registrant (Incorporated by reference to Exhibit 99.1 to the Registrant's Annual Report on Form 10-K (File No. 814-00736), filed on December 8, 2023).</w:t>
              </w:r>
            </w:hyperlink>
          </w:p>
        </w:tc>
        <w:tc>
          <w:tcPr>
            <w:tcW w:w="460" w:type="dxa"/>
            <w:vAlign w:val="bottom"/>
            <w:gridSpan w:val="16"/>
          </w:tcPr>
          <w:p>
            <w:pPr>
              <w:spacing w:after="0"/>
              <w:rPr>
                <w:sz w:val="22"/>
                <w:szCs w:val="22"/>
                <w:color w:val="auto"/>
              </w:rPr>
            </w:pPr>
          </w:p>
        </w:tc>
      </w:tr>
      <w:tr>
        <w:trPr>
          <w:trHeight w:val="25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9180" w:type="dxa"/>
            <w:vAlign w:val="bottom"/>
            <w:tcBorders>
              <w:bottom w:val="single" w:sz="8" w:color="0000EE"/>
            </w:tcBorders>
            <w:gridSpan w:val="19"/>
          </w:tcPr>
          <w:p>
            <w:pPr>
              <w:spacing w:after="0"/>
              <w:rPr>
                <w:rFonts w:ascii="Times New Roman" w:cs="Times New Roman" w:eastAsia="Times New Roman" w:hAnsi="Times New Roman"/>
                <w:sz w:val="13"/>
                <w:szCs w:val="13"/>
                <w:color w:val="0000FF"/>
              </w:rPr>
            </w:pPr>
            <w:hyperlink r:id="rId90">
              <w:r>
                <w:rPr>
                  <w:rFonts w:ascii="Times New Roman" w:cs="Times New Roman" w:eastAsia="Times New Roman" w:hAnsi="Times New Roman"/>
                  <w:sz w:val="13"/>
                  <w:szCs w:val="13"/>
                  <w:color w:val="0000FF"/>
                </w:rPr>
                <w:t>Report of RSM US LLP on Senior Securities Table (Incorporated by reference to Exhibit 99.2 to the Registrant's Annual Report on Form 10-K (File No. 814-00736) filed on</w:t>
              </w:r>
            </w:hyperlink>
          </w:p>
        </w:tc>
        <w:tc>
          <w:tcPr>
            <w:tcW w:w="520" w:type="dxa"/>
            <w:vAlign w:val="bottom"/>
            <w:gridSpan w:val="17"/>
          </w:tcPr>
          <w:p>
            <w:pPr>
              <w:spacing w:after="0"/>
              <w:rPr>
                <w:sz w:val="22"/>
                <w:szCs w:val="22"/>
                <w:color w:val="auto"/>
              </w:rPr>
            </w:pPr>
          </w:p>
        </w:tc>
      </w:tr>
      <w:tr>
        <w:trPr>
          <w:trHeight w:val="136"/>
        </w:trPr>
        <w:tc>
          <w:tcPr>
            <w:tcW w:w="860" w:type="dxa"/>
            <w:vAlign w:val="bottom"/>
          </w:tcPr>
          <w:p>
            <w:pPr>
              <w:spacing w:after="0"/>
              <w:rPr>
                <w:sz w:val="11"/>
                <w:szCs w:val="11"/>
                <w:color w:val="auto"/>
              </w:rPr>
            </w:pPr>
          </w:p>
        </w:tc>
        <w:tc>
          <w:tcPr>
            <w:tcW w:w="1160" w:type="dxa"/>
            <w:vAlign w:val="bottom"/>
            <w:tcBorders>
              <w:bottom w:val="single" w:sz="8" w:color="0000EE"/>
            </w:tcBorders>
            <w:gridSpan w:val="2"/>
          </w:tcPr>
          <w:p>
            <w:pPr>
              <w:spacing w:after="0" w:line="136" w:lineRule="exact"/>
              <w:rPr>
                <w:rFonts w:ascii="Times New Roman" w:cs="Times New Roman" w:eastAsia="Times New Roman" w:hAnsi="Times New Roman"/>
                <w:sz w:val="13"/>
                <w:szCs w:val="13"/>
                <w:color w:val="0000FF"/>
              </w:rPr>
            </w:pPr>
            <w:hyperlink r:id="rId90">
              <w:r>
                <w:rPr>
                  <w:rFonts w:ascii="Times New Roman" w:cs="Times New Roman" w:eastAsia="Times New Roman" w:hAnsi="Times New Roman"/>
                  <w:sz w:val="13"/>
                  <w:szCs w:val="13"/>
                  <w:color w:val="0000FF"/>
                </w:rPr>
                <w:t>November 24, 2025).</w:t>
              </w:r>
            </w:hyperlink>
          </w:p>
        </w:tc>
        <w:tc>
          <w:tcPr>
            <w:tcW w:w="8540" w:type="dxa"/>
            <w:vAlign w:val="bottom"/>
            <w:gridSpan w:val="34"/>
          </w:tcPr>
          <w:p>
            <w:pPr>
              <w:spacing w:after="0"/>
              <w:rPr>
                <w:sz w:val="11"/>
                <w:szCs w:val="11"/>
                <w:color w:val="auto"/>
              </w:rPr>
            </w:pPr>
          </w:p>
        </w:tc>
      </w:tr>
      <w:tr>
        <w:trPr>
          <w:trHeight w:val="25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99.3</w:t>
            </w:r>
          </w:p>
        </w:tc>
        <w:tc>
          <w:tcPr>
            <w:tcW w:w="9620" w:type="dxa"/>
            <w:vAlign w:val="bottom"/>
            <w:tcBorders>
              <w:bottom w:val="single" w:sz="8" w:color="0000EE"/>
            </w:tcBorders>
            <w:gridSpan w:val="32"/>
          </w:tcPr>
          <w:p>
            <w:pPr>
              <w:spacing w:after="0"/>
              <w:rPr>
                <w:rFonts w:ascii="Times New Roman" w:cs="Times New Roman" w:eastAsia="Times New Roman" w:hAnsi="Times New Roman"/>
                <w:sz w:val="13"/>
                <w:szCs w:val="13"/>
                <w:color w:val="0000FF"/>
              </w:rPr>
            </w:pPr>
            <w:hyperlink r:id="rId91">
              <w:r>
                <w:rPr>
                  <w:rFonts w:ascii="Times New Roman" w:cs="Times New Roman" w:eastAsia="Times New Roman" w:hAnsi="Times New Roman"/>
                  <w:sz w:val="13"/>
                  <w:szCs w:val="13"/>
                  <w:color w:val="0000FF"/>
                </w:rPr>
                <w:t>Audited Consolidated Financial Statement of PennantPark Senior Loan Fund LLC for the Year Ended September 30, 2025 and 2024 (Incorporated by reference to Exhibit 99.3 to the</w:t>
              </w:r>
            </w:hyperlink>
          </w:p>
        </w:tc>
        <w:tc>
          <w:tcPr>
            <w:tcW w:w="80" w:type="dxa"/>
            <w:vAlign w:val="bottom"/>
            <w:gridSpan w:val="4"/>
          </w:tcPr>
          <w:p>
            <w:pPr>
              <w:spacing w:after="0"/>
              <w:rPr>
                <w:sz w:val="22"/>
                <w:szCs w:val="22"/>
                <w:color w:val="auto"/>
              </w:rPr>
            </w:pPr>
          </w:p>
        </w:tc>
      </w:tr>
      <w:tr>
        <w:trPr>
          <w:trHeight w:val="136"/>
        </w:trPr>
        <w:tc>
          <w:tcPr>
            <w:tcW w:w="860" w:type="dxa"/>
            <w:vAlign w:val="bottom"/>
          </w:tcPr>
          <w:p>
            <w:pPr>
              <w:spacing w:after="0"/>
              <w:rPr>
                <w:sz w:val="11"/>
                <w:szCs w:val="11"/>
                <w:color w:val="auto"/>
              </w:rPr>
            </w:pPr>
          </w:p>
        </w:tc>
        <w:tc>
          <w:tcPr>
            <w:tcW w:w="9700" w:type="dxa"/>
            <w:vAlign w:val="bottom"/>
            <w:gridSpan w:val="36"/>
          </w:tcPr>
          <w:p>
            <w:pPr>
              <w:spacing w:after="0" w:line="136" w:lineRule="exact"/>
              <w:rPr>
                <w:rFonts w:ascii="Times New Roman" w:cs="Times New Roman" w:eastAsia="Times New Roman" w:hAnsi="Times New Roman"/>
                <w:sz w:val="13"/>
                <w:szCs w:val="13"/>
                <w:color w:val="0000FF"/>
              </w:rPr>
            </w:pPr>
            <w:hyperlink r:id="rId91">
              <w:r>
                <w:rPr>
                  <w:rFonts w:ascii="Times New Roman" w:cs="Times New Roman" w:eastAsia="Times New Roman" w:hAnsi="Times New Roman"/>
                  <w:sz w:val="13"/>
                  <w:szCs w:val="13"/>
                  <w:color w:val="0000FF"/>
                </w:rPr>
                <w:t>Registrant's Annual Report on Form 10-K (File No. 814-00736) filed on November 24, 2025).</w:t>
              </w:r>
            </w:hyperlink>
          </w:p>
        </w:tc>
      </w:tr>
      <w:tr>
        <w:trPr>
          <w:trHeight w:val="512"/>
        </w:trPr>
        <w:tc>
          <w:tcPr>
            <w:tcW w:w="860" w:type="dxa"/>
            <w:vAlign w:val="bottom"/>
          </w:tcPr>
          <w:p>
            <w:pPr>
              <w:spacing w:after="0"/>
              <w:rPr>
                <w:sz w:val="24"/>
                <w:szCs w:val="24"/>
                <w:color w:val="auto"/>
              </w:rPr>
            </w:pPr>
          </w:p>
        </w:tc>
        <w:tc>
          <w:tcPr>
            <w:tcW w:w="4980" w:type="dxa"/>
            <w:vAlign w:val="bottom"/>
            <w:tcBorders>
              <w:top w:val="single" w:sz="8" w:color="0000EE"/>
            </w:tcBorders>
            <w:gridSpan w:val="7"/>
          </w:tcPr>
          <w:p>
            <w:pPr>
              <w:ind w:left="4360"/>
              <w:spacing w:after="0"/>
              <w:rPr>
                <w:sz w:val="20"/>
                <w:szCs w:val="20"/>
                <w:color w:val="auto"/>
              </w:rPr>
            </w:pPr>
            <w:r>
              <w:rPr>
                <w:rFonts w:ascii="Times New Roman" w:cs="Times New Roman" w:eastAsia="Times New Roman" w:hAnsi="Times New Roman"/>
                <w:sz w:val="13"/>
                <w:szCs w:val="13"/>
                <w:color w:val="auto"/>
              </w:rPr>
              <w:t>55</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0"/>
        </w:trPr>
        <w:tc>
          <w:tcPr>
            <w:tcW w:w="86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180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3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99.4</w:t>
            </w:r>
          </w:p>
        </w:tc>
        <w:tc>
          <w:tcPr>
            <w:tcW w:w="9620" w:type="dxa"/>
            <w:vAlign w:val="bottom"/>
            <w:tcBorders>
              <w:bottom w:val="single" w:sz="8" w:color="0000EE"/>
            </w:tcBorders>
            <w:gridSpan w:val="2"/>
          </w:tcPr>
          <w:p>
            <w:pPr>
              <w:spacing w:after="0"/>
              <w:rPr>
                <w:rFonts w:ascii="Times New Roman" w:cs="Times New Roman" w:eastAsia="Times New Roman" w:hAnsi="Times New Roman"/>
                <w:sz w:val="13"/>
                <w:szCs w:val="13"/>
                <w:color w:val="0000FF"/>
              </w:rPr>
            </w:pPr>
            <w:hyperlink r:id="rId93">
              <w:r>
                <w:rPr>
                  <w:rFonts w:ascii="Times New Roman" w:cs="Times New Roman" w:eastAsia="Times New Roman" w:hAnsi="Times New Roman"/>
                  <w:sz w:val="13"/>
                  <w:szCs w:val="13"/>
                  <w:color w:val="0000FF"/>
                </w:rPr>
                <w:t>Audited Consolidated Financial Statement of PennantPark Senior Loan Fund LLC for the Year Ended September 30, 2024 and 2023 (Incorporated by reference to Exhibit 99.4 to the</w:t>
              </w:r>
            </w:hyperlink>
          </w:p>
        </w:tc>
      </w:tr>
      <w:tr>
        <w:trPr>
          <w:trHeight w:val="136"/>
        </w:trPr>
        <w:tc>
          <w:tcPr>
            <w:tcW w:w="860" w:type="dxa"/>
            <w:vAlign w:val="bottom"/>
          </w:tcPr>
          <w:p>
            <w:pPr>
              <w:spacing w:after="0"/>
              <w:rPr>
                <w:sz w:val="11"/>
                <w:szCs w:val="11"/>
                <w:color w:val="auto"/>
              </w:rPr>
            </w:pPr>
          </w:p>
        </w:tc>
        <w:tc>
          <w:tcPr>
            <w:tcW w:w="4980" w:type="dxa"/>
            <w:vAlign w:val="bottom"/>
            <w:tcBorders>
              <w:bottom w:val="single" w:sz="8" w:color="0000EE"/>
            </w:tcBorders>
          </w:tcPr>
          <w:p>
            <w:pPr>
              <w:spacing w:after="0" w:line="136" w:lineRule="exact"/>
              <w:rPr>
                <w:rFonts w:ascii="Times New Roman" w:cs="Times New Roman" w:eastAsia="Times New Roman" w:hAnsi="Times New Roman"/>
                <w:sz w:val="13"/>
                <w:szCs w:val="13"/>
                <w:color w:val="0000FF"/>
              </w:rPr>
            </w:pPr>
            <w:hyperlink r:id="rId93">
              <w:r>
                <w:rPr>
                  <w:rFonts w:ascii="Times New Roman" w:cs="Times New Roman" w:eastAsia="Times New Roman" w:hAnsi="Times New Roman"/>
                  <w:sz w:val="13"/>
                  <w:szCs w:val="13"/>
                  <w:color w:val="0000FF"/>
                </w:rPr>
                <w:t>Registrant's Annual Report on Form 10-K (File No. 814-00736) filed on November 24, 2025).</w:t>
              </w:r>
            </w:hyperlink>
          </w:p>
        </w:tc>
        <w:tc>
          <w:tcPr>
            <w:tcW w:w="4640" w:type="dxa"/>
            <w:vAlign w:val="bottom"/>
          </w:tcPr>
          <w:p>
            <w:pPr>
              <w:spacing w:after="0"/>
              <w:rPr>
                <w:sz w:val="11"/>
                <w:szCs w:val="11"/>
                <w:color w:val="auto"/>
              </w:rPr>
            </w:pPr>
          </w:p>
        </w:tc>
      </w:tr>
      <w:tr>
        <w:trPr>
          <w:trHeight w:val="320"/>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101.INS*</w:t>
            </w:r>
          </w:p>
        </w:tc>
        <w:tc>
          <w:tcPr>
            <w:tcW w:w="9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Inline XBRL Instance Document</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191.SCH*</w:t>
            </w:r>
          </w:p>
        </w:tc>
        <w:tc>
          <w:tcPr>
            <w:tcW w:w="9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Inline XBRL Taxonomy Extension Schema</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101.CAL*</w:t>
            </w:r>
          </w:p>
        </w:tc>
        <w:tc>
          <w:tcPr>
            <w:tcW w:w="9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Inline XBRL Extension Calculation Linkbase Document</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101.DEF*</w:t>
            </w:r>
          </w:p>
        </w:tc>
        <w:tc>
          <w:tcPr>
            <w:tcW w:w="9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101.LAB*</w:t>
            </w:r>
          </w:p>
        </w:tc>
        <w:tc>
          <w:tcPr>
            <w:tcW w:w="9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101.PRE*</w:t>
            </w:r>
          </w:p>
        </w:tc>
        <w:tc>
          <w:tcPr>
            <w:tcW w:w="9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9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Cover Page Interactive Data File (formatted as inline XBRL and contained in Exhibit 101)</w:t>
            </w:r>
          </w:p>
        </w:tc>
      </w:tr>
    </w:tbl>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Filed herewith</w:t>
      </w:r>
    </w:p>
    <w:p>
      <w:pPr>
        <w:spacing w:after="0" w:line="1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332" w:right="760"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29"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Pursuant to the requirements of Section 13 or 15(d) of the Securities Exchange Act of 1934, the registrant has duly caused this report to be signed on its behalf by the undersigned, thereunto duly authorized on January 23, 2026.</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ARTHUR H. PENN</w:t>
            </w:r>
          </w:p>
        </w:tc>
      </w:tr>
      <w:tr>
        <w:trPr>
          <w:trHeight w:val="134"/>
        </w:trPr>
        <w:tc>
          <w:tcPr>
            <w:tcW w:w="64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Name:</w:t>
            </w:r>
          </w:p>
        </w:tc>
        <w:tc>
          <w:tcPr>
            <w:tcW w:w="360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Arthur H. Penn</w:t>
            </w:r>
          </w:p>
        </w:tc>
      </w:tr>
      <w:tr>
        <w:trPr>
          <w:trHeight w:val="156"/>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Chief Executive Officer and Chairman of the Board of</w:t>
            </w:r>
          </w:p>
        </w:tc>
      </w:tr>
      <w:tr>
        <w:trPr>
          <w:trHeight w:val="174"/>
        </w:trPr>
        <w:tc>
          <w:tcPr>
            <w:tcW w:w="64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Directors</w:t>
            </w:r>
          </w:p>
        </w:tc>
      </w:tr>
    </w:tbl>
    <w:p>
      <w:pPr>
        <w:spacing w:after="0" w:line="104" w:lineRule="exact"/>
        <w:rPr>
          <w:sz w:val="20"/>
          <w:szCs w:val="20"/>
          <w:color w:val="auto"/>
        </w:rPr>
      </w:pPr>
    </w:p>
    <w:p>
      <w:pPr>
        <w:ind w:right="260" w:firstLine="420"/>
        <w:spacing w:after="0" w:line="286"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tcPr>
          <w:p>
            <w:pPr>
              <w:ind w:left="700"/>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120" w:type="dxa"/>
            <w:vAlign w:val="bottom"/>
          </w:tcPr>
          <w:p>
            <w:pPr>
              <w:spacing w:after="0"/>
              <w:rPr>
                <w:sz w:val="14"/>
                <w:szCs w:val="14"/>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120" w:type="dxa"/>
            <w:vAlign w:val="bottom"/>
          </w:tcPr>
          <w:p>
            <w:pPr>
              <w:spacing w:after="0"/>
              <w:rPr>
                <w:sz w:val="14"/>
                <w:szCs w:val="14"/>
                <w:color w:val="auto"/>
              </w:rPr>
            </w:pPr>
          </w:p>
        </w:tc>
        <w:tc>
          <w:tcPr>
            <w:tcW w:w="2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8" w:lineRule="exact"/>
              <w:rPr>
                <w:sz w:val="20"/>
                <w:szCs w:val="20"/>
                <w:color w:val="auto"/>
              </w:rPr>
            </w:pPr>
            <w:r>
              <w:rPr>
                <w:rFonts w:ascii="Times New Roman" w:cs="Times New Roman" w:eastAsia="Times New Roman" w:hAnsi="Times New Roman"/>
                <w:sz w:val="13"/>
                <w:szCs w:val="13"/>
                <w:color w:val="auto"/>
              </w:rPr>
              <w:t>/s/</w:t>
            </w:r>
          </w:p>
        </w:tc>
        <w:tc>
          <w:tcPr>
            <w:tcW w:w="2140" w:type="dxa"/>
            <w:vAlign w:val="bottom"/>
            <w:tcBorders>
              <w:top w:val="single" w:sz="8" w:color="auto"/>
              <w:bottom w:val="single" w:sz="8" w:color="auto"/>
            </w:tcBorders>
          </w:tcPr>
          <w:p>
            <w:pPr>
              <w:ind w:left="80"/>
              <w:spacing w:after="0" w:line="148" w:lineRule="exact"/>
              <w:rPr>
                <w:sz w:val="20"/>
                <w:szCs w:val="20"/>
                <w:color w:val="auto"/>
              </w:rPr>
            </w:pPr>
            <w:r>
              <w:rPr>
                <w:rFonts w:ascii="Times New Roman" w:cs="Times New Roman" w:eastAsia="Times New Roman" w:hAnsi="Times New Roman"/>
                <w:sz w:val="13"/>
                <w:szCs w:val="13"/>
                <w:color w:val="auto"/>
              </w:rPr>
              <w:t>ARTHUR H. PENN</w:t>
            </w:r>
          </w:p>
        </w:tc>
        <w:tc>
          <w:tcPr>
            <w:tcW w:w="120" w:type="dxa"/>
            <w:vAlign w:val="bottom"/>
          </w:tcPr>
          <w:p>
            <w:pPr>
              <w:spacing w:after="0"/>
              <w:rPr>
                <w:sz w:val="12"/>
                <w:szCs w:val="12"/>
                <w:color w:val="auto"/>
              </w:rPr>
            </w:pPr>
          </w:p>
        </w:tc>
        <w:tc>
          <w:tcPr>
            <w:tcW w:w="474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3"/>
                <w:szCs w:val="13"/>
                <w:color w:val="auto"/>
              </w:rPr>
              <w:t>Chief Executive Officer and Chairman of the Board of Directors</w:t>
            </w:r>
          </w:p>
        </w:tc>
        <w:tc>
          <w:tcPr>
            <w:tcW w:w="120" w:type="dxa"/>
            <w:vAlign w:val="bottom"/>
          </w:tcPr>
          <w:p>
            <w:pPr>
              <w:spacing w:after="0"/>
              <w:rPr>
                <w:sz w:val="12"/>
                <w:szCs w:val="12"/>
                <w:color w:val="auto"/>
              </w:rPr>
            </w:pPr>
          </w:p>
        </w:tc>
        <w:tc>
          <w:tcPr>
            <w:tcW w:w="262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3"/>
                <w:szCs w:val="13"/>
                <w:color w:val="auto"/>
              </w:rPr>
              <w:t>January 23, 2026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2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Arthur H. Penn</w:t>
            </w:r>
          </w:p>
        </w:tc>
        <w:tc>
          <w:tcPr>
            <w:tcW w:w="120" w:type="dxa"/>
            <w:vAlign w:val="bottom"/>
          </w:tcPr>
          <w:p>
            <w:pPr>
              <w:spacing w:after="0"/>
              <w:rPr>
                <w:sz w:val="14"/>
                <w:szCs w:val="14"/>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(Principal Executive Officer)</w:t>
            </w: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2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/s/</w:t>
            </w:r>
          </w:p>
        </w:tc>
        <w:tc>
          <w:tcPr>
            <w:tcW w:w="21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RICHARD T. ALLORTO, JR.</w:t>
            </w:r>
          </w:p>
        </w:tc>
        <w:tc>
          <w:tcPr>
            <w:tcW w:w="120" w:type="dxa"/>
            <w:vAlign w:val="bottom"/>
          </w:tcPr>
          <w:p>
            <w:pPr>
              <w:spacing w:after="0"/>
              <w:rPr>
                <w:sz w:val="22"/>
                <w:szCs w:val="22"/>
                <w:color w:val="auto"/>
              </w:rPr>
            </w:pPr>
          </w:p>
        </w:tc>
        <w:tc>
          <w:tcPr>
            <w:tcW w:w="4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Chief Financial Officer and Treasurer</w:t>
            </w:r>
          </w:p>
        </w:tc>
        <w:tc>
          <w:tcPr>
            <w:tcW w:w="120" w:type="dxa"/>
            <w:vAlign w:val="bottom"/>
          </w:tcPr>
          <w:p>
            <w:pPr>
              <w:spacing w:after="0"/>
              <w:rPr>
                <w:sz w:val="22"/>
                <w:szCs w:val="22"/>
                <w:color w:val="auto"/>
              </w:rPr>
            </w:pPr>
          </w:p>
        </w:tc>
        <w:tc>
          <w:tcPr>
            <w:tcW w:w="2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rPr>
              <w:t>January 23, 2026</w:t>
            </w:r>
          </w:p>
        </w:tc>
        <w:tc>
          <w:tcPr>
            <w:tcW w:w="0" w:type="dxa"/>
            <w:vAlign w:val="bottom"/>
          </w:tcPr>
          <w:p>
            <w:pPr>
              <w:spacing w:after="0"/>
              <w:rPr>
                <w:sz w:val="1"/>
                <w:szCs w:val="1"/>
                <w:color w:val="auto"/>
              </w:rPr>
            </w:pPr>
          </w:p>
        </w:tc>
      </w:tr>
      <w:tr>
        <w:trPr>
          <w:trHeight w:val="116"/>
        </w:trPr>
        <w:tc>
          <w:tcPr>
            <w:tcW w:w="3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7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32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Richard T. Allorto, Jr.</w:t>
            </w:r>
          </w:p>
        </w:tc>
        <w:tc>
          <w:tcPr>
            <w:tcW w:w="120" w:type="dxa"/>
            <w:vAlign w:val="bottom"/>
          </w:tcPr>
          <w:p>
            <w:pPr>
              <w:spacing w:after="0"/>
              <w:rPr>
                <w:sz w:val="14"/>
                <w:szCs w:val="14"/>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(Principal Financial and Accounting Officer)</w:t>
            </w: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w:t>
            </w:r>
          </w:p>
        </w:tc>
        <w:tc>
          <w:tcPr>
            <w:tcW w:w="2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ADAM K. BERNSTEIN</w:t>
            </w:r>
          </w:p>
        </w:tc>
        <w:tc>
          <w:tcPr>
            <w:tcW w:w="120" w:type="dxa"/>
            <w:vAlign w:val="bottom"/>
          </w:tcPr>
          <w:p>
            <w:pPr>
              <w:spacing w:after="0"/>
              <w:rPr>
                <w:sz w:val="22"/>
                <w:szCs w:val="22"/>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20" w:type="dxa"/>
            <w:vAlign w:val="bottom"/>
          </w:tcPr>
          <w:p>
            <w:pPr>
              <w:spacing w:after="0"/>
              <w:rPr>
                <w:sz w:val="22"/>
                <w:szCs w:val="22"/>
                <w:color w:val="auto"/>
              </w:rPr>
            </w:pPr>
          </w:p>
        </w:tc>
        <w:tc>
          <w:tcPr>
            <w:tcW w:w="2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rPr>
              <w:t>January 23, 2026</w:t>
            </w:r>
          </w:p>
        </w:tc>
        <w:tc>
          <w:tcPr>
            <w:tcW w:w="0" w:type="dxa"/>
            <w:vAlign w:val="bottom"/>
          </w:tcPr>
          <w:p>
            <w:pPr>
              <w:spacing w:after="0"/>
              <w:rPr>
                <w:sz w:val="1"/>
                <w:szCs w:val="1"/>
                <w:color w:val="auto"/>
              </w:rPr>
            </w:pPr>
          </w:p>
        </w:tc>
      </w:tr>
      <w:tr>
        <w:trPr>
          <w:trHeight w:val="166"/>
        </w:trPr>
        <w:tc>
          <w:tcPr>
            <w:tcW w:w="32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Adam K. Bernstein</w:t>
            </w:r>
          </w:p>
        </w:tc>
        <w:tc>
          <w:tcPr>
            <w:tcW w:w="1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w:t>
            </w:r>
          </w:p>
        </w:tc>
        <w:tc>
          <w:tcPr>
            <w:tcW w:w="2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JEFFREY FLUG</w:t>
            </w:r>
          </w:p>
        </w:tc>
        <w:tc>
          <w:tcPr>
            <w:tcW w:w="120" w:type="dxa"/>
            <w:vAlign w:val="bottom"/>
          </w:tcPr>
          <w:p>
            <w:pPr>
              <w:spacing w:after="0"/>
              <w:rPr>
                <w:sz w:val="22"/>
                <w:szCs w:val="22"/>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20" w:type="dxa"/>
            <w:vAlign w:val="bottom"/>
          </w:tcPr>
          <w:p>
            <w:pPr>
              <w:spacing w:after="0"/>
              <w:rPr>
                <w:sz w:val="22"/>
                <w:szCs w:val="22"/>
                <w:color w:val="auto"/>
              </w:rPr>
            </w:pPr>
          </w:p>
        </w:tc>
        <w:tc>
          <w:tcPr>
            <w:tcW w:w="2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rPr>
              <w:t>January 23, 2026</w:t>
            </w:r>
          </w:p>
        </w:tc>
        <w:tc>
          <w:tcPr>
            <w:tcW w:w="0" w:type="dxa"/>
            <w:vAlign w:val="bottom"/>
          </w:tcPr>
          <w:p>
            <w:pPr>
              <w:spacing w:after="0"/>
              <w:rPr>
                <w:sz w:val="1"/>
                <w:szCs w:val="1"/>
                <w:color w:val="auto"/>
              </w:rPr>
            </w:pPr>
          </w:p>
        </w:tc>
      </w:tr>
      <w:tr>
        <w:trPr>
          <w:trHeight w:val="166"/>
        </w:trPr>
        <w:tc>
          <w:tcPr>
            <w:tcW w:w="32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Jeffrey Flug</w:t>
            </w:r>
          </w:p>
        </w:tc>
        <w:tc>
          <w:tcPr>
            <w:tcW w:w="1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w:t>
            </w:r>
          </w:p>
        </w:tc>
        <w:tc>
          <w:tcPr>
            <w:tcW w:w="2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MARSHALL BROZOST</w:t>
            </w:r>
          </w:p>
        </w:tc>
        <w:tc>
          <w:tcPr>
            <w:tcW w:w="120" w:type="dxa"/>
            <w:vAlign w:val="bottom"/>
          </w:tcPr>
          <w:p>
            <w:pPr>
              <w:spacing w:after="0"/>
              <w:rPr>
                <w:sz w:val="22"/>
                <w:szCs w:val="22"/>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20" w:type="dxa"/>
            <w:vAlign w:val="bottom"/>
          </w:tcPr>
          <w:p>
            <w:pPr>
              <w:spacing w:after="0"/>
              <w:rPr>
                <w:sz w:val="22"/>
                <w:szCs w:val="22"/>
                <w:color w:val="auto"/>
              </w:rPr>
            </w:pPr>
          </w:p>
        </w:tc>
        <w:tc>
          <w:tcPr>
            <w:tcW w:w="2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rPr>
              <w:t>January 23, 2026</w:t>
            </w:r>
          </w:p>
        </w:tc>
        <w:tc>
          <w:tcPr>
            <w:tcW w:w="0" w:type="dxa"/>
            <w:vAlign w:val="bottom"/>
          </w:tcPr>
          <w:p>
            <w:pPr>
              <w:spacing w:after="0"/>
              <w:rPr>
                <w:sz w:val="1"/>
                <w:szCs w:val="1"/>
                <w:color w:val="auto"/>
              </w:rPr>
            </w:pPr>
          </w:p>
        </w:tc>
      </w:tr>
      <w:tr>
        <w:trPr>
          <w:trHeight w:val="166"/>
        </w:trPr>
        <w:tc>
          <w:tcPr>
            <w:tcW w:w="32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Marshall Brozost</w:t>
            </w:r>
          </w:p>
        </w:tc>
        <w:tc>
          <w:tcPr>
            <w:tcW w:w="1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w:t>
            </w:r>
          </w:p>
        </w:tc>
        <w:tc>
          <w:tcPr>
            <w:tcW w:w="2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SAMUEL L. KATZ</w:t>
            </w:r>
          </w:p>
        </w:tc>
        <w:tc>
          <w:tcPr>
            <w:tcW w:w="120" w:type="dxa"/>
            <w:vAlign w:val="bottom"/>
          </w:tcPr>
          <w:p>
            <w:pPr>
              <w:spacing w:after="0"/>
              <w:rPr>
                <w:sz w:val="22"/>
                <w:szCs w:val="22"/>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20" w:type="dxa"/>
            <w:vAlign w:val="bottom"/>
          </w:tcPr>
          <w:p>
            <w:pPr>
              <w:spacing w:after="0"/>
              <w:rPr>
                <w:sz w:val="22"/>
                <w:szCs w:val="22"/>
                <w:color w:val="auto"/>
              </w:rPr>
            </w:pPr>
          </w:p>
        </w:tc>
        <w:tc>
          <w:tcPr>
            <w:tcW w:w="2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rPr>
              <w:t>January 23, 2026</w:t>
            </w:r>
          </w:p>
        </w:tc>
        <w:tc>
          <w:tcPr>
            <w:tcW w:w="0" w:type="dxa"/>
            <w:vAlign w:val="bottom"/>
          </w:tcPr>
          <w:p>
            <w:pPr>
              <w:spacing w:after="0"/>
              <w:rPr>
                <w:sz w:val="1"/>
                <w:szCs w:val="1"/>
                <w:color w:val="auto"/>
              </w:rPr>
            </w:pPr>
          </w:p>
        </w:tc>
      </w:tr>
      <w:tr>
        <w:trPr>
          <w:trHeight w:val="166"/>
        </w:trPr>
        <w:tc>
          <w:tcPr>
            <w:tcW w:w="32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Samuel L. Katz</w:t>
            </w:r>
          </w:p>
        </w:tc>
        <w:tc>
          <w:tcPr>
            <w:tcW w:w="1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32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xml:space="preserve">/s/  </w:t>
            </w:r>
            <w:r>
              <w:rPr>
                <w:rFonts w:ascii="Times New Roman" w:cs="Times New Roman" w:eastAsia="Times New Roman" w:hAnsi="Times New Roman"/>
                <w:sz w:val="13"/>
                <w:szCs w:val="13"/>
                <w:color w:val="auto"/>
              </w:rPr>
              <w:t>JOSÉ A. BRIONES, JR</w:t>
            </w:r>
          </w:p>
        </w:tc>
        <w:tc>
          <w:tcPr>
            <w:tcW w:w="120" w:type="dxa"/>
            <w:vAlign w:val="bottom"/>
          </w:tcPr>
          <w:p>
            <w:pPr>
              <w:spacing w:after="0"/>
              <w:rPr>
                <w:sz w:val="24"/>
                <w:szCs w:val="24"/>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20" w:type="dxa"/>
            <w:vAlign w:val="bottom"/>
          </w:tcPr>
          <w:p>
            <w:pPr>
              <w:spacing w:after="0"/>
              <w:rPr>
                <w:sz w:val="24"/>
                <w:szCs w:val="24"/>
                <w:color w:val="auto"/>
              </w:rPr>
            </w:pPr>
          </w:p>
        </w:tc>
        <w:tc>
          <w:tcPr>
            <w:tcW w:w="2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rPr>
              <w:t>January 23, 2026</w:t>
            </w: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José A. Briones, Jr.</w:t>
            </w:r>
          </w:p>
        </w:tc>
        <w:tc>
          <w:tcPr>
            <w:tcW w:w="1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4"/>
        </w:trPr>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860" w:type="dxa"/>
            <w:vAlign w:val="bottom"/>
            <w:gridSpan w:val="2"/>
          </w:tcPr>
          <w:p>
            <w:pPr>
              <w:jc w:val="right"/>
              <w:ind w:right="2074"/>
              <w:spacing w:after="0"/>
              <w:rPr>
                <w:sz w:val="20"/>
                <w:szCs w:val="20"/>
                <w:color w:val="auto"/>
              </w:rPr>
            </w:pPr>
            <w:r>
              <w:rPr>
                <w:rFonts w:ascii="Times New Roman" w:cs="Times New Roman" w:eastAsia="Times New Roman" w:hAnsi="Times New Roman"/>
                <w:sz w:val="13"/>
                <w:szCs w:val="13"/>
                <w:color w:val="auto"/>
              </w:rPr>
              <w:t>57</w:t>
            </w: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0"/>
        </w:trPr>
        <w:tc>
          <w:tcPr>
            <w:tcW w:w="3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1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7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6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12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b w:val="1"/>
          <w:bCs w:val="1"/>
          <w:color w:val="auto"/>
        </w:rPr>
        <w:t>CERTIFICATION PURSUANT TO SECTION 302</w:t>
      </w:r>
    </w:p>
    <w:p>
      <w:pPr>
        <w:spacing w:after="0" w:line="2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3"/>
          <w:szCs w:val="13"/>
          <w:b w:val="1"/>
          <w:bCs w:val="1"/>
          <w:color w:val="auto"/>
        </w:rPr>
        <w:t>CHIEF EXECUTIVE OFFICER CERTIFICATION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Arthur H. Penn, Chief Executive Officer and Chairman of the Board of Directors of PennantPark Investment Corporation, certify that:</w:t>
      </w:r>
    </w:p>
    <w:p>
      <w:pPr>
        <w:spacing w:after="0" w:line="127" w:lineRule="exact"/>
        <w:rPr>
          <w:sz w:val="20"/>
          <w:szCs w:val="20"/>
          <w:color w:val="auto"/>
        </w:rPr>
      </w:pPr>
    </w:p>
    <w:p>
      <w:pPr>
        <w:ind w:left="360" w:hanging="126"/>
        <w:spacing w:after="0"/>
        <w:tabs>
          <w:tab w:leader="none" w:pos="3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10-K/A of PennantPark Investment Corporation;</w:t>
      </w:r>
    </w:p>
    <w:p>
      <w:pPr>
        <w:spacing w:after="0" w:line="126" w:lineRule="exact"/>
        <w:rPr>
          <w:rFonts w:ascii="Times New Roman" w:cs="Times New Roman" w:eastAsia="Times New Roman" w:hAnsi="Times New Roman"/>
          <w:sz w:val="13"/>
          <w:szCs w:val="13"/>
          <w:color w:val="auto"/>
        </w:rPr>
      </w:pPr>
    </w:p>
    <w:p>
      <w:pPr>
        <w:ind w:left="240" w:right="60" w:hanging="6"/>
        <w:spacing w:after="0" w:line="286" w:lineRule="auto"/>
        <w:tabs>
          <w:tab w:leader="none" w:pos="372"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3"/>
          <w:szCs w:val="13"/>
          <w:color w:val="auto"/>
        </w:rPr>
      </w:pPr>
    </w:p>
    <w:p>
      <w:pPr>
        <w:ind w:left="240" w:right="120" w:hanging="6"/>
        <w:spacing w:after="0" w:line="286" w:lineRule="auto"/>
        <w:tabs>
          <w:tab w:leader="none" w:pos="372"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Times New Roman" w:cs="Times New Roman" w:eastAsia="Times New Roman" w:hAnsi="Times New Roman"/>
          <w:sz w:val="13"/>
          <w:szCs w:val="13"/>
          <w:color w:val="auto"/>
        </w:rPr>
      </w:pPr>
    </w:p>
    <w:p>
      <w:pPr>
        <w:ind w:left="240" w:right="180" w:hanging="6"/>
        <w:spacing w:after="0" w:line="286" w:lineRule="auto"/>
        <w:tabs>
          <w:tab w:leader="none" w:pos="372"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Times New Roman" w:cs="Times New Roman" w:eastAsia="Times New Roman" w:hAnsi="Times New Roman"/>
          <w:sz w:val="13"/>
          <w:szCs w:val="13"/>
          <w:color w:val="auto"/>
        </w:rPr>
      </w:pPr>
    </w:p>
    <w:p>
      <w:pPr>
        <w:ind w:left="480" w:right="160" w:hanging="6"/>
        <w:spacing w:after="0" w:line="286" w:lineRule="auto"/>
        <w:tabs>
          <w:tab w:leader="none" w:pos="615" w:val="left"/>
        </w:tabs>
        <w:numPr>
          <w:ilvl w:val="1"/>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75" w:lineRule="exact"/>
        <w:rPr>
          <w:rFonts w:ascii="Times New Roman" w:cs="Times New Roman" w:eastAsia="Times New Roman" w:hAnsi="Times New Roman"/>
          <w:sz w:val="13"/>
          <w:szCs w:val="13"/>
          <w:color w:val="auto"/>
        </w:rPr>
      </w:pPr>
    </w:p>
    <w:p>
      <w:pPr>
        <w:ind w:left="480" w:right="360" w:hanging="6"/>
        <w:spacing w:after="0" w:line="286" w:lineRule="auto"/>
        <w:tabs>
          <w:tab w:leader="none" w:pos="623" w:val="left"/>
        </w:tabs>
        <w:numPr>
          <w:ilvl w:val="1"/>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5" w:lineRule="exact"/>
        <w:rPr>
          <w:rFonts w:ascii="Times New Roman" w:cs="Times New Roman" w:eastAsia="Times New Roman" w:hAnsi="Times New Roman"/>
          <w:sz w:val="13"/>
          <w:szCs w:val="13"/>
          <w:color w:val="auto"/>
        </w:rPr>
      </w:pPr>
    </w:p>
    <w:p>
      <w:pPr>
        <w:ind w:left="480" w:right="520" w:hanging="6"/>
        <w:spacing w:after="0" w:line="286" w:lineRule="auto"/>
        <w:tabs>
          <w:tab w:leader="none" w:pos="615" w:val="left"/>
        </w:tabs>
        <w:numPr>
          <w:ilvl w:val="1"/>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Times New Roman" w:cs="Times New Roman" w:eastAsia="Times New Roman" w:hAnsi="Times New Roman"/>
          <w:sz w:val="13"/>
          <w:szCs w:val="13"/>
          <w:color w:val="auto"/>
        </w:rPr>
      </w:pPr>
    </w:p>
    <w:p>
      <w:pPr>
        <w:ind w:left="480" w:right="180" w:hanging="6"/>
        <w:spacing w:after="0" w:line="286" w:lineRule="auto"/>
        <w:tabs>
          <w:tab w:leader="none" w:pos="623" w:val="left"/>
        </w:tabs>
        <w:numPr>
          <w:ilvl w:val="1"/>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Times New Roman" w:cs="Times New Roman" w:eastAsia="Times New Roman" w:hAnsi="Times New Roman"/>
          <w:sz w:val="13"/>
          <w:szCs w:val="13"/>
          <w:color w:val="auto"/>
        </w:rPr>
      </w:pPr>
    </w:p>
    <w:p>
      <w:pPr>
        <w:ind w:left="240" w:right="40" w:hanging="6"/>
        <w:spacing w:after="0" w:line="286" w:lineRule="auto"/>
        <w:tabs>
          <w:tab w:leader="none" w:pos="372"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Times New Roman" w:cs="Times New Roman" w:eastAsia="Times New Roman" w:hAnsi="Times New Roman"/>
          <w:sz w:val="13"/>
          <w:szCs w:val="13"/>
          <w:color w:val="auto"/>
        </w:rPr>
      </w:pPr>
    </w:p>
    <w:p>
      <w:pPr>
        <w:ind w:left="480" w:right="240" w:hanging="6"/>
        <w:spacing w:after="0" w:line="286" w:lineRule="auto"/>
        <w:tabs>
          <w:tab w:leader="none" w:pos="615" w:val="left"/>
        </w:tabs>
        <w:numPr>
          <w:ilvl w:val="1"/>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Times New Roman" w:cs="Times New Roman" w:eastAsia="Times New Roman" w:hAnsi="Times New Roman"/>
          <w:sz w:val="13"/>
          <w:szCs w:val="13"/>
          <w:color w:val="auto"/>
        </w:rPr>
      </w:pPr>
    </w:p>
    <w:p>
      <w:pPr>
        <w:ind w:left="620" w:hanging="146"/>
        <w:spacing w:after="0"/>
        <w:tabs>
          <w:tab w:leader="none" w:pos="620" w:val="left"/>
        </w:tabs>
        <w:numPr>
          <w:ilvl w:val="1"/>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January 23,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Arthur H. Penn</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10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Arthur H. Penn</w:t>
            </w:r>
          </w:p>
        </w:tc>
      </w:tr>
      <w:tr>
        <w:trPr>
          <w:trHeight w:val="172"/>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10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Chief Executive Officer</w:t>
            </w:r>
          </w:p>
        </w:tc>
      </w:tr>
      <w:tr>
        <w:trPr>
          <w:trHeight w:val="740"/>
        </w:trPr>
        <w:tc>
          <w:tcPr>
            <w:tcW w:w="440" w:type="dxa"/>
            <w:vAlign w:val="bottom"/>
            <w:tcBorders>
              <w:bottom w:val="single" w:sz="8" w:color="EEEEEE"/>
            </w:tcBorders>
          </w:tcPr>
          <w:p>
            <w:pPr>
              <w:spacing w:after="0"/>
              <w:rPr>
                <w:sz w:val="24"/>
                <w:szCs w:val="24"/>
                <w:color w:val="auto"/>
              </w:rPr>
            </w:pPr>
          </w:p>
        </w:tc>
        <w:tc>
          <w:tcPr>
            <w:tcW w:w="10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012" w:right="680"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2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b w:val="1"/>
          <w:bCs w:val="1"/>
          <w:color w:val="auto"/>
        </w:rPr>
        <w:t>CERTIFICATION PURSUANT TO SECTION 302</w:t>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3"/>
          <w:szCs w:val="13"/>
          <w:b w:val="1"/>
          <w:bCs w:val="1"/>
          <w:color w:val="auto"/>
        </w:rPr>
        <w:t>CHIEF FINANCIAL OFFICER CERTIFICATION</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Richard T. Allorto, Jr., Chief Financial Officer of PennantPark Investment Corporation, certify that:</w:t>
      </w:r>
    </w:p>
    <w:p>
      <w:pPr>
        <w:spacing w:after="0" w:line="163" w:lineRule="exact"/>
        <w:rPr>
          <w:sz w:val="20"/>
          <w:szCs w:val="20"/>
          <w:color w:val="auto"/>
        </w:rPr>
      </w:pPr>
    </w:p>
    <w:p>
      <w:pPr>
        <w:ind w:left="140" w:hanging="134"/>
        <w:spacing w:after="0"/>
        <w:tabs>
          <w:tab w:leader="none" w:pos="1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10-K/A of PennantPark Investment Corporation;</w:t>
      </w:r>
    </w:p>
    <w:p>
      <w:pPr>
        <w:spacing w:after="0" w:line="162" w:lineRule="exact"/>
        <w:rPr>
          <w:rFonts w:ascii="Times New Roman" w:cs="Times New Roman" w:eastAsia="Times New Roman" w:hAnsi="Times New Roman"/>
          <w:sz w:val="13"/>
          <w:szCs w:val="13"/>
          <w:color w:val="auto"/>
        </w:rPr>
      </w:pPr>
    </w:p>
    <w:p>
      <w:pPr>
        <w:ind w:right="280" w:firstLine="6"/>
        <w:spacing w:after="0" w:line="286" w:lineRule="auto"/>
        <w:tabs>
          <w:tab w:leader="none" w:pos="132"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3"/>
          <w:szCs w:val="13"/>
          <w:color w:val="auto"/>
        </w:rPr>
      </w:pPr>
    </w:p>
    <w:p>
      <w:pPr>
        <w:ind w:right="80" w:firstLine="6"/>
        <w:spacing w:after="0" w:line="286" w:lineRule="auto"/>
        <w:tabs>
          <w:tab w:leader="none" w:pos="132"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3"/>
          <w:szCs w:val="13"/>
          <w:color w:val="auto"/>
        </w:rPr>
      </w:pPr>
    </w:p>
    <w:p>
      <w:pPr>
        <w:ind w:right="180" w:firstLine="6"/>
        <w:spacing w:after="0" w:line="286" w:lineRule="auto"/>
        <w:tabs>
          <w:tab w:leader="none" w:pos="132"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Times New Roman" w:cs="Times New Roman" w:eastAsia="Times New Roman" w:hAnsi="Times New Roman"/>
          <w:sz w:val="13"/>
          <w:szCs w:val="13"/>
          <w:color w:val="auto"/>
        </w:rPr>
      </w:pPr>
    </w:p>
    <w:p>
      <w:pPr>
        <w:ind w:left="480" w:right="160" w:hanging="6"/>
        <w:spacing w:after="0" w:line="286" w:lineRule="auto"/>
        <w:tabs>
          <w:tab w:leader="none" w:pos="615" w:val="left"/>
        </w:tabs>
        <w:numPr>
          <w:ilvl w:val="1"/>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11" w:lineRule="exact"/>
        <w:rPr>
          <w:rFonts w:ascii="Times New Roman" w:cs="Times New Roman" w:eastAsia="Times New Roman" w:hAnsi="Times New Roman"/>
          <w:sz w:val="13"/>
          <w:szCs w:val="13"/>
          <w:color w:val="auto"/>
        </w:rPr>
      </w:pPr>
    </w:p>
    <w:p>
      <w:pPr>
        <w:ind w:left="480" w:right="360" w:hanging="6"/>
        <w:spacing w:after="0" w:line="286" w:lineRule="auto"/>
        <w:tabs>
          <w:tab w:leader="none" w:pos="623" w:val="left"/>
        </w:tabs>
        <w:numPr>
          <w:ilvl w:val="1"/>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Times New Roman" w:cs="Times New Roman" w:eastAsia="Times New Roman" w:hAnsi="Times New Roman"/>
          <w:sz w:val="13"/>
          <w:szCs w:val="13"/>
          <w:color w:val="auto"/>
        </w:rPr>
      </w:pPr>
    </w:p>
    <w:p>
      <w:pPr>
        <w:ind w:left="480" w:right="520" w:hanging="6"/>
        <w:spacing w:after="0" w:line="286" w:lineRule="auto"/>
        <w:tabs>
          <w:tab w:leader="none" w:pos="615" w:val="left"/>
        </w:tabs>
        <w:numPr>
          <w:ilvl w:val="1"/>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3"/>
          <w:szCs w:val="13"/>
          <w:color w:val="auto"/>
        </w:rPr>
      </w:pPr>
    </w:p>
    <w:p>
      <w:pPr>
        <w:ind w:left="480" w:right="180" w:hanging="6"/>
        <w:spacing w:after="0" w:line="286" w:lineRule="auto"/>
        <w:tabs>
          <w:tab w:leader="none" w:pos="623" w:val="left"/>
        </w:tabs>
        <w:numPr>
          <w:ilvl w:val="1"/>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3"/>
          <w:szCs w:val="13"/>
          <w:color w:val="auto"/>
        </w:rPr>
      </w:pPr>
    </w:p>
    <w:p>
      <w:pPr>
        <w:ind w:right="120" w:firstLine="6"/>
        <w:spacing w:after="0" w:line="286" w:lineRule="auto"/>
        <w:tabs>
          <w:tab w:leader="none" w:pos="132"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3"/>
          <w:szCs w:val="13"/>
          <w:color w:val="auto"/>
        </w:rPr>
      </w:pPr>
    </w:p>
    <w:p>
      <w:pPr>
        <w:ind w:left="480" w:right="240" w:hanging="6"/>
        <w:spacing w:after="0" w:line="286" w:lineRule="auto"/>
        <w:tabs>
          <w:tab w:leader="none" w:pos="615" w:val="left"/>
        </w:tabs>
        <w:numPr>
          <w:ilvl w:val="1"/>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3"/>
          <w:szCs w:val="13"/>
          <w:color w:val="auto"/>
        </w:rPr>
      </w:pPr>
    </w:p>
    <w:p>
      <w:pPr>
        <w:ind w:left="620" w:hanging="146"/>
        <w:spacing w:after="0"/>
        <w:tabs>
          <w:tab w:leader="none" w:pos="620" w:val="left"/>
        </w:tabs>
        <w:numPr>
          <w:ilvl w:val="1"/>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January 23,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Richard T. Allorto, Jr.</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860" w:type="dxa"/>
            <w:vAlign w:val="bottom"/>
            <w:tcBorders>
              <w:top w:val="single" w:sz="8" w:color="auto"/>
            </w:tcBorders>
          </w:tcPr>
          <w:p>
            <w:pPr>
              <w:spacing w:after="0" w:line="137" w:lineRule="exact"/>
              <w:rPr>
                <w:sz w:val="20"/>
                <w:szCs w:val="20"/>
                <w:color w:val="auto"/>
              </w:rPr>
            </w:pPr>
            <w:r>
              <w:rPr>
                <w:rFonts w:ascii="Times New Roman" w:cs="Times New Roman" w:eastAsia="Times New Roman" w:hAnsi="Times New Roman"/>
                <w:sz w:val="13"/>
                <w:szCs w:val="13"/>
                <w:color w:val="auto"/>
              </w:rPr>
              <w:t>Name:</w:t>
            </w:r>
          </w:p>
        </w:tc>
        <w:tc>
          <w:tcPr>
            <w:tcW w:w="2520" w:type="dxa"/>
            <w:vAlign w:val="bottom"/>
            <w:tcBorders>
              <w:top w:val="single" w:sz="8" w:color="auto"/>
            </w:tcBorders>
          </w:tcPr>
          <w:p>
            <w:pPr>
              <w:ind w:left="520"/>
              <w:spacing w:after="0" w:line="137" w:lineRule="exact"/>
              <w:rPr>
                <w:sz w:val="20"/>
                <w:szCs w:val="20"/>
                <w:color w:val="auto"/>
              </w:rPr>
            </w:pPr>
            <w:r>
              <w:rPr>
                <w:rFonts w:ascii="Times New Roman" w:cs="Times New Roman" w:eastAsia="Times New Roman" w:hAnsi="Times New Roman"/>
                <w:sz w:val="13"/>
                <w:szCs w:val="13"/>
                <w:color w:val="auto"/>
              </w:rPr>
              <w:t>Richard T. Allorto, Jr.</w:t>
            </w:r>
          </w:p>
        </w:tc>
        <w:tc>
          <w:tcPr>
            <w:tcW w:w="7180" w:type="dxa"/>
            <w:vAlign w:val="bottom"/>
          </w:tcPr>
          <w:p>
            <w:pPr>
              <w:spacing w:after="0"/>
              <w:rPr>
                <w:sz w:val="11"/>
                <w:szCs w:val="11"/>
                <w:color w:val="auto"/>
              </w:rPr>
            </w:pPr>
          </w:p>
        </w:tc>
      </w:tr>
      <w:tr>
        <w:trPr>
          <w:trHeight w:val="172"/>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97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860"/>
        </w:trPr>
        <w:tc>
          <w:tcPr>
            <w:tcW w:w="860" w:type="dxa"/>
            <w:vAlign w:val="bottom"/>
            <w:tcBorders>
              <w:bottom w:val="single" w:sz="8" w:color="EEEEEE"/>
            </w:tcBorders>
          </w:tcPr>
          <w:p>
            <w:pPr>
              <w:spacing w:after="0"/>
              <w:rPr>
                <w:sz w:val="24"/>
                <w:szCs w:val="24"/>
                <w:color w:val="auto"/>
              </w:rPr>
            </w:pPr>
          </w:p>
        </w:tc>
        <w:tc>
          <w:tcPr>
            <w:tcW w:w="2520" w:type="dxa"/>
            <w:vAlign w:val="bottom"/>
            <w:tcBorders>
              <w:bottom w:val="single" w:sz="8" w:color="EEEEEE"/>
            </w:tcBorders>
          </w:tcPr>
          <w:p>
            <w:pPr>
              <w:spacing w:after="0"/>
              <w:rPr>
                <w:sz w:val="24"/>
                <w:szCs w:val="24"/>
                <w:color w:val="auto"/>
              </w:rPr>
            </w:pPr>
          </w:p>
        </w:tc>
        <w:tc>
          <w:tcPr>
            <w:tcW w:w="71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59" w:name="page60"/>
    <w:bookmarkEnd w:id="59"/>
    <w:p>
      <w:pPr>
        <w:ind w:left="9740"/>
        <w:spacing w:after="0"/>
        <w:rPr>
          <w:sz w:val="20"/>
          <w:szCs w:val="20"/>
          <w:color w:val="auto"/>
        </w:rPr>
      </w:pPr>
      <w:r>
        <w:rPr>
          <w:rFonts w:ascii="Times New Roman" w:cs="Times New Roman" w:eastAsia="Times New Roman" w:hAnsi="Times New Roman"/>
          <w:sz w:val="13"/>
          <w:szCs w:val="13"/>
          <w:b w:val="1"/>
          <w:bCs w:val="1"/>
          <w:color w:val="auto"/>
        </w:rPr>
        <w:t>EXHIBIT 32.1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 (18 U.S.C. Section 1350)</w:t>
      </w:r>
    </w:p>
    <w:p>
      <w:pPr>
        <w:spacing w:after="0" w:line="113" w:lineRule="exact"/>
        <w:rPr>
          <w:sz w:val="20"/>
          <w:szCs w:val="20"/>
          <w:color w:val="auto"/>
        </w:rPr>
      </w:pPr>
    </w:p>
    <w:p>
      <w:pPr>
        <w:ind w:right="260" w:firstLine="468"/>
        <w:spacing w:after="0" w:line="286" w:lineRule="auto"/>
        <w:rPr>
          <w:sz w:val="20"/>
          <w:szCs w:val="20"/>
          <w:color w:val="auto"/>
        </w:rPr>
      </w:pPr>
      <w:r>
        <w:rPr>
          <w:rFonts w:ascii="Times New Roman" w:cs="Times New Roman" w:eastAsia="Times New Roman" w:hAnsi="Times New Roman"/>
          <w:sz w:val="13"/>
          <w:szCs w:val="13"/>
          <w:color w:val="auto"/>
        </w:rPr>
        <w:t>In connection with the Annual Report on Form 10- K/A of PennantPark Investment Corporation for the annual period ended September 30, 2025 as filed with the Securities and Exchange Commission on the date hereof (the “Report”), I, Arthur H. Penn, as Chief Executive Officer of the Registrant hereby certify, to the best of my knowledge that:</w:t>
      </w:r>
    </w:p>
    <w:p>
      <w:pPr>
        <w:spacing w:after="0" w:line="76" w:lineRule="exact"/>
        <w:rPr>
          <w:sz w:val="20"/>
          <w:szCs w:val="20"/>
          <w:color w:val="auto"/>
        </w:rPr>
      </w:pPr>
    </w:p>
    <w:p>
      <w:pPr>
        <w:ind w:left="420" w:hanging="186"/>
        <w:spacing w:after="0"/>
        <w:tabs>
          <w:tab w:leader="none" w:pos="4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126" w:lineRule="exact"/>
        <w:rPr>
          <w:rFonts w:ascii="Times New Roman" w:cs="Times New Roman" w:eastAsia="Times New Roman" w:hAnsi="Times New Roman"/>
          <w:sz w:val="13"/>
          <w:szCs w:val="13"/>
          <w:color w:val="auto"/>
        </w:rPr>
      </w:pPr>
    </w:p>
    <w:p>
      <w:pPr>
        <w:ind w:left="420" w:hanging="186"/>
        <w:spacing w:after="0"/>
        <w:tabs>
          <w:tab w:leader="none" w:pos="4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Registrant.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Arthur H. Penn</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10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Arthur H. Penn</w:t>
            </w:r>
          </w:p>
        </w:tc>
      </w:tr>
      <w:tr>
        <w:trPr>
          <w:trHeight w:val="156"/>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10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Chief Executive Officer</w:t>
            </w:r>
          </w:p>
        </w:tc>
      </w:tr>
      <w:tr>
        <w:trPr>
          <w:trHeight w:val="172"/>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Date:</w:t>
            </w:r>
          </w:p>
        </w:tc>
        <w:tc>
          <w:tcPr>
            <w:tcW w:w="10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January 23, 2026</w:t>
            </w:r>
          </w:p>
        </w:tc>
      </w:tr>
      <w:tr>
        <w:trPr>
          <w:trHeight w:val="740"/>
        </w:trPr>
        <w:tc>
          <w:tcPr>
            <w:tcW w:w="440" w:type="dxa"/>
            <w:vAlign w:val="bottom"/>
            <w:tcBorders>
              <w:bottom w:val="single" w:sz="8" w:color="EEEEEE"/>
            </w:tcBorders>
          </w:tcPr>
          <w:p>
            <w:pPr>
              <w:spacing w:after="0"/>
              <w:rPr>
                <w:sz w:val="24"/>
                <w:szCs w:val="24"/>
                <w:color w:val="auto"/>
              </w:rPr>
            </w:pPr>
          </w:p>
        </w:tc>
        <w:tc>
          <w:tcPr>
            <w:tcW w:w="10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012" w:right="680" w:bottom="1440" w:gutter="0" w:footer="0" w:header="0"/>
        </w:sectPr>
      </w:pPr>
    </w:p>
    <w:bookmarkStart w:id="60" w:name="page61"/>
    <w:bookmarkEnd w:id="60"/>
    <w:p>
      <w:pPr>
        <w:ind w:left="9740"/>
        <w:spacing w:after="0"/>
        <w:rPr>
          <w:sz w:val="20"/>
          <w:szCs w:val="20"/>
          <w:color w:val="auto"/>
        </w:rPr>
      </w:pPr>
      <w:r>
        <w:rPr>
          <w:rFonts w:ascii="Times New Roman" w:cs="Times New Roman" w:eastAsia="Times New Roman" w:hAnsi="Times New Roman"/>
          <w:sz w:val="13"/>
          <w:szCs w:val="13"/>
          <w:b w:val="1"/>
          <w:bCs w:val="1"/>
          <w:color w:val="auto"/>
        </w:rPr>
        <w:t>EXHIBIT 32.2</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 (18 U.S.C. Section 1350)</w:t>
      </w:r>
    </w:p>
    <w:p>
      <w:pPr>
        <w:spacing w:after="0" w:line="113" w:lineRule="exact"/>
        <w:rPr>
          <w:sz w:val="20"/>
          <w:szCs w:val="20"/>
          <w:color w:val="auto"/>
        </w:rPr>
      </w:pPr>
    </w:p>
    <w:p>
      <w:pPr>
        <w:ind w:right="260" w:firstLine="468"/>
        <w:spacing w:after="0" w:line="286" w:lineRule="auto"/>
        <w:rPr>
          <w:sz w:val="20"/>
          <w:szCs w:val="20"/>
          <w:color w:val="auto"/>
        </w:rPr>
      </w:pPr>
      <w:r>
        <w:rPr>
          <w:rFonts w:ascii="Times New Roman" w:cs="Times New Roman" w:eastAsia="Times New Roman" w:hAnsi="Times New Roman"/>
          <w:sz w:val="13"/>
          <w:szCs w:val="13"/>
          <w:color w:val="auto"/>
        </w:rPr>
        <w:t>In connection with the Annual Report on Form 10-K/A of PennantPark Investment Corporation for the annual period ended September 30, 2025 as filed with the Securities and Exchange Commission on the date hereof (the “Report”), I, Richard T. Allorto, Jr., as Chief Financial Officer of the Registrant hereby certify, to the best of my knowledge that:</w:t>
      </w:r>
    </w:p>
    <w:p>
      <w:pPr>
        <w:spacing w:after="0" w:line="76" w:lineRule="exact"/>
        <w:rPr>
          <w:sz w:val="20"/>
          <w:szCs w:val="20"/>
          <w:color w:val="auto"/>
        </w:rPr>
      </w:pPr>
    </w:p>
    <w:p>
      <w:pPr>
        <w:ind w:left="420" w:hanging="186"/>
        <w:spacing w:after="0"/>
        <w:tabs>
          <w:tab w:leader="none" w:pos="4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126" w:lineRule="exact"/>
        <w:rPr>
          <w:rFonts w:ascii="Times New Roman" w:cs="Times New Roman" w:eastAsia="Times New Roman" w:hAnsi="Times New Roman"/>
          <w:sz w:val="13"/>
          <w:szCs w:val="13"/>
          <w:color w:val="auto"/>
        </w:rPr>
      </w:pPr>
    </w:p>
    <w:p>
      <w:pPr>
        <w:ind w:left="420" w:hanging="186"/>
        <w:spacing w:after="0"/>
        <w:tabs>
          <w:tab w:leader="none" w:pos="4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Registrant.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Richard Allorto</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10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Richard T. Allorto, Jr.</w:t>
            </w:r>
          </w:p>
        </w:tc>
      </w:tr>
      <w:tr>
        <w:trPr>
          <w:trHeight w:val="156"/>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10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172"/>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Date:</w:t>
            </w:r>
          </w:p>
        </w:tc>
        <w:tc>
          <w:tcPr>
            <w:tcW w:w="10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January 23, 2026</w:t>
            </w:r>
          </w:p>
        </w:tc>
      </w:tr>
      <w:tr>
        <w:trPr>
          <w:trHeight w:val="896"/>
        </w:trPr>
        <w:tc>
          <w:tcPr>
            <w:tcW w:w="440" w:type="dxa"/>
            <w:vAlign w:val="bottom"/>
            <w:tcBorders>
              <w:bottom w:val="single" w:sz="8" w:color="EEEEEE"/>
            </w:tcBorders>
          </w:tcPr>
          <w:p>
            <w:pPr>
              <w:spacing w:after="0"/>
              <w:rPr>
                <w:sz w:val="24"/>
                <w:szCs w:val="24"/>
                <w:color w:val="auto"/>
              </w:rPr>
            </w:pPr>
          </w:p>
        </w:tc>
        <w:tc>
          <w:tcPr>
            <w:tcW w:w="10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012" w:right="680" w:bottom="1440" w:gutter="0" w:footer="0" w:header="0"/>
        </w:sectPr>
      </w:pPr>
    </w:p>
    <w:bookmarkStart w:id="61" w:name="page62"/>
    <w:bookmarkEnd w:id="61"/>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3"/>
    </w:lvl>
    <w:lvl w:ilvl="1">
      <w:lvlJc w:val="left"/>
      <w:lvlText w:val="(%2)"/>
      <w:numFmt w:val="lowerLetter"/>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4" Type="http://schemas.openxmlformats.org/officeDocument/2006/relationships/image" Target="media/image54.png"/><Relationship Id="rId92" Type="http://schemas.openxmlformats.org/officeDocument/2006/relationships/image" Target="media/image55.png"/><Relationship Id="rId94" Type="http://schemas.openxmlformats.org/officeDocument/2006/relationships/image" Target="media/image56.png"/><Relationship Id="rId95" Type="http://schemas.openxmlformats.org/officeDocument/2006/relationships/image" Target="media/image57.png"/><Relationship Id="rId96" Type="http://schemas.openxmlformats.org/officeDocument/2006/relationships/image" Target="media/image58.png"/><Relationship Id="rId97" Type="http://schemas.openxmlformats.org/officeDocument/2006/relationships/image" Target="media/image59.png"/><Relationship Id="rId98" Type="http://schemas.openxmlformats.org/officeDocument/2006/relationships/image" Target="media/image60.png"/><Relationship Id="rId99" Type="http://schemas.openxmlformats.org/officeDocument/2006/relationships/image" Target="media/image61.png"/><Relationship Id="rId61" Type="http://schemas.openxmlformats.org/officeDocument/2006/relationships/hyperlink" Target="https://www.sec.gov/Archives/edgar/data/1383414/000119312507075646/dex99a.htm" TargetMode="External"/><Relationship Id="rId62" Type="http://schemas.openxmlformats.org/officeDocument/2006/relationships/hyperlink" Target="https://www.sec.gov/Archives/edgar/data/1383414/000095017024092751/pnnt-ex3_2.htm" TargetMode="External"/><Relationship Id="rId63" Type="http://schemas.openxmlformats.org/officeDocument/2006/relationships/hyperlink" Target="https://www.sec.gov/Archives/edgar/data/1383414/000156459020024172/pnnt-ex32_163.htm" TargetMode="External"/><Relationship Id="rId64" Type="http://schemas.openxmlformats.org/officeDocument/2006/relationships/hyperlink" Target="https://www.sec.gov/Archives/edgar/data/1383414/000119312508072557/dex99d1.htm" TargetMode="External"/><Relationship Id="rId65" Type="http://schemas.openxmlformats.org/officeDocument/2006/relationships/hyperlink" Target="https://www.sec.gov/Archives/edgar/data/1383414/000119312513018556/d470556dex99d8.htm" TargetMode="External"/><Relationship Id="rId66" Type="http://schemas.openxmlformats.org/officeDocument/2006/relationships/hyperlink" Target="https://www.sec.gov/Archives/edgar/data/1383414/000119312521125241/d124015dex41.htm" TargetMode="External"/><Relationship Id="rId67" Type="http://schemas.openxmlformats.org/officeDocument/2006/relationships/hyperlink" Target="https://www.sec.gov/Archives/edgar/data/1383414/000119312521303994/d236895dex41.htm" TargetMode="External"/><Relationship Id="rId68" Type="http://schemas.openxmlformats.org/officeDocument/2006/relationships/hyperlink" Target="https://www.sec.gov/Archives/edgar/data/1383414/000156459019044110/pnnt-ex47_7.htm" TargetMode="External"/><Relationship Id="rId69" Type="http://schemas.openxmlformats.org/officeDocument/2006/relationships/hyperlink" Target="https://www.sec.gov/Archives/edgar/data/1383414/000095017024092751/pnnt-ex10_2.htm" TargetMode="External"/><Relationship Id="rId70" Type="http://schemas.openxmlformats.org/officeDocument/2006/relationships/hyperlink" Target="https://www.sec.gov/Archives/edgar/data/1383414/000119312508072557/dex99e.htm" TargetMode="External"/><Relationship Id="rId71" Type="http://schemas.openxmlformats.org/officeDocument/2006/relationships/hyperlink" Target="https://www.sec.gov/Archives/edgar/data/1383414/000156459017015976/pnnt-ex101_12.htm" TargetMode="External"/><Relationship Id="rId72" Type="http://schemas.openxmlformats.org/officeDocument/2006/relationships/hyperlink" Target="https://www.sec.gov/Archives/edgar/data/1383414/000119312516773701/d285279dex105.htm" TargetMode="External"/><Relationship Id="rId73" Type="http://schemas.openxmlformats.org/officeDocument/2006/relationships/hyperlink" Target="https://www.sec.gov/Archives/edgar/data/1383414/000119312525293703/pnnt-ex10_5.htm" TargetMode="External"/><Relationship Id="rId75" Type="http://schemas.openxmlformats.org/officeDocument/2006/relationships/hyperlink" Target="https://www.sec.gov/Archives/edgar/data/1383414/000119312519240958/d761962dex101.htm" TargetMode="External"/><Relationship Id="rId76" Type="http://schemas.openxmlformats.org/officeDocument/2006/relationships/hyperlink" Target="https://www.sec.gov/Archives/edgar/data/1383414/000119312520208851/d41849dex101.htm" TargetMode="External"/><Relationship Id="rId77" Type="http://schemas.openxmlformats.org/officeDocument/2006/relationships/hyperlink" Target="https://www.sec.gov/Archives/edgar/data/1383414/000156459020054639/pnnt-ex1012_753.htm" TargetMode="External"/><Relationship Id="rId78" Type="http://schemas.openxmlformats.org/officeDocument/2006/relationships/hyperlink" Target="https://www.sec.gov/Archives/edgar/data/1383414/000119312524213244/d879195dex101.htm" TargetMode="External"/><Relationship Id="rId79" Type="http://schemas.openxmlformats.org/officeDocument/2006/relationships/hyperlink" Target="https://www.sec.gov/Archives/edgar/data/1383414/000095017022014227/pnnt-ex10_2.htm" TargetMode="External"/><Relationship Id="rId80" Type="http://schemas.openxmlformats.org/officeDocument/2006/relationships/hyperlink" Target="https://www.sec.gov/Archives/edgar/data/1383414/000119312524154397/d732456dex11.htm" TargetMode="External"/><Relationship Id="rId81" Type="http://schemas.openxmlformats.org/officeDocument/2006/relationships/hyperlink" Target="https://www.sec.gov/Archives/edgar/data/1383414/000119312524154397/d732456dex12.htm" TargetMode="External"/><Relationship Id="rId82" Type="http://schemas.openxmlformats.org/officeDocument/2006/relationships/hyperlink" Target="https://www.sec.gov/Archives/edgar/data/1383414/000095017024092751/pnnt-ex10_5.htm" TargetMode="External"/><Relationship Id="rId83" Type="http://schemas.openxmlformats.org/officeDocument/2006/relationships/hyperlink" Target="https://www.sec.gov/Archives/edgar/data/1383414/000095017025017048/pnnt-ex10_1.htm" TargetMode="External"/><Relationship Id="rId84" Type="http://schemas.openxmlformats.org/officeDocument/2006/relationships/hyperlink" Target="https://www.sec.gov/Archives/edgar/data/1383414/000119312525293703/pnnt-ex14_1.htm" TargetMode="External"/><Relationship Id="rId85" Type="http://schemas.openxmlformats.org/officeDocument/2006/relationships/hyperlink" Target="https://www.sec.gov/Archives/edgar/data/1383414/000095017023068909/pnnt-ex14_1.htm" TargetMode="External"/><Relationship Id="rId86" Type="http://schemas.openxmlformats.org/officeDocument/2006/relationships/hyperlink" Target="https://www.sec.gov/Archives/edgar/data/1383414/000119312525293703/pnnt-ex21_1.htm" TargetMode="External"/><Relationship Id="rId87" Type="http://schemas.openxmlformats.org/officeDocument/2006/relationships/hyperlink" Target="https://www.sec.gov/Archives/edgar/data/1383414/000119312525293703/pnnt-ex23_1.htm" TargetMode="External"/><Relationship Id="rId88" Type="http://schemas.openxmlformats.org/officeDocument/2006/relationships/hyperlink" Target="https://www.sec.gov/Archives/edgar/data/1383414/000095017023068909/pnnt-ex97_1.htm" TargetMode="External"/><Relationship Id="rId89" Type="http://schemas.openxmlformats.org/officeDocument/2006/relationships/hyperlink" Target="https://www.sec.gov/Archives/edgar/data/1383414/000095017023068909/pnnt-ex99_1.htm" TargetMode="External"/><Relationship Id="rId90" Type="http://schemas.openxmlformats.org/officeDocument/2006/relationships/hyperlink" Target="https://www.sec.gov/Archives/edgar/data/1383414/000119312525293703/pnnt-ex99_2.htm" TargetMode="External"/><Relationship Id="rId91" Type="http://schemas.openxmlformats.org/officeDocument/2006/relationships/hyperlink" Target="https://www.sec.gov/Archives/edgar/data/1383414/000119312525293703/pnnt-ex99_3.htm" TargetMode="External"/><Relationship Id="rId93" Type="http://schemas.openxmlformats.org/officeDocument/2006/relationships/hyperlink" Target="https://www.sec.gov/Archives/edgar/data/1383414/000119312525293703/pnnt-ex99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2026-01-23T22:02:03Z</dcterms:created>
  <dcterms:modified xsi:type="dcterms:W3CDTF">2026-01-23T22:02:03Z</dcterms:modified>
</cp:coreProperties>
</file>