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29,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0" w:lineRule="exact"/>
        <w:rPr>
          <w:sz w:val="24"/>
          <w:szCs w:val="24"/>
          <w:color w:val="auto"/>
        </w:rPr>
      </w:pP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On November 29, 2017, PennantPark Investment Corporation issued a press release announcing its financial results for the fourth quarter and fiscal year ended September 30, 2017. A copy of the press release is furnished as Exhibit 99.1 to this report pursuant to Item 2.02 on Form 8-K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40" w:right="9340" w:hanging="232"/>
        <w:spacing w:after="0" w:line="261" w:lineRule="auto"/>
        <w:tabs>
          <w:tab w:leader="none" w:pos="27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left="240" w:right="8440" w:hanging="232"/>
        <w:spacing w:after="0" w:line="25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240" w:right="8820" w:hanging="232"/>
        <w:spacing w:after="0" w:line="25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24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November 29,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740" w:type="dxa"/>
            <w:vAlign w:val="bottom"/>
            <w:gridSpan w:val="3"/>
          </w:tcPr>
          <w:p>
            <w:pPr>
              <w:ind w:left="180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November 29, 2017</w:t>
            </w:r>
          </w:p>
        </w:tc>
        <w:tc>
          <w:tcPr>
            <w:tcW w:w="4740" w:type="dxa"/>
            <w:vAlign w:val="bottom"/>
            <w:gridSpan w:val="3"/>
          </w:tcPr>
          <w:p>
            <w:pPr>
              <w:ind w:left="1800"/>
              <w:spacing w:after="0"/>
              <w:rPr>
                <w:sz w:val="20"/>
                <w:szCs w:val="20"/>
                <w:color w:val="auto"/>
              </w:rPr>
            </w:pPr>
            <w:r>
              <w:rPr>
                <w:rFonts w:ascii="Arial" w:cs="Arial" w:eastAsia="Arial" w:hAnsi="Arial"/>
                <w:sz w:val="18"/>
                <w:szCs w:val="18"/>
                <w:color w:val="auto"/>
              </w:rPr>
              <w:t>By: /s/ Aviv Efrat</w:t>
            </w:r>
          </w:p>
        </w:tc>
      </w:tr>
      <w:tr>
        <w:trPr>
          <w:trHeight w:val="222"/>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spacing w:after="0" w:line="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PennantPark Investment Corporation Announces Financial Results for the Fourth Quarter and Fiscal Year Ended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September 30, 2017</w:t>
      </w:r>
    </w:p>
    <w:p>
      <w:pPr>
        <w:spacing w:after="0" w:line="188"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NEW YORK, Nov. 29, 2017 (GLOBE NEWSWIRE) -- PennantPark Investment Corporation (NASDAQ:PNNT) announced today financial results for the fourth quarter and fiscal year ended September 30, 2017.</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Quarter ended September 30, 2017</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color w:val="auto"/>
        </w:rPr>
        <w:t>($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080" w:type="dxa"/>
            <w:vAlign w:val="bottom"/>
          </w:tcPr>
          <w:p>
            <w:pPr>
              <w:spacing w:after="0"/>
              <w:rPr>
                <w:sz w:val="20"/>
                <w:szCs w:val="20"/>
                <w:color w:val="auto"/>
              </w:rPr>
            </w:pPr>
            <w:r>
              <w:rPr>
                <w:rFonts w:ascii="Arial" w:cs="Arial" w:eastAsia="Arial" w:hAnsi="Arial"/>
                <w:sz w:val="22"/>
                <w:szCs w:val="22"/>
                <w:color w:val="auto"/>
              </w:rPr>
              <w:t>Assets and Liabilities:</w:t>
            </w: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70"/>
        </w:trPr>
        <w:tc>
          <w:tcPr>
            <w:tcW w:w="6080" w:type="dxa"/>
            <w:vAlign w:val="bottom"/>
          </w:tcPr>
          <w:p>
            <w:pPr>
              <w:ind w:left="100"/>
              <w:spacing w:after="0"/>
              <w:rPr>
                <w:sz w:val="20"/>
                <w:szCs w:val="20"/>
                <w:color w:val="auto"/>
              </w:rPr>
            </w:pPr>
            <w:r>
              <w:rPr>
                <w:rFonts w:ascii="Arial" w:cs="Arial" w:eastAsia="Arial" w:hAnsi="Arial"/>
                <w:sz w:val="22"/>
                <w:szCs w:val="22"/>
                <w:color w:val="auto"/>
              </w:rPr>
              <w:t>Investment portfolio</w:t>
            </w:r>
          </w:p>
        </w:tc>
        <w:tc>
          <w:tcPr>
            <w:tcW w:w="540" w:type="dxa"/>
            <w:vAlign w:val="bottom"/>
          </w:tcPr>
          <w:p>
            <w:pPr>
              <w:spacing w:after="0"/>
              <w:rPr>
                <w:sz w:val="23"/>
                <w:szCs w:val="23"/>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3"/>
                <w:szCs w:val="23"/>
                <w:color w:val="auto"/>
              </w:rPr>
            </w:pPr>
          </w:p>
        </w:tc>
        <w:tc>
          <w:tcPr>
            <w:tcW w:w="1860" w:type="dxa"/>
            <w:vAlign w:val="bottom"/>
          </w:tcPr>
          <w:p>
            <w:pPr>
              <w:jc w:val="right"/>
              <w:ind w:right="72"/>
              <w:spacing w:after="0"/>
              <w:rPr>
                <w:sz w:val="20"/>
                <w:szCs w:val="20"/>
                <w:color w:val="auto"/>
              </w:rPr>
            </w:pPr>
            <w:r>
              <w:rPr>
                <w:rFonts w:ascii="Arial" w:cs="Arial" w:eastAsia="Arial" w:hAnsi="Arial"/>
                <w:sz w:val="22"/>
                <w:szCs w:val="22"/>
                <w:color w:val="auto"/>
              </w:rPr>
              <w:t>1,153.6</w:t>
            </w:r>
          </w:p>
        </w:tc>
      </w:tr>
      <w:tr>
        <w:trPr>
          <w:trHeight w:val="270"/>
        </w:trPr>
        <w:tc>
          <w:tcPr>
            <w:tcW w:w="6080" w:type="dxa"/>
            <w:vAlign w:val="bottom"/>
          </w:tcPr>
          <w:p>
            <w:pPr>
              <w:ind w:left="100"/>
              <w:spacing w:after="0"/>
              <w:rPr>
                <w:sz w:val="20"/>
                <w:szCs w:val="20"/>
                <w:color w:val="auto"/>
              </w:rPr>
            </w:pPr>
            <w:r>
              <w:rPr>
                <w:rFonts w:ascii="Arial" w:cs="Arial" w:eastAsia="Arial" w:hAnsi="Arial"/>
                <w:sz w:val="22"/>
                <w:szCs w:val="22"/>
                <w:color w:val="auto"/>
              </w:rPr>
              <w:t>Net assets</w:t>
            </w:r>
          </w:p>
        </w:tc>
        <w:tc>
          <w:tcPr>
            <w:tcW w:w="540" w:type="dxa"/>
            <w:vAlign w:val="bottom"/>
          </w:tcPr>
          <w:p>
            <w:pPr>
              <w:spacing w:after="0"/>
              <w:rPr>
                <w:sz w:val="23"/>
                <w:szCs w:val="23"/>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3"/>
                <w:szCs w:val="23"/>
                <w:color w:val="auto"/>
              </w:rPr>
            </w:pPr>
          </w:p>
        </w:tc>
        <w:tc>
          <w:tcPr>
            <w:tcW w:w="1860" w:type="dxa"/>
            <w:vAlign w:val="bottom"/>
          </w:tcPr>
          <w:p>
            <w:pPr>
              <w:jc w:val="right"/>
              <w:ind w:right="72"/>
              <w:spacing w:after="0"/>
              <w:rPr>
                <w:sz w:val="20"/>
                <w:szCs w:val="20"/>
                <w:color w:val="auto"/>
              </w:rPr>
            </w:pPr>
            <w:r>
              <w:rPr>
                <w:rFonts w:ascii="Arial" w:cs="Arial" w:eastAsia="Arial" w:hAnsi="Arial"/>
                <w:sz w:val="22"/>
                <w:szCs w:val="22"/>
                <w:color w:val="auto"/>
              </w:rPr>
              <w:t>646.8</w:t>
            </w:r>
          </w:p>
        </w:tc>
      </w:tr>
      <w:tr>
        <w:trPr>
          <w:trHeight w:val="274"/>
        </w:trPr>
        <w:tc>
          <w:tcPr>
            <w:tcW w:w="6080" w:type="dxa"/>
            <w:vAlign w:val="bottom"/>
          </w:tcPr>
          <w:p>
            <w:pPr>
              <w:ind w:left="100"/>
              <w:spacing w:after="0"/>
              <w:rPr>
                <w:sz w:val="20"/>
                <w:szCs w:val="20"/>
                <w:color w:val="auto"/>
              </w:rPr>
            </w:pPr>
            <w:r>
              <w:rPr>
                <w:rFonts w:ascii="Arial" w:cs="Arial" w:eastAsia="Arial" w:hAnsi="Arial"/>
                <w:sz w:val="22"/>
                <w:szCs w:val="22"/>
                <w:color w:val="auto"/>
              </w:rPr>
              <w:t>Net asset value per share</w:t>
            </w:r>
          </w:p>
        </w:tc>
        <w:tc>
          <w:tcPr>
            <w:tcW w:w="540" w:type="dxa"/>
            <w:vAlign w:val="bottom"/>
          </w:tcPr>
          <w:p>
            <w:pPr>
              <w:spacing w:after="0"/>
              <w:rPr>
                <w:sz w:val="23"/>
                <w:szCs w:val="23"/>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3"/>
                <w:szCs w:val="23"/>
                <w:color w:val="auto"/>
              </w:rPr>
            </w:pPr>
          </w:p>
        </w:tc>
        <w:tc>
          <w:tcPr>
            <w:tcW w:w="1860" w:type="dxa"/>
            <w:vAlign w:val="bottom"/>
          </w:tcPr>
          <w:p>
            <w:pPr>
              <w:jc w:val="right"/>
              <w:ind w:right="72"/>
              <w:spacing w:after="0"/>
              <w:rPr>
                <w:sz w:val="20"/>
                <w:szCs w:val="20"/>
                <w:color w:val="auto"/>
              </w:rPr>
            </w:pPr>
            <w:r>
              <w:rPr>
                <w:rFonts w:ascii="Arial" w:cs="Arial" w:eastAsia="Arial" w:hAnsi="Arial"/>
                <w:sz w:val="22"/>
                <w:szCs w:val="22"/>
                <w:color w:val="auto"/>
              </w:rPr>
              <w:t>9.10</w:t>
            </w:r>
          </w:p>
        </w:tc>
      </w:tr>
      <w:tr>
        <w:trPr>
          <w:trHeight w:val="536"/>
        </w:trPr>
        <w:tc>
          <w:tcPr>
            <w:tcW w:w="6080" w:type="dxa"/>
            <w:vAlign w:val="bottom"/>
          </w:tcPr>
          <w:p>
            <w:pPr>
              <w:ind w:left="100"/>
              <w:spacing w:after="0"/>
              <w:rPr>
                <w:sz w:val="20"/>
                <w:szCs w:val="20"/>
                <w:color w:val="auto"/>
              </w:rPr>
            </w:pPr>
            <w:r>
              <w:rPr>
                <w:rFonts w:ascii="Arial" w:cs="Arial" w:eastAsia="Arial" w:hAnsi="Arial"/>
                <w:sz w:val="22"/>
                <w:szCs w:val="22"/>
                <w:color w:val="auto"/>
              </w:rPr>
              <w:t>Credit Facility</w:t>
            </w:r>
          </w:p>
        </w:tc>
        <w:tc>
          <w:tcPr>
            <w:tcW w:w="540" w:type="dxa"/>
            <w:vAlign w:val="bottom"/>
          </w:tcPr>
          <w:p>
            <w:pPr>
              <w:spacing w:after="0"/>
              <w:rPr>
                <w:sz w:val="24"/>
                <w:szCs w:val="24"/>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4"/>
                <w:szCs w:val="24"/>
                <w:color w:val="auto"/>
              </w:rPr>
            </w:pPr>
          </w:p>
        </w:tc>
        <w:tc>
          <w:tcPr>
            <w:tcW w:w="1860" w:type="dxa"/>
            <w:vAlign w:val="bottom"/>
          </w:tcPr>
          <w:p>
            <w:pPr>
              <w:jc w:val="right"/>
              <w:ind w:right="72"/>
              <w:spacing w:after="0"/>
              <w:rPr>
                <w:sz w:val="20"/>
                <w:szCs w:val="20"/>
                <w:color w:val="auto"/>
              </w:rPr>
            </w:pPr>
            <w:r>
              <w:rPr>
                <w:rFonts w:ascii="Arial" w:cs="Arial" w:eastAsia="Arial" w:hAnsi="Arial"/>
                <w:sz w:val="22"/>
                <w:szCs w:val="22"/>
                <w:color w:val="auto"/>
              </w:rPr>
              <w:t>76.0</w:t>
            </w:r>
          </w:p>
        </w:tc>
      </w:tr>
      <w:tr>
        <w:trPr>
          <w:trHeight w:val="270"/>
        </w:trPr>
        <w:tc>
          <w:tcPr>
            <w:tcW w:w="6080" w:type="dxa"/>
            <w:vAlign w:val="bottom"/>
          </w:tcPr>
          <w:p>
            <w:pPr>
              <w:ind w:left="100"/>
              <w:spacing w:after="0"/>
              <w:rPr>
                <w:sz w:val="20"/>
                <w:szCs w:val="20"/>
                <w:color w:val="auto"/>
              </w:rPr>
            </w:pPr>
            <w:r>
              <w:rPr>
                <w:rFonts w:ascii="Arial" w:cs="Arial" w:eastAsia="Arial" w:hAnsi="Arial"/>
                <w:sz w:val="22"/>
                <w:szCs w:val="22"/>
                <w:color w:val="auto"/>
              </w:rPr>
              <w:t>2019 Notes</w:t>
            </w:r>
          </w:p>
        </w:tc>
        <w:tc>
          <w:tcPr>
            <w:tcW w:w="540" w:type="dxa"/>
            <w:vAlign w:val="bottom"/>
          </w:tcPr>
          <w:p>
            <w:pPr>
              <w:spacing w:after="0"/>
              <w:rPr>
                <w:sz w:val="23"/>
                <w:szCs w:val="23"/>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3"/>
                <w:szCs w:val="23"/>
                <w:color w:val="auto"/>
              </w:rPr>
            </w:pPr>
          </w:p>
        </w:tc>
        <w:tc>
          <w:tcPr>
            <w:tcW w:w="1860" w:type="dxa"/>
            <w:vAlign w:val="bottom"/>
          </w:tcPr>
          <w:p>
            <w:pPr>
              <w:jc w:val="right"/>
              <w:ind w:right="72"/>
              <w:spacing w:after="0"/>
              <w:rPr>
                <w:sz w:val="20"/>
                <w:szCs w:val="20"/>
                <w:color w:val="auto"/>
              </w:rPr>
            </w:pPr>
            <w:r>
              <w:rPr>
                <w:rFonts w:ascii="Arial" w:cs="Arial" w:eastAsia="Arial" w:hAnsi="Arial"/>
                <w:sz w:val="22"/>
                <w:szCs w:val="22"/>
                <w:color w:val="auto"/>
              </w:rPr>
              <w:t>255.7</w:t>
            </w:r>
          </w:p>
        </w:tc>
      </w:tr>
      <w:tr>
        <w:trPr>
          <w:trHeight w:val="274"/>
        </w:trPr>
        <w:tc>
          <w:tcPr>
            <w:tcW w:w="6080" w:type="dxa"/>
            <w:vAlign w:val="bottom"/>
          </w:tcPr>
          <w:p>
            <w:pPr>
              <w:ind w:left="100"/>
              <w:spacing w:after="0"/>
              <w:rPr>
                <w:sz w:val="20"/>
                <w:szCs w:val="20"/>
                <w:color w:val="auto"/>
              </w:rPr>
            </w:pPr>
            <w:r>
              <w:rPr>
                <w:rFonts w:ascii="Arial" w:cs="Arial" w:eastAsia="Arial" w:hAnsi="Arial"/>
                <w:sz w:val="22"/>
                <w:szCs w:val="22"/>
                <w:color w:val="auto"/>
              </w:rPr>
              <w:t>SBA debentures</w:t>
            </w:r>
          </w:p>
        </w:tc>
        <w:tc>
          <w:tcPr>
            <w:tcW w:w="540" w:type="dxa"/>
            <w:vAlign w:val="bottom"/>
          </w:tcPr>
          <w:p>
            <w:pPr>
              <w:spacing w:after="0"/>
              <w:rPr>
                <w:sz w:val="23"/>
                <w:szCs w:val="23"/>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3"/>
                <w:szCs w:val="23"/>
                <w:color w:val="auto"/>
              </w:rPr>
            </w:pPr>
          </w:p>
        </w:tc>
        <w:tc>
          <w:tcPr>
            <w:tcW w:w="1860" w:type="dxa"/>
            <w:vAlign w:val="bottom"/>
          </w:tcPr>
          <w:p>
            <w:pPr>
              <w:jc w:val="right"/>
              <w:ind w:right="72"/>
              <w:spacing w:after="0"/>
              <w:rPr>
                <w:sz w:val="20"/>
                <w:szCs w:val="20"/>
                <w:color w:val="auto"/>
              </w:rPr>
            </w:pPr>
            <w:r>
              <w:rPr>
                <w:rFonts w:ascii="Arial" w:cs="Arial" w:eastAsia="Arial" w:hAnsi="Arial"/>
                <w:sz w:val="22"/>
                <w:szCs w:val="22"/>
                <w:color w:val="auto"/>
              </w:rPr>
              <w:t>194.4</w:t>
            </w:r>
          </w:p>
        </w:tc>
      </w:tr>
      <w:tr>
        <w:trPr>
          <w:trHeight w:val="945"/>
        </w:trPr>
        <w:tc>
          <w:tcPr>
            <w:tcW w:w="6080" w:type="dxa"/>
            <w:vAlign w:val="bottom"/>
          </w:tcPr>
          <w:p>
            <w:pPr>
              <w:spacing w:after="0"/>
              <w:rPr>
                <w:sz w:val="20"/>
                <w:szCs w:val="20"/>
                <w:color w:val="auto"/>
              </w:rPr>
            </w:pPr>
            <w:r>
              <w:rPr>
                <w:rFonts w:ascii="Arial" w:cs="Arial" w:eastAsia="Arial" w:hAnsi="Arial"/>
                <w:sz w:val="22"/>
                <w:szCs w:val="22"/>
                <w:color w:val="auto"/>
              </w:rPr>
              <w:t>Yield on debt investments at quarter-end</w:t>
            </w: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tcPr>
          <w:p>
            <w:pPr>
              <w:jc w:val="right"/>
              <w:ind w:right="152"/>
              <w:spacing w:after="0"/>
              <w:rPr>
                <w:sz w:val="20"/>
                <w:szCs w:val="20"/>
                <w:color w:val="auto"/>
              </w:rPr>
            </w:pPr>
            <w:r>
              <w:rPr>
                <w:rFonts w:ascii="Arial" w:cs="Arial" w:eastAsia="Arial" w:hAnsi="Arial"/>
                <w:sz w:val="22"/>
                <w:szCs w:val="22"/>
                <w:color w:val="auto"/>
              </w:rPr>
              <w:t>11.5%</w:t>
            </w:r>
          </w:p>
        </w:tc>
      </w:tr>
      <w:tr>
        <w:trPr>
          <w:trHeight w:val="914"/>
        </w:trPr>
        <w:tc>
          <w:tcPr>
            <w:tcW w:w="6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22"/>
                <w:szCs w:val="22"/>
                <w:color w:val="auto"/>
                <w:w w:val="90"/>
              </w:rPr>
              <w:t>Quarter Ended</w:t>
            </w:r>
          </w:p>
        </w:tc>
        <w:tc>
          <w:tcPr>
            <w:tcW w:w="620" w:type="dxa"/>
            <w:vAlign w:val="bottom"/>
          </w:tcPr>
          <w:p>
            <w:pPr>
              <w:spacing w:after="0"/>
              <w:rPr>
                <w:sz w:val="24"/>
                <w:szCs w:val="24"/>
                <w:color w:val="auto"/>
              </w:rPr>
            </w:pPr>
          </w:p>
        </w:tc>
        <w:tc>
          <w:tcPr>
            <w:tcW w:w="1860" w:type="dxa"/>
            <w:vAlign w:val="bottom"/>
          </w:tcPr>
          <w:p>
            <w:pPr>
              <w:jc w:val="right"/>
              <w:ind w:right="632"/>
              <w:spacing w:after="0"/>
              <w:rPr>
                <w:sz w:val="20"/>
                <w:szCs w:val="20"/>
                <w:color w:val="auto"/>
              </w:rPr>
            </w:pPr>
            <w:r>
              <w:rPr>
                <w:rFonts w:ascii="Arial" w:cs="Arial" w:eastAsia="Arial" w:hAnsi="Arial"/>
                <w:sz w:val="22"/>
                <w:szCs w:val="22"/>
                <w:color w:val="auto"/>
                <w:w w:val="94"/>
              </w:rPr>
              <w:t>Year Ended</w:t>
            </w:r>
          </w:p>
        </w:tc>
      </w:tr>
      <w:tr>
        <w:trPr>
          <w:trHeight w:val="274"/>
        </w:trPr>
        <w:tc>
          <w:tcPr>
            <w:tcW w:w="6080" w:type="dxa"/>
            <w:vAlign w:val="bottom"/>
          </w:tcPr>
          <w:p>
            <w:pPr>
              <w:spacing w:after="0"/>
              <w:rPr>
                <w:sz w:val="20"/>
                <w:szCs w:val="20"/>
                <w:color w:val="auto"/>
              </w:rPr>
            </w:pPr>
            <w:r>
              <w:rPr>
                <w:rFonts w:ascii="Arial" w:cs="Arial" w:eastAsia="Arial" w:hAnsi="Arial"/>
                <w:sz w:val="22"/>
                <w:szCs w:val="22"/>
                <w:color w:val="auto"/>
              </w:rPr>
              <w:t>Operating Results:</w:t>
            </w:r>
          </w:p>
        </w:tc>
        <w:tc>
          <w:tcPr>
            <w:tcW w:w="2540" w:type="dxa"/>
            <w:vAlign w:val="bottom"/>
            <w:gridSpan w:val="3"/>
          </w:tcPr>
          <w:p>
            <w:pPr>
              <w:ind w:left="360"/>
              <w:spacing w:after="0"/>
              <w:rPr>
                <w:sz w:val="20"/>
                <w:szCs w:val="20"/>
                <w:color w:val="auto"/>
              </w:rPr>
            </w:pPr>
            <w:r>
              <w:rPr>
                <w:rFonts w:ascii="Arial" w:cs="Arial" w:eastAsia="Arial" w:hAnsi="Arial"/>
                <w:sz w:val="22"/>
                <w:szCs w:val="22"/>
                <w:color w:val="auto"/>
              </w:rPr>
              <w:t>September 30, 2017</w:t>
            </w:r>
          </w:p>
        </w:tc>
        <w:tc>
          <w:tcPr>
            <w:tcW w:w="2480" w:type="dxa"/>
            <w:vAlign w:val="bottom"/>
            <w:gridSpan w:val="2"/>
          </w:tcPr>
          <w:p>
            <w:pPr>
              <w:ind w:left="380"/>
              <w:spacing w:after="0"/>
              <w:rPr>
                <w:sz w:val="20"/>
                <w:szCs w:val="20"/>
                <w:color w:val="auto"/>
              </w:rPr>
            </w:pPr>
            <w:r>
              <w:rPr>
                <w:rFonts w:ascii="Arial" w:cs="Arial" w:eastAsia="Arial" w:hAnsi="Arial"/>
                <w:sz w:val="22"/>
                <w:szCs w:val="22"/>
                <w:color w:val="auto"/>
              </w:rPr>
              <w:t>September 30, 2017</w:t>
            </w:r>
          </w:p>
        </w:tc>
      </w:tr>
      <w:tr>
        <w:trPr>
          <w:trHeight w:val="259"/>
        </w:trPr>
        <w:tc>
          <w:tcPr>
            <w:tcW w:w="6080" w:type="dxa"/>
            <w:vAlign w:val="bottom"/>
          </w:tcPr>
          <w:p>
            <w:pPr>
              <w:ind w:left="100"/>
              <w:spacing w:after="0"/>
              <w:rPr>
                <w:sz w:val="20"/>
                <w:szCs w:val="20"/>
                <w:color w:val="auto"/>
              </w:rPr>
            </w:pPr>
            <w:r>
              <w:rPr>
                <w:rFonts w:ascii="Arial" w:cs="Arial" w:eastAsia="Arial" w:hAnsi="Arial"/>
                <w:sz w:val="22"/>
                <w:szCs w:val="22"/>
                <w:color w:val="auto"/>
              </w:rPr>
              <w:t>Net investment income</w:t>
            </w:r>
          </w:p>
        </w:tc>
        <w:tc>
          <w:tcPr>
            <w:tcW w:w="540" w:type="dxa"/>
            <w:vAlign w:val="bottom"/>
            <w:tcBorders>
              <w:top w:val="single" w:sz="8" w:color="auto"/>
            </w:tcBorders>
          </w:tcPr>
          <w:p>
            <w:pPr>
              <w:ind w:left="380"/>
              <w:spacing w:after="0"/>
              <w:rPr>
                <w:sz w:val="20"/>
                <w:szCs w:val="20"/>
                <w:color w:val="auto"/>
              </w:rPr>
            </w:pPr>
            <w:r>
              <w:rPr>
                <w:rFonts w:ascii="Arial" w:cs="Arial" w:eastAsia="Arial" w:hAnsi="Arial"/>
                <w:sz w:val="22"/>
                <w:szCs w:val="22"/>
                <w:color w:val="auto"/>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12.8</w:t>
            </w:r>
          </w:p>
        </w:tc>
        <w:tc>
          <w:tcPr>
            <w:tcW w:w="100" w:type="dxa"/>
            <w:vAlign w:val="bottom"/>
          </w:tcPr>
          <w:p>
            <w:pPr>
              <w:spacing w:after="0"/>
              <w:rPr>
                <w:sz w:val="22"/>
                <w:szCs w:val="22"/>
                <w:color w:val="auto"/>
              </w:rPr>
            </w:pPr>
          </w:p>
        </w:tc>
        <w:tc>
          <w:tcPr>
            <w:tcW w:w="620" w:type="dxa"/>
            <w:vAlign w:val="bottom"/>
            <w:tcBorders>
              <w:top w:val="single" w:sz="8" w:color="auto"/>
            </w:tcBorders>
          </w:tcPr>
          <w:p>
            <w:pPr>
              <w:ind w:left="380"/>
              <w:spacing w:after="0"/>
              <w:rPr>
                <w:sz w:val="20"/>
                <w:szCs w:val="20"/>
                <w:color w:val="auto"/>
              </w:rPr>
            </w:pPr>
            <w:r>
              <w:rPr>
                <w:rFonts w:ascii="Arial" w:cs="Arial" w:eastAsia="Arial" w:hAnsi="Arial"/>
                <w:sz w:val="22"/>
                <w:szCs w:val="22"/>
                <w:color w:val="auto"/>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56.4</w:t>
            </w:r>
          </w:p>
        </w:tc>
      </w:tr>
      <w:tr>
        <w:trPr>
          <w:trHeight w:val="270"/>
        </w:trPr>
        <w:tc>
          <w:tcPr>
            <w:tcW w:w="6080" w:type="dxa"/>
            <w:vAlign w:val="bottom"/>
          </w:tcPr>
          <w:p>
            <w:pPr>
              <w:ind w:left="100"/>
              <w:spacing w:after="0"/>
              <w:rPr>
                <w:sz w:val="20"/>
                <w:szCs w:val="20"/>
                <w:color w:val="auto"/>
              </w:rPr>
            </w:pPr>
            <w:r>
              <w:rPr>
                <w:rFonts w:ascii="Arial" w:cs="Arial" w:eastAsia="Arial" w:hAnsi="Arial"/>
                <w:sz w:val="22"/>
                <w:szCs w:val="22"/>
                <w:color w:val="auto"/>
              </w:rPr>
              <w:t>Net investment income per share</w:t>
            </w:r>
          </w:p>
        </w:tc>
        <w:tc>
          <w:tcPr>
            <w:tcW w:w="540" w:type="dxa"/>
            <w:vAlign w:val="bottom"/>
          </w:tcPr>
          <w:p>
            <w:pPr>
              <w:ind w:left="380"/>
              <w:spacing w:after="0"/>
              <w:rPr>
                <w:sz w:val="20"/>
                <w:szCs w:val="20"/>
                <w:color w:val="auto"/>
              </w:rPr>
            </w:pPr>
            <w:r>
              <w:rPr>
                <w:rFonts w:ascii="Arial" w:cs="Arial" w:eastAsia="Arial" w:hAnsi="Arial"/>
                <w:sz w:val="22"/>
                <w:szCs w:val="22"/>
                <w:color w:val="auto"/>
              </w:rPr>
              <w:t>$</w:t>
            </w:r>
          </w:p>
        </w:tc>
        <w:tc>
          <w:tcPr>
            <w:tcW w:w="1900" w:type="dxa"/>
            <w:vAlign w:val="bottom"/>
          </w:tcPr>
          <w:p>
            <w:pPr>
              <w:jc w:val="right"/>
              <w:spacing w:after="0"/>
              <w:rPr>
                <w:sz w:val="20"/>
                <w:szCs w:val="20"/>
                <w:color w:val="auto"/>
              </w:rPr>
            </w:pPr>
            <w:r>
              <w:rPr>
                <w:rFonts w:ascii="Arial" w:cs="Arial" w:eastAsia="Arial" w:hAnsi="Arial"/>
                <w:sz w:val="22"/>
                <w:szCs w:val="22"/>
                <w:color w:val="auto"/>
              </w:rPr>
              <w:t>0.18</w:t>
            </w:r>
          </w:p>
        </w:tc>
        <w:tc>
          <w:tcPr>
            <w:tcW w:w="100" w:type="dxa"/>
            <w:vAlign w:val="bottom"/>
          </w:tcPr>
          <w:p>
            <w:pPr>
              <w:spacing w:after="0"/>
              <w:rPr>
                <w:sz w:val="23"/>
                <w:szCs w:val="23"/>
                <w:color w:val="auto"/>
              </w:rPr>
            </w:pPr>
          </w:p>
        </w:tc>
        <w:tc>
          <w:tcPr>
            <w:tcW w:w="620" w:type="dxa"/>
            <w:vAlign w:val="bottom"/>
          </w:tcPr>
          <w:p>
            <w:pPr>
              <w:ind w:left="380"/>
              <w:spacing w:after="0"/>
              <w:rPr>
                <w:sz w:val="20"/>
                <w:szCs w:val="20"/>
                <w:color w:val="auto"/>
              </w:rPr>
            </w:pPr>
            <w:r>
              <w:rPr>
                <w:rFonts w:ascii="Arial" w:cs="Arial" w:eastAsia="Arial" w:hAnsi="Arial"/>
                <w:sz w:val="22"/>
                <w:szCs w:val="22"/>
                <w:color w:val="auto"/>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0.79</w:t>
            </w:r>
          </w:p>
        </w:tc>
      </w:tr>
      <w:tr>
        <w:trPr>
          <w:trHeight w:val="274"/>
        </w:trPr>
        <w:tc>
          <w:tcPr>
            <w:tcW w:w="6080" w:type="dxa"/>
            <w:vAlign w:val="bottom"/>
          </w:tcPr>
          <w:p>
            <w:pPr>
              <w:ind w:left="100"/>
              <w:spacing w:after="0"/>
              <w:rPr>
                <w:sz w:val="20"/>
                <w:szCs w:val="20"/>
                <w:color w:val="auto"/>
              </w:rPr>
            </w:pPr>
            <w:r>
              <w:rPr>
                <w:rFonts w:ascii="Arial" w:cs="Arial" w:eastAsia="Arial" w:hAnsi="Arial"/>
                <w:sz w:val="22"/>
                <w:szCs w:val="22"/>
                <w:color w:val="auto"/>
              </w:rPr>
              <w:t>Distributions declared per share</w:t>
            </w:r>
          </w:p>
        </w:tc>
        <w:tc>
          <w:tcPr>
            <w:tcW w:w="540" w:type="dxa"/>
            <w:vAlign w:val="bottom"/>
          </w:tcPr>
          <w:p>
            <w:pPr>
              <w:ind w:left="380"/>
              <w:spacing w:after="0"/>
              <w:rPr>
                <w:sz w:val="20"/>
                <w:szCs w:val="20"/>
                <w:color w:val="auto"/>
              </w:rPr>
            </w:pPr>
            <w:r>
              <w:rPr>
                <w:rFonts w:ascii="Arial" w:cs="Arial" w:eastAsia="Arial" w:hAnsi="Arial"/>
                <w:sz w:val="22"/>
                <w:szCs w:val="22"/>
                <w:color w:val="auto"/>
              </w:rPr>
              <w:t>$</w:t>
            </w:r>
          </w:p>
        </w:tc>
        <w:tc>
          <w:tcPr>
            <w:tcW w:w="1900" w:type="dxa"/>
            <w:vAlign w:val="bottom"/>
          </w:tcPr>
          <w:p>
            <w:pPr>
              <w:jc w:val="right"/>
              <w:spacing w:after="0"/>
              <w:rPr>
                <w:sz w:val="20"/>
                <w:szCs w:val="20"/>
                <w:color w:val="auto"/>
              </w:rPr>
            </w:pPr>
            <w:r>
              <w:rPr>
                <w:rFonts w:ascii="Arial" w:cs="Arial" w:eastAsia="Arial" w:hAnsi="Arial"/>
                <w:sz w:val="22"/>
                <w:szCs w:val="22"/>
                <w:color w:val="auto"/>
              </w:rPr>
              <w:t>0.18</w:t>
            </w:r>
          </w:p>
        </w:tc>
        <w:tc>
          <w:tcPr>
            <w:tcW w:w="100" w:type="dxa"/>
            <w:vAlign w:val="bottom"/>
          </w:tcPr>
          <w:p>
            <w:pPr>
              <w:spacing w:after="0"/>
              <w:rPr>
                <w:sz w:val="23"/>
                <w:szCs w:val="23"/>
                <w:color w:val="auto"/>
              </w:rPr>
            </w:pPr>
          </w:p>
        </w:tc>
        <w:tc>
          <w:tcPr>
            <w:tcW w:w="620" w:type="dxa"/>
            <w:vAlign w:val="bottom"/>
          </w:tcPr>
          <w:p>
            <w:pPr>
              <w:ind w:left="380"/>
              <w:spacing w:after="0"/>
              <w:rPr>
                <w:sz w:val="20"/>
                <w:szCs w:val="20"/>
                <w:color w:val="auto"/>
              </w:rPr>
            </w:pPr>
            <w:r>
              <w:rPr>
                <w:rFonts w:ascii="Arial" w:cs="Arial" w:eastAsia="Arial" w:hAnsi="Arial"/>
                <w:sz w:val="22"/>
                <w:szCs w:val="22"/>
                <w:color w:val="auto"/>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0.82</w:t>
            </w:r>
          </w:p>
        </w:tc>
      </w:tr>
      <w:tr>
        <w:trPr>
          <w:trHeight w:val="536"/>
        </w:trPr>
        <w:tc>
          <w:tcPr>
            <w:tcW w:w="6080" w:type="dxa"/>
            <w:vAlign w:val="bottom"/>
          </w:tcPr>
          <w:p>
            <w:pPr>
              <w:spacing w:after="0"/>
              <w:rPr>
                <w:sz w:val="20"/>
                <w:szCs w:val="20"/>
                <w:color w:val="auto"/>
              </w:rPr>
            </w:pPr>
            <w:r>
              <w:rPr>
                <w:rFonts w:ascii="Arial" w:cs="Arial" w:eastAsia="Arial" w:hAnsi="Arial"/>
                <w:sz w:val="22"/>
                <w:szCs w:val="22"/>
                <w:color w:val="auto"/>
              </w:rPr>
              <w:t>Portfolio Activity:</w:t>
            </w: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0"/>
        </w:trPr>
        <w:tc>
          <w:tcPr>
            <w:tcW w:w="6080" w:type="dxa"/>
            <w:vAlign w:val="bottom"/>
          </w:tcPr>
          <w:p>
            <w:pPr>
              <w:ind w:left="100"/>
              <w:spacing w:after="0"/>
              <w:rPr>
                <w:sz w:val="20"/>
                <w:szCs w:val="20"/>
                <w:color w:val="auto"/>
              </w:rPr>
            </w:pPr>
            <w:r>
              <w:rPr>
                <w:rFonts w:ascii="Arial" w:cs="Arial" w:eastAsia="Arial" w:hAnsi="Arial"/>
                <w:sz w:val="22"/>
                <w:szCs w:val="22"/>
                <w:color w:val="auto"/>
              </w:rPr>
              <w:t>Purchases of investments</w:t>
            </w:r>
          </w:p>
        </w:tc>
        <w:tc>
          <w:tcPr>
            <w:tcW w:w="540" w:type="dxa"/>
            <w:vAlign w:val="bottom"/>
          </w:tcPr>
          <w:p>
            <w:pPr>
              <w:ind w:left="380"/>
              <w:spacing w:after="0"/>
              <w:rPr>
                <w:sz w:val="20"/>
                <w:szCs w:val="20"/>
                <w:color w:val="auto"/>
              </w:rPr>
            </w:pPr>
            <w:r>
              <w:rPr>
                <w:rFonts w:ascii="Arial" w:cs="Arial" w:eastAsia="Arial" w:hAnsi="Arial"/>
                <w:sz w:val="22"/>
                <w:szCs w:val="22"/>
                <w:color w:val="auto"/>
              </w:rPr>
              <w:t>$</w:t>
            </w:r>
          </w:p>
        </w:tc>
        <w:tc>
          <w:tcPr>
            <w:tcW w:w="1900" w:type="dxa"/>
            <w:vAlign w:val="bottom"/>
          </w:tcPr>
          <w:p>
            <w:pPr>
              <w:jc w:val="right"/>
              <w:spacing w:after="0"/>
              <w:rPr>
                <w:sz w:val="20"/>
                <w:szCs w:val="20"/>
                <w:color w:val="auto"/>
              </w:rPr>
            </w:pPr>
            <w:r>
              <w:rPr>
                <w:rFonts w:ascii="Arial" w:cs="Arial" w:eastAsia="Arial" w:hAnsi="Arial"/>
                <w:sz w:val="22"/>
                <w:szCs w:val="22"/>
                <w:color w:val="auto"/>
              </w:rPr>
              <w:t>129.4</w:t>
            </w:r>
          </w:p>
        </w:tc>
        <w:tc>
          <w:tcPr>
            <w:tcW w:w="100" w:type="dxa"/>
            <w:vAlign w:val="bottom"/>
          </w:tcPr>
          <w:p>
            <w:pPr>
              <w:spacing w:after="0"/>
              <w:rPr>
                <w:sz w:val="23"/>
                <w:szCs w:val="23"/>
                <w:color w:val="auto"/>
              </w:rPr>
            </w:pPr>
          </w:p>
        </w:tc>
        <w:tc>
          <w:tcPr>
            <w:tcW w:w="620" w:type="dxa"/>
            <w:vAlign w:val="bottom"/>
          </w:tcPr>
          <w:p>
            <w:pPr>
              <w:ind w:left="380"/>
              <w:spacing w:after="0"/>
              <w:rPr>
                <w:sz w:val="20"/>
                <w:szCs w:val="20"/>
                <w:color w:val="auto"/>
              </w:rPr>
            </w:pPr>
            <w:r>
              <w:rPr>
                <w:rFonts w:ascii="Arial" w:cs="Arial" w:eastAsia="Arial" w:hAnsi="Arial"/>
                <w:sz w:val="22"/>
                <w:szCs w:val="22"/>
                <w:color w:val="auto"/>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508.3</w:t>
            </w:r>
          </w:p>
        </w:tc>
      </w:tr>
      <w:tr>
        <w:trPr>
          <w:trHeight w:val="274"/>
        </w:trPr>
        <w:tc>
          <w:tcPr>
            <w:tcW w:w="6080" w:type="dxa"/>
            <w:vAlign w:val="bottom"/>
          </w:tcPr>
          <w:p>
            <w:pPr>
              <w:ind w:left="100"/>
              <w:spacing w:after="0"/>
              <w:rPr>
                <w:sz w:val="20"/>
                <w:szCs w:val="20"/>
                <w:color w:val="auto"/>
              </w:rPr>
            </w:pPr>
            <w:r>
              <w:rPr>
                <w:rFonts w:ascii="Arial" w:cs="Arial" w:eastAsia="Arial" w:hAnsi="Arial"/>
                <w:sz w:val="22"/>
                <w:szCs w:val="22"/>
                <w:color w:val="auto"/>
              </w:rPr>
              <w:t>Sales and repayments of investments</w:t>
            </w:r>
          </w:p>
        </w:tc>
        <w:tc>
          <w:tcPr>
            <w:tcW w:w="540" w:type="dxa"/>
            <w:vAlign w:val="bottom"/>
          </w:tcPr>
          <w:p>
            <w:pPr>
              <w:ind w:left="380"/>
              <w:spacing w:after="0"/>
              <w:rPr>
                <w:sz w:val="20"/>
                <w:szCs w:val="20"/>
                <w:color w:val="auto"/>
              </w:rPr>
            </w:pPr>
            <w:r>
              <w:rPr>
                <w:rFonts w:ascii="Arial" w:cs="Arial" w:eastAsia="Arial" w:hAnsi="Arial"/>
                <w:sz w:val="22"/>
                <w:szCs w:val="22"/>
                <w:color w:val="auto"/>
              </w:rPr>
              <w:t>$</w:t>
            </w:r>
          </w:p>
        </w:tc>
        <w:tc>
          <w:tcPr>
            <w:tcW w:w="1900" w:type="dxa"/>
            <w:vAlign w:val="bottom"/>
          </w:tcPr>
          <w:p>
            <w:pPr>
              <w:jc w:val="right"/>
              <w:spacing w:after="0"/>
              <w:rPr>
                <w:sz w:val="20"/>
                <w:szCs w:val="20"/>
                <w:color w:val="auto"/>
              </w:rPr>
            </w:pPr>
            <w:r>
              <w:rPr>
                <w:rFonts w:ascii="Arial" w:cs="Arial" w:eastAsia="Arial" w:hAnsi="Arial"/>
                <w:sz w:val="22"/>
                <w:szCs w:val="22"/>
                <w:color w:val="auto"/>
              </w:rPr>
              <w:t>78.6</w:t>
            </w:r>
          </w:p>
        </w:tc>
        <w:tc>
          <w:tcPr>
            <w:tcW w:w="100" w:type="dxa"/>
            <w:vAlign w:val="bottom"/>
          </w:tcPr>
          <w:p>
            <w:pPr>
              <w:spacing w:after="0"/>
              <w:rPr>
                <w:sz w:val="23"/>
                <w:szCs w:val="23"/>
                <w:color w:val="auto"/>
              </w:rPr>
            </w:pPr>
          </w:p>
        </w:tc>
        <w:tc>
          <w:tcPr>
            <w:tcW w:w="620" w:type="dxa"/>
            <w:vAlign w:val="bottom"/>
          </w:tcPr>
          <w:p>
            <w:pPr>
              <w:ind w:left="380"/>
              <w:spacing w:after="0"/>
              <w:rPr>
                <w:sz w:val="20"/>
                <w:szCs w:val="20"/>
                <w:color w:val="auto"/>
              </w:rPr>
            </w:pPr>
            <w:r>
              <w:rPr>
                <w:rFonts w:ascii="Arial" w:cs="Arial" w:eastAsia="Arial" w:hAnsi="Arial"/>
                <w:sz w:val="22"/>
                <w:szCs w:val="22"/>
                <w:color w:val="auto"/>
              </w:rPr>
              <w:t>$</w:t>
            </w:r>
          </w:p>
        </w:tc>
        <w:tc>
          <w:tcPr>
            <w:tcW w:w="1860" w:type="dxa"/>
            <w:vAlign w:val="bottom"/>
          </w:tcPr>
          <w:p>
            <w:pPr>
              <w:jc w:val="right"/>
              <w:spacing w:after="0"/>
              <w:rPr>
                <w:sz w:val="20"/>
                <w:szCs w:val="20"/>
                <w:color w:val="auto"/>
              </w:rPr>
            </w:pPr>
            <w:r>
              <w:rPr>
                <w:rFonts w:ascii="Arial" w:cs="Arial" w:eastAsia="Arial" w:hAnsi="Arial"/>
                <w:sz w:val="22"/>
                <w:szCs w:val="22"/>
                <w:color w:val="auto"/>
              </w:rPr>
              <w:t>544.0</w:t>
            </w:r>
          </w:p>
        </w:tc>
      </w:tr>
      <w:tr>
        <w:trPr>
          <w:trHeight w:val="536"/>
        </w:trPr>
        <w:tc>
          <w:tcPr>
            <w:tcW w:w="6080" w:type="dxa"/>
            <w:vAlign w:val="bottom"/>
          </w:tcPr>
          <w:p>
            <w:pPr>
              <w:ind w:left="100"/>
              <w:spacing w:after="0"/>
              <w:rPr>
                <w:sz w:val="20"/>
                <w:szCs w:val="20"/>
                <w:color w:val="auto"/>
              </w:rPr>
            </w:pPr>
            <w:r>
              <w:rPr>
                <w:rFonts w:ascii="Arial" w:cs="Arial" w:eastAsia="Arial" w:hAnsi="Arial"/>
                <w:sz w:val="22"/>
                <w:szCs w:val="22"/>
                <w:color w:val="auto"/>
              </w:rPr>
              <w:t>Number of new portfolio companies invested</w:t>
            </w:r>
          </w:p>
        </w:tc>
        <w:tc>
          <w:tcPr>
            <w:tcW w:w="5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70"/>
        </w:trPr>
        <w:tc>
          <w:tcPr>
            <w:tcW w:w="6080" w:type="dxa"/>
            <w:vAlign w:val="bottom"/>
          </w:tcPr>
          <w:p>
            <w:pPr>
              <w:ind w:left="100"/>
              <w:spacing w:after="0"/>
              <w:rPr>
                <w:sz w:val="20"/>
                <w:szCs w:val="20"/>
                <w:color w:val="auto"/>
              </w:rPr>
            </w:pPr>
            <w:r>
              <w:rPr>
                <w:rFonts w:ascii="Arial" w:cs="Arial" w:eastAsia="Arial" w:hAnsi="Arial"/>
                <w:sz w:val="22"/>
                <w:szCs w:val="22"/>
                <w:color w:val="auto"/>
              </w:rPr>
              <w:t>Number of existing portfolio companies invested</w:t>
            </w:r>
          </w:p>
        </w:tc>
        <w:tc>
          <w:tcPr>
            <w:tcW w:w="5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4</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4"/>
        </w:trPr>
        <w:tc>
          <w:tcPr>
            <w:tcW w:w="6080" w:type="dxa"/>
            <w:vAlign w:val="bottom"/>
          </w:tcPr>
          <w:p>
            <w:pPr>
              <w:ind w:left="100"/>
              <w:spacing w:after="0"/>
              <w:rPr>
                <w:sz w:val="20"/>
                <w:szCs w:val="20"/>
                <w:color w:val="auto"/>
              </w:rPr>
            </w:pPr>
            <w:r>
              <w:rPr>
                <w:rFonts w:ascii="Arial" w:cs="Arial" w:eastAsia="Arial" w:hAnsi="Arial"/>
                <w:sz w:val="22"/>
                <w:szCs w:val="22"/>
                <w:color w:val="auto"/>
              </w:rPr>
              <w:t>Number of ending portfolio companies</w:t>
            </w:r>
          </w:p>
        </w:tc>
        <w:tc>
          <w:tcPr>
            <w:tcW w:w="5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22"/>
                <w:szCs w:val="22"/>
                <w:color w:val="auto"/>
              </w:rPr>
              <w:t>55</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22"/>
                <w:szCs w:val="22"/>
                <w:color w:val="auto"/>
              </w:rPr>
              <w:t>55</w:t>
            </w: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NOVEMBER 30, 2017</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PennantPark Investment Corporation (“we,” “our,” “us” or “Company”) will host a conference call at 10:00 a.m. (Eastern Time) on Thursday, November 30, 2017 to discuss its financial results. All interested parties are welcome to participate. You can access the conference call by dialing toll-free (844) 455-1365 approximately 5-10 minutes prior to the call. International callers should dial (612) 979-9872. All callers should reference PennantPark Investment Corporation. An archived replay of the call will be available through December 14, 2017 by calling toll-free (855) 859-2056. International callers please dial (404) 537-3406. For all phone replays, please reference conference ID #99339136.</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Effective January 1, 2018, PennantPark Investment Advisers, LLC has voluntarily and irrevocably agreed, in consultation with the board of directors, to (i) reduce base management fees to 1.50% of the Company’s “average adjusted gross assets”, (ii) reduce the incentive fee to 17.5% of the Company’s pre-incentive fee net investment income (subject to a 7.00% annualized “hurdle rate” and 100% “catch-up” with a ceiling of 8.4848%) and (iii) reduce the incentive fee to 17.5% of the Company’s cumulative net realized capital gains.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of September 30, 2017, our portfolio totaled $1,153.6 million and consisted of $466.1 million of first lien secured debt, $399.5 million of second lien secured debt, $120.7 million of subordinated debt and $167.3 million of preferred and common equity. Our debt portfolio consisted of 82% variable-rate investments (including 13% where London Interbank Offered Rate, or</w:t>
      </w:r>
    </w:p>
    <w:p>
      <w:pPr>
        <w:sectPr>
          <w:pgSz w:w="11900" w:h="16884" w:orient="portrait"/>
          <w:cols w:equalWidth="0" w:num="1">
            <w:col w:w="11240"/>
          </w:cols>
          <w:pgMar w:left="320" w:top="112" w:right="339" w:bottom="0" w:gutter="0" w:footer="0" w:header="0"/>
        </w:sectPr>
      </w:pPr>
    </w:p>
    <w:bookmarkStart w:id="4" w:name="page5"/>
    <w:bookmarkEnd w:id="4"/>
    <w:p>
      <w:pPr>
        <w:jc w:val="both"/>
        <w:spacing w:after="0" w:line="236" w:lineRule="auto"/>
        <w:rPr>
          <w:sz w:val="20"/>
          <w:szCs w:val="20"/>
          <w:color w:val="auto"/>
        </w:rPr>
      </w:pPr>
      <w:r>
        <w:rPr>
          <w:rFonts w:ascii="Arial" w:cs="Arial" w:eastAsia="Arial" w:hAnsi="Arial"/>
          <w:sz w:val="22"/>
          <w:szCs w:val="22"/>
          <w:color w:val="auto"/>
        </w:rPr>
        <w:t>LIBOR, was below the floor) and 18% fixed-rate investments. As of September 30, 2017, we had no companies on non-accrual. Overall, the portfolio had net unrealized depreciation of $56.4 million as of September 30, 2017. Our overall portfolio consisted of 55 companies with an average investment size of $21.0 million, had a weighted average yield on interest bearing debt investments of 11.5% and was invested 40% in first lien secured debt, 35% in second lien secured debt, 10% in subordinated debt and 15% in preferred and common equity.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of September 30, 2016, our portfolio totaled $1,153.7 million and consisted of $397.1 million of first lien secured debt, $425.4 million of second lien secured debt, $177.6 million of subordinated debt and $153.6 million of preferred and common equity. Our debt portfolio consisted of 78% variable-rate investments (including 72% with a LIBOR or prime floor) and 22% fixed-rate investments. As of September 30, 2016, we had four companies on non-accrual, representing 5.3% and 2.8% of our overall portfolio on a cost and fair value basis, respectively. Overall, the portfolio had net unrealized depreciation of $100.3 million as of September 30, 2016. Our overall portfolio consisted of 56 companies with an average investment size of $20.6 million, had a weighted average yield on interest bearing debt investments of 11.9% and was invested 35% in first lien secured debt, 37% in second lien secured debt, 15% in subordinated debt and 13% in preferred and common equity.</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the three months ended September 30, 2017, we invested $129.4 million of investments in four new and four existing portfolio companies with a weighted average yield on debt investments of 9.5%. Sales and repayments of investments for the same period totaled $78.6 million. This compares to the three months ended September 30, 2016, in which we invested $23.3 million in five existing portfolio companies with a weighted average yield on debt investments of 12.6%. Sales and repayments of investments for the same period totaled $135.6 million.</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fiscal year ended September 30, 2017, we invested $508.3 million of investments in 18 new and 24 existing portfolio companies with a weighted average yield on debt investments of 10.5%. Sales and repayments of investments for the same period totaled $544.0 million. This compares to the fiscal year ended September 30, 2016, in which we invested $330.6 million in four new and 25 existing portfolio companies with a weighted average yield on debt investments of 11.9%. Sales and repayments of investments for the same period totaled $439.7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Set forth below are the results of operations for the three month periods and fiscal years ended September 30, 2017 and 2016.</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Investment income for the three months ended September 30, 2017 and 2016 was $27.9 million and $32.2 million, respectively, and was primarily attributable to $12.1 million and $13.2 million from first lien secured debt, $12.7 million and $14.4 million from second lien secured debt and $3.1 million and $4.6 million from subordinated debt, respectively.</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Investment income for the fiscal years ended September 30, 2017 and 2016 was $124.5 million and $142.1 million, respectively, and was attributable to $54.4 million and $59.9 million from first lien secured debt, $50.4 million and $60.5 million from second lien secured debt, $17.3 million and $20.9 million from subordinated debt and $2.4 million and $0.8 million from preferred and common equity, respectively. The decrease in investment income over the prior year was primarily due to a reduction of our portfolio at cost.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Net expenses for the three months ended September 30, 2017 and 2016 totaled $15.1 million and $17.0 million, respectively. Base management fee totaled $4.8 million (after a base management fee waiver of $0.9 million) and $5.0 million (after a base management fee waiver of $1.0 million), incentive fee totaled $2.3 million (after an incentive fee waiver of $0.4 million) and $2.9 million (after an incentive fee waiver of $0.5 million), debt related interest and expenses totaled $6.0 million and $6.9 million, general and administrative expenses totaled $1.6 million and $1.8 million and taxes totaled $0.4 million and $0.4 million, respectively, for the same periods.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Net expenses for the fiscal years ended September 30, 2017 and 2016 totaled $68.1 million and $71.5 million, respectively. Base management fee totaled $20.3 million (after a base management fee waiver of $3.9 million) and $20.9 million (after a base management fee waiver of $4.0 million), incentive fee totaled $9.3 million (after an incentive fee waiver of $1.8 million) and $13.5 million (after an incentive fee waiver of $2.5 million), debt related interest and expenses totaled $30.5 million (including $3.9 million in amendment costs on our multi-currency, senior secured revolving credit facility, or the Credit Facility) and $27.6 million, general and administrative expenses totaled $6.3 million and $7.1 million and taxes totaled $1.7 million and $2.4 million, respectively, for the same periods. The decrease in expenses over the prior year was primarily due to lower incentive fees and general and administrative expenses.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investment income totaled $12.8 million and $15.2 million, or $0.18 and $0.21 per share, for the three months ended September 30, 2017 and 2016, respectively.</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Net investment income totaled $56.4 million and $70.6 million, or $0.79 and $0.99 per share, for the fiscal years ended September 30, 2017 and 2016, respectively. The decrease in net investment income per share compared to the prior year was primarily due to the repayments of higher yielding investments.</w:t>
      </w:r>
    </w:p>
    <w:p>
      <w:pPr>
        <w:sectPr>
          <w:pgSz w:w="11900" w:h="16838" w:orient="portrait"/>
          <w:cols w:equalWidth="0" w:num="1">
            <w:col w:w="11240"/>
          </w:cols>
          <w:pgMar w:left="320" w:top="118" w:right="339" w:bottom="0" w:gutter="0" w:footer="0" w:header="0"/>
        </w:sectPr>
      </w:pPr>
    </w:p>
    <w:bookmarkStart w:id="5" w:name="page6"/>
    <w:bookmarkEnd w:id="5"/>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Sales and repayments of investments for the three months ended September 30, 2017 and 2016 totaled $78.6 million and $135.6 million, respectively, and net realized (losses) gains totaled $(0.2) million and $1.6 million, respectively, for the same periods.</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Sales and repayments of investments for the fiscal years ended September 30, 2017 and 2016 totaled $544.0 million and $439.7 million, respectively, and net realized losses totaled $31.0 million and $80.5 million, respectively, for the same periods. The change in realized losses compared to the prior year was primarily due to changes in the market conditions of our investments and the values at which they were realized.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2019 Notes and 2025 Notes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three months ended September 30, 2017 and 2016, net unrealized appreciation on investments totaled less than $0.1 million and $22.8 million, respectively. Net unrealized appreciation on our Credit Facility, our 4.50% notes due 2019, or 2019 Notes, and our 6.25% senior notes due 2025, or 2025 Notes, totaled $5.1 million and $11.8 million, respectively, for the same periods.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For the fiscal years ended September 30, 2017 and 2016, net unrealized appreciation on investments totaled $43.9 million and $24.9 million, respectively. Net unrealized (appreciation) depreciation on our Credit Facility, 2019 Notes and 2025 Notes totaled $(7.6) million and $3.7 million for the same periods, respectively. The net change in unrealized appreciation (depreciation) on our investments compared to the prior year was driven primarily by changes in the capital market conditions, financial performance of certain portfolio companies and the reversal of unrealized depreciation (appreciation) of investments that were realized. The change in unrealized (appreciation) depreciation on the Credit Facility, the 2019 Notes and the 2025 Notes compared to the prior year was due to the fluctuating interest rate environment.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change in net assets resulting from operations totaled $7.4 million and $27.7 million, or $0.10 and $0.39 per share, for the three months ended September 30, 2017 and 2016, respectively.</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Net change in net assets resulting from operations totaled $61.7 million and $18.7 million, or $0.87 and $0.26 per share, for the fiscal years ended September 30, 2017 and 2016, respectively. The increase in the net change in net assets from operations compared to the prior year was primarily due to the change in portfolio investment values offset by lower net investment income.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of September 30, 2017 and 2016, there was $79.4 million and $50.3 million, respectively, in outstanding borrowings under the Credit Facility. The Credit Facility had a weighted average interest rate of 2.42% and 2.76%, respectively, exclusive of the fee on undrawn commitments, as of September 30, 2017 and 2016. The annualized weighted average cost of debt for the years ended September 30, 2017 and 2016, inclusive of the fee on the undrawn commitment of 0.375% on the Credit Facility and upfront fees on Small Business Administration, or SBA, debentures, was 5.04% and 4.35%, respectively.</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September 30, 2017 and 2016, we had $365.6 million and $494.7 million of unused borrowing capacity under our Credit Facility, respectively, subject to regulatory restrictions.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As of September 30, 2017 and 2016, we had $250.0 million in aggregate principal amount of 2019 Notes outstanding, with a fixed interest rate of 4.50% per year. As of September 30, 2017 and 2016, we had zero and $71.3 million, respectively, in aggregate principal amount of 2025 Notes outstanding, with a fixed interest rate of 6.25% per year. On June 29, 2017, the 2025 Notes were redeemed. The 2025 Notes had been scheduled to mature on February 1, 2025. As of September 30, 2017 and 2016, we had $300.0 million and $225.0 million in SBA debt commitments, respectively, of which $199.0 million and $197.5 million was drawn, respectively.</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September 30, 2017 and 2016, we had cash and cash equivalents of $38.2 million and $75.6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operating activities provided cash of $69.2 million for the fiscal year ended September 30, 2017, and our financing activities used cash proceeds of $107.6 million for the same period. Our operating activities provided cash primarily from sales and repayments on our investments and our financing activities used cash primarily to redeem our 2025 Notes.</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provided cash of $157.7 million for the fiscal year ended September 30, 2016, and our financing activities used cash proceeds of $132.7 million for the same period. Our operating activities provided cash primarily from sales and repayments on our investments and our financing activities used cash primarily for net repayments on our Credit Facility and our stock repurchase program.</w:t>
      </w:r>
    </w:p>
    <w:p>
      <w:pPr>
        <w:sectPr>
          <w:pgSz w:w="11900" w:h="16928" w:orient="portrait"/>
          <w:cols w:equalWidth="0" w:num="1">
            <w:col w:w="11240"/>
          </w:cols>
          <w:pgMar w:left="320" w:top="111" w:right="339" w:bottom="0" w:gutter="0" w:footer="0" w:header="0"/>
        </w:sectPr>
      </w:pPr>
    </w:p>
    <w:bookmarkStart w:id="6" w:name="page7"/>
    <w:bookmarkEnd w:id="6"/>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the fiscal years ended September 30, 2017 and 2016, we declared distributions of $0.82 and $1.12 per share, respectively, for total distributions of $58.3 million and $79.8 million.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deemed to be a return of capital. Tax characteristics of all distributions will be reported to stockholders subject to information reporting on Form 1099-DIV after the end of the calendar year and in our periodic reports filed with the Securities and Exchange Commission, or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report on Form 10-K filed with the SEC and stockholders may find the report on our website at www.pennantpark.com.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22"/>
                <w:szCs w:val="22"/>
                <w:b w:val="1"/>
                <w:bCs w:val="1"/>
                <w:color w:val="auto"/>
                <w:w w:val="86"/>
              </w:rPr>
              <w:t>September 30,</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22"/>
                <w:szCs w:val="22"/>
                <w:b w:val="1"/>
                <w:bCs w:val="1"/>
                <w:color w:val="auto"/>
                <w:w w:val="87"/>
              </w:rPr>
              <w:t>September 30,</w:t>
            </w:r>
          </w:p>
        </w:tc>
      </w:tr>
      <w:tr>
        <w:trPr>
          <w:trHeight w:val="280"/>
        </w:trPr>
        <w:tc>
          <w:tcPr>
            <w:tcW w:w="7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2017</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r>
      <w:tr>
        <w:trPr>
          <w:trHeight w:val="259"/>
        </w:trPr>
        <w:tc>
          <w:tcPr>
            <w:tcW w:w="772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7720" w:type="dxa"/>
            <w:vAlign w:val="bottom"/>
          </w:tcPr>
          <w:p>
            <w:pPr>
              <w:ind w:left="260"/>
              <w:spacing w:after="0" w:line="243" w:lineRule="exact"/>
              <w:rPr>
                <w:sz w:val="20"/>
                <w:szCs w:val="20"/>
                <w:color w:val="auto"/>
              </w:rPr>
            </w:pPr>
            <w:r>
              <w:rPr>
                <w:rFonts w:ascii="Arial" w:cs="Arial" w:eastAsia="Arial" w:hAnsi="Arial"/>
                <w:sz w:val="22"/>
                <w:szCs w:val="22"/>
                <w:color w:val="auto"/>
                <w:w w:val="92"/>
              </w:rPr>
              <w:t>Non-controlled, non-affiliated investments (cost—$824,106,322 and $805,189,545,</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2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Pr>
          <w:p>
            <w:pPr>
              <w:jc w:val="right"/>
              <w:spacing w:after="0"/>
              <w:rPr>
                <w:sz w:val="20"/>
                <w:szCs w:val="20"/>
                <w:color w:val="auto"/>
              </w:rPr>
            </w:pPr>
            <w:r>
              <w:rPr>
                <w:rFonts w:ascii="Arial" w:cs="Arial" w:eastAsia="Arial" w:hAnsi="Arial"/>
                <w:sz w:val="22"/>
                <w:szCs w:val="22"/>
                <w:color w:val="auto"/>
              </w:rPr>
              <w:t>849,351,548</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Pr>
          <w:p>
            <w:pPr>
              <w:jc w:val="right"/>
              <w:spacing w:after="0"/>
              <w:rPr>
                <w:sz w:val="20"/>
                <w:szCs w:val="20"/>
                <w:color w:val="auto"/>
              </w:rPr>
            </w:pPr>
            <w:r>
              <w:rPr>
                <w:rFonts w:ascii="Arial" w:cs="Arial" w:eastAsia="Arial" w:hAnsi="Arial"/>
                <w:sz w:val="22"/>
                <w:szCs w:val="22"/>
                <w:color w:val="auto"/>
              </w:rPr>
              <w:t>813,467,491</w:t>
            </w:r>
          </w:p>
        </w:tc>
        <w:tc>
          <w:tcPr>
            <w:tcW w:w="80" w:type="dxa"/>
            <w:vAlign w:val="bottom"/>
          </w:tcPr>
          <w:p>
            <w:pPr>
              <w:spacing w:after="0"/>
              <w:rPr>
                <w:sz w:val="23"/>
                <w:szCs w:val="23"/>
                <w:color w:val="auto"/>
              </w:rPr>
            </w:pPr>
          </w:p>
        </w:tc>
      </w:tr>
      <w:tr>
        <w:trPr>
          <w:trHeight w:val="243"/>
        </w:trPr>
        <w:tc>
          <w:tcPr>
            <w:tcW w:w="7720" w:type="dxa"/>
            <w:vAlign w:val="bottom"/>
          </w:tcPr>
          <w:p>
            <w:pPr>
              <w:ind w:left="260"/>
              <w:spacing w:after="0" w:line="243" w:lineRule="exact"/>
              <w:rPr>
                <w:sz w:val="20"/>
                <w:szCs w:val="20"/>
                <w:color w:val="auto"/>
              </w:rPr>
            </w:pPr>
            <w:r>
              <w:rPr>
                <w:rFonts w:ascii="Arial" w:cs="Arial" w:eastAsia="Arial" w:hAnsi="Arial"/>
                <w:sz w:val="22"/>
                <w:szCs w:val="22"/>
                <w:color w:val="auto"/>
                <w:w w:val="97"/>
              </w:rPr>
              <w:t>Non-controlled, affiliated investments (cost—$185,799,943 and $262,476,906,</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2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189,674,977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215,192,547</w:t>
            </w:r>
          </w:p>
        </w:tc>
        <w:tc>
          <w:tcPr>
            <w:tcW w:w="80" w:type="dxa"/>
            <w:vAlign w:val="bottom"/>
          </w:tcPr>
          <w:p>
            <w:pPr>
              <w:spacing w:after="0"/>
              <w:rPr>
                <w:sz w:val="23"/>
                <w:szCs w:val="23"/>
                <w:color w:val="auto"/>
              </w:rPr>
            </w:pPr>
          </w:p>
        </w:tc>
      </w:tr>
      <w:tr>
        <w:trPr>
          <w:trHeight w:val="243"/>
        </w:trPr>
        <w:tc>
          <w:tcPr>
            <w:tcW w:w="7720" w:type="dxa"/>
            <w:vAlign w:val="bottom"/>
          </w:tcPr>
          <w:p>
            <w:pPr>
              <w:ind w:left="260"/>
              <w:spacing w:after="0" w:line="243" w:lineRule="exact"/>
              <w:rPr>
                <w:sz w:val="20"/>
                <w:szCs w:val="20"/>
                <w:color w:val="auto"/>
              </w:rPr>
            </w:pPr>
            <w:r>
              <w:rPr>
                <w:rFonts w:ascii="Arial" w:cs="Arial" w:eastAsia="Arial" w:hAnsi="Arial"/>
                <w:sz w:val="22"/>
                <w:szCs w:val="22"/>
                <w:color w:val="auto"/>
              </w:rPr>
              <w:t>Controlled, affiliated investments (cost—$200,120,407 and $186,290,695,</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4"/>
        </w:trPr>
        <w:tc>
          <w:tcPr>
            <w:tcW w:w="772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114,550,983</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125,019,637</w:t>
            </w:r>
          </w:p>
        </w:tc>
        <w:tc>
          <w:tcPr>
            <w:tcW w:w="80" w:type="dxa"/>
            <w:vAlign w:val="bottom"/>
          </w:tcPr>
          <w:p>
            <w:pPr>
              <w:spacing w:after="0"/>
              <w:rPr>
                <w:sz w:val="23"/>
                <w:szCs w:val="23"/>
                <w:color w:val="auto"/>
              </w:rPr>
            </w:pPr>
          </w:p>
        </w:tc>
      </w:tr>
      <w:tr>
        <w:trPr>
          <w:trHeight w:val="259"/>
        </w:trPr>
        <w:tc>
          <w:tcPr>
            <w:tcW w:w="7720" w:type="dxa"/>
            <w:vAlign w:val="bottom"/>
          </w:tcPr>
          <w:p>
            <w:pPr>
              <w:ind w:left="260"/>
              <w:spacing w:after="0"/>
              <w:rPr>
                <w:sz w:val="20"/>
                <w:szCs w:val="20"/>
                <w:color w:val="auto"/>
              </w:rPr>
            </w:pPr>
            <w:r>
              <w:rPr>
                <w:rFonts w:ascii="Arial" w:cs="Arial" w:eastAsia="Arial" w:hAnsi="Arial"/>
                <w:sz w:val="22"/>
                <w:szCs w:val="22"/>
                <w:color w:val="auto"/>
                <w:w w:val="97"/>
              </w:rPr>
              <w:t>Total of investments (cost—$1,210,026,672 and $1,253,957,146, respectively)</w:t>
            </w: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1,153,577,508</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1,153,679,675</w:t>
            </w:r>
          </w:p>
        </w:tc>
        <w:tc>
          <w:tcPr>
            <w:tcW w:w="80" w:type="dxa"/>
            <w:vAlign w:val="bottom"/>
          </w:tcPr>
          <w:p>
            <w:pPr>
              <w:spacing w:after="0"/>
              <w:rPr>
                <w:sz w:val="22"/>
                <w:szCs w:val="22"/>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Cash and cash equivalents (cost—$38,182,373 and $75,617,133, 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38,202,068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75,608,113</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5,906,976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7,032,858</w:t>
            </w:r>
          </w:p>
        </w:tc>
        <w:tc>
          <w:tcPr>
            <w:tcW w:w="80" w:type="dxa"/>
            <w:vAlign w:val="bottom"/>
          </w:tcPr>
          <w:p>
            <w:pPr>
              <w:spacing w:after="0"/>
              <w:rPr>
                <w:sz w:val="23"/>
                <w:szCs w:val="23"/>
                <w:color w:val="auto"/>
              </w:rPr>
            </w:pPr>
          </w:p>
        </w:tc>
      </w:tr>
      <w:tr>
        <w:trPr>
          <w:trHeight w:val="274"/>
        </w:trPr>
        <w:tc>
          <w:tcPr>
            <w:tcW w:w="772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4,509,289</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2,615,232</w:t>
            </w:r>
          </w:p>
        </w:tc>
        <w:tc>
          <w:tcPr>
            <w:tcW w:w="80" w:type="dxa"/>
            <w:vAlign w:val="bottom"/>
          </w:tcPr>
          <w:p>
            <w:pPr>
              <w:spacing w:after="0"/>
              <w:rPr>
                <w:sz w:val="23"/>
                <w:szCs w:val="23"/>
                <w:color w:val="auto"/>
              </w:rPr>
            </w:pPr>
          </w:p>
        </w:tc>
      </w:tr>
      <w:tr>
        <w:trPr>
          <w:trHeight w:val="267"/>
        </w:trPr>
        <w:tc>
          <w:tcPr>
            <w:tcW w:w="772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1,202,195,841</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1,238,935,878</w:t>
            </w:r>
          </w:p>
        </w:tc>
        <w:tc>
          <w:tcPr>
            <w:tcW w:w="80" w:type="dxa"/>
            <w:vAlign w:val="bottom"/>
          </w:tcPr>
          <w:p>
            <w:pPr>
              <w:spacing w:after="0"/>
              <w:rPr>
                <w:sz w:val="23"/>
                <w:szCs w:val="23"/>
                <w:color w:val="auto"/>
              </w:rPr>
            </w:pPr>
          </w:p>
        </w:tc>
      </w:tr>
      <w:tr>
        <w:trPr>
          <w:trHeight w:val="256"/>
        </w:trPr>
        <w:tc>
          <w:tcPr>
            <w:tcW w:w="772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12,790,950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19,897,034</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1,014,000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Credit Facility payable (cost—$79,392,900 and $50,339,700, 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76,037,341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39,551,187</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2019 Notes payable (par—$250,000,000)</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255,665,000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254,175,000</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2025 Notes payable (par—zero and $71,250,000, respectively)</w:t>
            </w:r>
          </w:p>
        </w:tc>
        <w:tc>
          <w:tcPr>
            <w:tcW w:w="140" w:type="dxa"/>
            <w:vAlign w:val="bottom"/>
          </w:tcPr>
          <w:p>
            <w:pPr>
              <w:spacing w:after="0"/>
              <w:rPr>
                <w:sz w:val="23"/>
                <w:szCs w:val="2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72,618,000</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w w:val="95"/>
              </w:rPr>
              <w:t>SBA debentures payable, net (par—$199,000,000 and $197,500,000, respectively)</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194,364,653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193,244,534</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4,845,237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5,074,830</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Performance-based incentive fee payable, net</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2,270,008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2,865,444</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6,876,756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7,520,113</w:t>
            </w:r>
          </w:p>
        </w:tc>
        <w:tc>
          <w:tcPr>
            <w:tcW w:w="80" w:type="dxa"/>
            <w:vAlign w:val="bottom"/>
          </w:tcPr>
          <w:p>
            <w:pPr>
              <w:spacing w:after="0"/>
              <w:rPr>
                <w:sz w:val="23"/>
                <w:szCs w:val="23"/>
                <w:color w:val="auto"/>
              </w:rPr>
            </w:pPr>
          </w:p>
        </w:tc>
      </w:tr>
      <w:tr>
        <w:trPr>
          <w:trHeight w:val="274"/>
        </w:trPr>
        <w:tc>
          <w:tcPr>
            <w:tcW w:w="772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1,523,425</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622,880</w:t>
            </w:r>
          </w:p>
        </w:tc>
        <w:tc>
          <w:tcPr>
            <w:tcW w:w="80" w:type="dxa"/>
            <w:vAlign w:val="bottom"/>
          </w:tcPr>
          <w:p>
            <w:pPr>
              <w:spacing w:after="0"/>
              <w:rPr>
                <w:sz w:val="23"/>
                <w:szCs w:val="23"/>
                <w:color w:val="auto"/>
              </w:rPr>
            </w:pPr>
          </w:p>
        </w:tc>
      </w:tr>
      <w:tr>
        <w:trPr>
          <w:trHeight w:val="267"/>
        </w:trPr>
        <w:tc>
          <w:tcPr>
            <w:tcW w:w="772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555,387,370</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595,569,022</w:t>
            </w:r>
          </w:p>
        </w:tc>
        <w:tc>
          <w:tcPr>
            <w:tcW w:w="80" w:type="dxa"/>
            <w:vAlign w:val="bottom"/>
          </w:tcPr>
          <w:p>
            <w:pPr>
              <w:spacing w:after="0"/>
              <w:rPr>
                <w:sz w:val="23"/>
                <w:szCs w:val="23"/>
                <w:color w:val="auto"/>
              </w:rPr>
            </w:pPr>
          </w:p>
        </w:tc>
      </w:tr>
      <w:tr>
        <w:trPr>
          <w:trHeight w:val="250"/>
        </w:trPr>
        <w:tc>
          <w:tcPr>
            <w:tcW w:w="772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46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r>
      <w:tr>
        <w:trPr>
          <w:trHeight w:val="276"/>
        </w:trPr>
        <w:tc>
          <w:tcPr>
            <w:tcW w:w="772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720" w:type="dxa"/>
            <w:vAlign w:val="bottom"/>
          </w:tcPr>
          <w:p>
            <w:pPr>
              <w:spacing w:after="0" w:line="243" w:lineRule="exact"/>
              <w:rPr>
                <w:sz w:val="20"/>
                <w:szCs w:val="20"/>
                <w:color w:val="auto"/>
              </w:rPr>
            </w:pPr>
            <w:r>
              <w:rPr>
                <w:rFonts w:ascii="Arial" w:cs="Arial" w:eastAsia="Arial" w:hAnsi="Arial"/>
                <w:sz w:val="22"/>
                <w:szCs w:val="22"/>
                <w:color w:val="auto"/>
              </w:rPr>
              <w:t>Common stock, 71,060,836 shares issued and outstanding</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2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71,061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71,061</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818,737,784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819,983,676</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Undistributed net investment income</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3,333,195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3,119,380</w:t>
            </w:r>
          </w:p>
        </w:tc>
        <w:tc>
          <w:tcPr>
            <w:tcW w:w="80" w:type="dxa"/>
            <w:vAlign w:val="bottom"/>
          </w:tcPr>
          <w:p>
            <w:pPr>
              <w:spacing w:after="0"/>
              <w:rPr>
                <w:sz w:val="23"/>
                <w:szCs w:val="23"/>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Accumulated net realized loss on investments</w:t>
            </w:r>
          </w:p>
        </w:tc>
        <w:tc>
          <w:tcPr>
            <w:tcW w:w="140" w:type="dxa"/>
            <w:vAlign w:val="bottom"/>
          </w:tcPr>
          <w:p>
            <w:pPr>
              <w:spacing w:after="0"/>
              <w:rPr>
                <w:sz w:val="23"/>
                <w:szCs w:val="23"/>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22"/>
                <w:szCs w:val="22"/>
                <w:color w:val="auto"/>
              </w:rPr>
              <w:t>(116,598,355)</w:t>
            </w:r>
          </w:p>
        </w:tc>
        <w:tc>
          <w:tcPr>
            <w:tcW w:w="12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(84,771,820)</w:t>
            </w:r>
          </w:p>
        </w:tc>
      </w:tr>
      <w:tr>
        <w:trPr>
          <w:trHeight w:val="270"/>
        </w:trPr>
        <w:tc>
          <w:tcPr>
            <w:tcW w:w="7720" w:type="dxa"/>
            <w:vAlign w:val="bottom"/>
          </w:tcPr>
          <w:p>
            <w:pPr>
              <w:spacing w:after="0"/>
              <w:rPr>
                <w:sz w:val="20"/>
                <w:szCs w:val="20"/>
                <w:color w:val="auto"/>
              </w:rPr>
            </w:pPr>
            <w:r>
              <w:rPr>
                <w:rFonts w:ascii="Arial" w:cs="Arial" w:eastAsia="Arial" w:hAnsi="Arial"/>
                <w:sz w:val="22"/>
                <w:szCs w:val="22"/>
                <w:color w:val="auto"/>
              </w:rPr>
              <w:t>Net unrealized depreciation on investments</w:t>
            </w:r>
          </w:p>
        </w:tc>
        <w:tc>
          <w:tcPr>
            <w:tcW w:w="140" w:type="dxa"/>
            <w:vAlign w:val="bottom"/>
          </w:tcPr>
          <w:p>
            <w:pPr>
              <w:spacing w:after="0"/>
              <w:rPr>
                <w:sz w:val="23"/>
                <w:szCs w:val="23"/>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22"/>
                <w:szCs w:val="22"/>
                <w:color w:val="auto"/>
              </w:rPr>
              <w:t>(56,425,773)</w:t>
            </w:r>
          </w:p>
        </w:tc>
        <w:tc>
          <w:tcPr>
            <w:tcW w:w="12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(100,280,954)</w:t>
            </w:r>
          </w:p>
        </w:tc>
      </w:tr>
      <w:tr>
        <w:trPr>
          <w:trHeight w:val="274"/>
        </w:trPr>
        <w:tc>
          <w:tcPr>
            <w:tcW w:w="7720" w:type="dxa"/>
            <w:vAlign w:val="bottom"/>
          </w:tcPr>
          <w:p>
            <w:pPr>
              <w:spacing w:after="0"/>
              <w:rPr>
                <w:sz w:val="20"/>
                <w:szCs w:val="20"/>
                <w:color w:val="auto"/>
              </w:rPr>
            </w:pPr>
            <w:r>
              <w:rPr>
                <w:rFonts w:ascii="Arial" w:cs="Arial" w:eastAsia="Arial" w:hAnsi="Arial"/>
                <w:sz w:val="22"/>
                <w:szCs w:val="22"/>
                <w:color w:val="auto"/>
              </w:rPr>
              <w:t>Net unrealized (appreciation) depreciation on debt</w:t>
            </w:r>
          </w:p>
        </w:tc>
        <w:tc>
          <w:tcPr>
            <w:tcW w:w="140" w:type="dxa"/>
            <w:vAlign w:val="bottom"/>
          </w:tcPr>
          <w:p>
            <w:pPr>
              <w:spacing w:after="0"/>
              <w:rPr>
                <w:sz w:val="23"/>
                <w:szCs w:val="23"/>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22"/>
                <w:szCs w:val="22"/>
                <w:color w:val="auto"/>
              </w:rPr>
              <w:t>(2,309,441)</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5,245,513</w:t>
            </w:r>
          </w:p>
        </w:tc>
        <w:tc>
          <w:tcPr>
            <w:tcW w:w="80" w:type="dxa"/>
            <w:vAlign w:val="bottom"/>
          </w:tcPr>
          <w:p>
            <w:pPr>
              <w:spacing w:after="0"/>
              <w:rPr>
                <w:sz w:val="23"/>
                <w:szCs w:val="23"/>
                <w:color w:val="auto"/>
              </w:rPr>
            </w:pPr>
          </w:p>
        </w:tc>
      </w:tr>
      <w:tr>
        <w:trPr>
          <w:trHeight w:val="267"/>
        </w:trPr>
        <w:tc>
          <w:tcPr>
            <w:tcW w:w="772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646,808,471</w:t>
            </w:r>
          </w:p>
        </w:tc>
        <w:tc>
          <w:tcPr>
            <w:tcW w:w="2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643,366,856</w:t>
            </w:r>
          </w:p>
        </w:tc>
        <w:tc>
          <w:tcPr>
            <w:tcW w:w="80" w:type="dxa"/>
            <w:vAlign w:val="bottom"/>
          </w:tcPr>
          <w:p>
            <w:pPr>
              <w:spacing w:after="0"/>
              <w:rPr>
                <w:sz w:val="23"/>
                <w:szCs w:val="23"/>
                <w:color w:val="auto"/>
              </w:rPr>
            </w:pPr>
          </w:p>
        </w:tc>
      </w:tr>
      <w:tr>
        <w:trPr>
          <w:trHeight w:val="263"/>
        </w:trPr>
        <w:tc>
          <w:tcPr>
            <w:tcW w:w="772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1,202,195,841</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1,238,935,878</w:t>
            </w:r>
          </w:p>
        </w:tc>
        <w:tc>
          <w:tcPr>
            <w:tcW w:w="80" w:type="dxa"/>
            <w:vAlign w:val="bottom"/>
          </w:tcPr>
          <w:p>
            <w:pPr>
              <w:spacing w:after="0"/>
              <w:rPr>
                <w:sz w:val="22"/>
                <w:szCs w:val="22"/>
                <w:color w:val="auto"/>
              </w:rPr>
            </w:pPr>
          </w:p>
        </w:tc>
      </w:tr>
      <w:tr>
        <w:trPr>
          <w:trHeight w:val="21"/>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772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9.10</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9.05</w:t>
            </w:r>
          </w:p>
        </w:tc>
        <w:tc>
          <w:tcPr>
            <w:tcW w:w="80" w:type="dxa"/>
            <w:vAlign w:val="bottom"/>
          </w:tcPr>
          <w:p>
            <w:pPr>
              <w:spacing w:after="0"/>
              <w:rPr>
                <w:sz w:val="22"/>
                <w:szCs w:val="22"/>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196" w:lineRule="exact"/>
        <w:rPr>
          <w:sz w:val="20"/>
          <w:szCs w:val="20"/>
          <w:color w:val="auto"/>
        </w:rPr>
      </w:pPr>
    </w:p>
    <w:p>
      <w:pPr>
        <w:ind w:left="8360"/>
        <w:spacing w:after="0"/>
        <w:rPr>
          <w:sz w:val="20"/>
          <w:szCs w:val="20"/>
          <w:color w:val="auto"/>
        </w:rPr>
      </w:pPr>
      <w:r>
        <w:rPr>
          <w:rFonts w:ascii="Arial" w:cs="Arial" w:eastAsia="Arial" w:hAnsi="Arial"/>
          <w:sz w:val="21"/>
          <w:szCs w:val="21"/>
          <w:b w:val="1"/>
          <w:bCs w:val="1"/>
          <w:color w:val="auto"/>
        </w:rPr>
        <w:t>Years Ended September 30,</w:t>
      </w:r>
    </w:p>
    <w:p>
      <w:pPr>
        <w:spacing w:after="0" w:line="42" w:lineRule="exact"/>
        <w:rPr>
          <w:sz w:val="20"/>
          <w:szCs w:val="20"/>
          <w:color w:val="auto"/>
        </w:rPr>
      </w:pPr>
    </w:p>
    <w:p>
      <w:pPr>
        <w:ind w:left="8740"/>
        <w:spacing w:after="0"/>
        <w:tabs>
          <w:tab w:leader="none" w:pos="10280" w:val="left"/>
        </w:tabs>
        <w:rPr>
          <w:sz w:val="20"/>
          <w:szCs w:val="20"/>
          <w:color w:val="auto"/>
        </w:rPr>
      </w:pPr>
      <w:r>
        <w:rPr>
          <w:rFonts w:ascii="Arial" w:cs="Arial" w:eastAsia="Arial" w:hAnsi="Arial"/>
          <w:sz w:val="22"/>
          <w:szCs w:val="22"/>
          <w:b w:val="1"/>
          <w:bCs w:val="1"/>
          <w:color w:val="auto"/>
        </w:rPr>
        <w:t>2017</w:t>
      </w:r>
      <w:r>
        <w:rPr>
          <w:sz w:val="20"/>
          <w:szCs w:val="20"/>
          <w:color w:val="auto"/>
        </w:rPr>
        <w:tab/>
      </w:r>
      <w:r>
        <w:rPr>
          <w:rFonts w:ascii="Arial" w:cs="Arial" w:eastAsia="Arial" w:hAnsi="Arial"/>
          <w:sz w:val="22"/>
          <w:szCs w:val="2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-160020</wp:posOffset>
            </wp:positionV>
            <wp:extent cx="1834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ectPr>
          <w:pgSz w:w="11900" w:h="16901" w:orient="portrait"/>
          <w:cols w:equalWidth="0" w:num="1">
            <w:col w:w="11240"/>
          </w:cols>
          <w:pgMar w:left="320" w:top="111" w:right="339" w:bottom="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276"/>
        </w:trPr>
        <w:tc>
          <w:tcPr>
            <w:tcW w:w="820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20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Interest</w:t>
            </w: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84,685,961</w:t>
            </w:r>
          </w:p>
        </w:tc>
        <w:tc>
          <w:tcPr>
            <w:tcW w:w="2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60" w:type="dxa"/>
            <w:vAlign w:val="bottom"/>
          </w:tcPr>
          <w:p>
            <w:pPr>
              <w:jc w:val="right"/>
              <w:spacing w:after="0"/>
              <w:rPr>
                <w:sz w:val="20"/>
                <w:szCs w:val="20"/>
                <w:color w:val="auto"/>
              </w:rPr>
            </w:pPr>
            <w:r>
              <w:rPr>
                <w:rFonts w:ascii="Arial" w:cs="Arial" w:eastAsia="Arial" w:hAnsi="Arial"/>
                <w:sz w:val="22"/>
                <w:szCs w:val="22"/>
                <w:color w:val="auto"/>
                <w:w w:val="91"/>
              </w:rPr>
              <w:t>103,659,182</w:t>
            </w:r>
          </w:p>
        </w:tc>
        <w:tc>
          <w:tcPr>
            <w:tcW w:w="80" w:type="dxa"/>
            <w:vAlign w:val="bottom"/>
          </w:tcPr>
          <w:p>
            <w:pPr>
              <w:spacing w:after="0"/>
              <w:rPr>
                <w:sz w:val="23"/>
                <w:szCs w:val="23"/>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Payment in kind</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3,819,996</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848,834</w:t>
            </w:r>
          </w:p>
        </w:tc>
        <w:tc>
          <w:tcPr>
            <w:tcW w:w="80" w:type="dxa"/>
            <w:vAlign w:val="bottom"/>
          </w:tcPr>
          <w:p>
            <w:pPr>
              <w:spacing w:after="0"/>
              <w:rPr>
                <w:sz w:val="23"/>
                <w:szCs w:val="23"/>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Other income</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7,079,034</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10,945,240</w:t>
            </w:r>
          </w:p>
        </w:tc>
        <w:tc>
          <w:tcPr>
            <w:tcW w:w="80" w:type="dxa"/>
            <w:vAlign w:val="bottom"/>
          </w:tcPr>
          <w:p>
            <w:pPr>
              <w:spacing w:after="0"/>
              <w:rPr>
                <w:sz w:val="23"/>
                <w:szCs w:val="23"/>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Interest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10,339,444</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12,374,621</w:t>
            </w:r>
          </w:p>
        </w:tc>
        <w:tc>
          <w:tcPr>
            <w:tcW w:w="80" w:type="dxa"/>
            <w:vAlign w:val="bottom"/>
          </w:tcPr>
          <w:p>
            <w:pPr>
              <w:spacing w:after="0"/>
              <w:rPr>
                <w:sz w:val="23"/>
                <w:szCs w:val="23"/>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Payment in kind</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5,475,491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680,746</w:t>
            </w:r>
          </w:p>
        </w:tc>
        <w:tc>
          <w:tcPr>
            <w:tcW w:w="80" w:type="dxa"/>
            <w:vAlign w:val="bottom"/>
          </w:tcPr>
          <w:p>
            <w:pPr>
              <w:spacing w:after="0"/>
              <w:rPr>
                <w:sz w:val="23"/>
                <w:szCs w:val="23"/>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Other income</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1,609,935</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80,521</w:t>
            </w:r>
          </w:p>
        </w:tc>
        <w:tc>
          <w:tcPr>
            <w:tcW w:w="80" w:type="dxa"/>
            <w:vAlign w:val="bottom"/>
          </w:tcPr>
          <w:p>
            <w:pPr>
              <w:spacing w:after="0"/>
              <w:rPr>
                <w:sz w:val="23"/>
                <w:szCs w:val="23"/>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Interest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734,163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731,381</w:t>
            </w:r>
          </w:p>
        </w:tc>
        <w:tc>
          <w:tcPr>
            <w:tcW w:w="80" w:type="dxa"/>
            <w:vAlign w:val="bottom"/>
          </w:tcPr>
          <w:p>
            <w:pPr>
              <w:spacing w:after="0"/>
              <w:rPr>
                <w:sz w:val="23"/>
                <w:szCs w:val="23"/>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Payment in kind</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10,790,300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12,750,302</w:t>
            </w:r>
          </w:p>
        </w:tc>
        <w:tc>
          <w:tcPr>
            <w:tcW w:w="80" w:type="dxa"/>
            <w:vAlign w:val="bottom"/>
          </w:tcPr>
          <w:p>
            <w:pPr>
              <w:spacing w:after="0"/>
              <w:rPr>
                <w:sz w:val="23"/>
                <w:szCs w:val="23"/>
                <w:color w:val="auto"/>
              </w:rPr>
            </w:pPr>
          </w:p>
        </w:tc>
      </w:tr>
      <w:tr>
        <w:trPr>
          <w:trHeight w:val="274"/>
        </w:trPr>
        <w:tc>
          <w:tcPr>
            <w:tcW w:w="8200" w:type="dxa"/>
            <w:vAlign w:val="bottom"/>
          </w:tcPr>
          <w:p>
            <w:pPr>
              <w:ind w:left="400"/>
              <w:spacing w:after="0"/>
              <w:rPr>
                <w:sz w:val="20"/>
                <w:szCs w:val="20"/>
                <w:color w:val="auto"/>
              </w:rPr>
            </w:pPr>
            <w:r>
              <w:rPr>
                <w:rFonts w:ascii="Arial" w:cs="Arial" w:eastAsia="Arial" w:hAnsi="Arial"/>
                <w:sz w:val="22"/>
                <w:szCs w:val="22"/>
                <w:color w:val="auto"/>
              </w:rPr>
              <w:t>Other income</w:t>
            </w:r>
          </w:p>
        </w:tc>
        <w:tc>
          <w:tcPr>
            <w:tcW w:w="2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267"/>
        </w:trPr>
        <w:tc>
          <w:tcPr>
            <w:tcW w:w="8200" w:type="dxa"/>
            <w:vAlign w:val="bottom"/>
          </w:tcPr>
          <w:p>
            <w:pPr>
              <w:ind w:left="400"/>
              <w:spacing w:after="0"/>
              <w:rPr>
                <w:sz w:val="20"/>
                <w:szCs w:val="20"/>
                <w:color w:val="auto"/>
              </w:rPr>
            </w:pPr>
            <w:r>
              <w:rPr>
                <w:rFonts w:ascii="Arial" w:cs="Arial" w:eastAsia="Arial" w:hAnsi="Arial"/>
                <w:sz w:val="22"/>
                <w:szCs w:val="22"/>
                <w:b w:val="1"/>
                <w:bCs w:val="1"/>
                <w:color w:val="auto"/>
              </w:rPr>
              <w:t>Total investment income</w:t>
            </w:r>
          </w:p>
        </w:tc>
        <w:tc>
          <w:tcPr>
            <w:tcW w:w="20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1"/>
              </w:rPr>
              <w:t>124,534,324</w:t>
            </w:r>
          </w:p>
        </w:tc>
        <w:tc>
          <w:tcPr>
            <w:tcW w:w="20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1"/>
              </w:rPr>
              <w:t>142,070,827</w:t>
            </w:r>
          </w:p>
        </w:tc>
        <w:tc>
          <w:tcPr>
            <w:tcW w:w="80" w:type="dxa"/>
            <w:vAlign w:val="bottom"/>
          </w:tcPr>
          <w:p>
            <w:pPr>
              <w:spacing w:after="0"/>
              <w:rPr>
                <w:sz w:val="23"/>
                <w:szCs w:val="23"/>
                <w:color w:val="auto"/>
              </w:rPr>
            </w:pPr>
          </w:p>
        </w:tc>
      </w:tr>
      <w:tr>
        <w:trPr>
          <w:trHeight w:val="256"/>
        </w:trPr>
        <w:tc>
          <w:tcPr>
            <w:tcW w:w="82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Base management fee</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24,218,029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24,852,898</w:t>
            </w:r>
          </w:p>
        </w:tc>
        <w:tc>
          <w:tcPr>
            <w:tcW w:w="80" w:type="dxa"/>
            <w:vAlign w:val="bottom"/>
          </w:tcPr>
          <w:p>
            <w:pPr>
              <w:spacing w:after="0"/>
              <w:rPr>
                <w:sz w:val="23"/>
                <w:szCs w:val="23"/>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Performance-based incentive fee</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11,077,956</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16,018,790</w:t>
            </w:r>
          </w:p>
        </w:tc>
        <w:tc>
          <w:tcPr>
            <w:tcW w:w="80" w:type="dxa"/>
            <w:vAlign w:val="bottom"/>
          </w:tcPr>
          <w:p>
            <w:pPr>
              <w:spacing w:after="0"/>
              <w:rPr>
                <w:sz w:val="23"/>
                <w:szCs w:val="23"/>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Interest and expenses on debt</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26,642,113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27,601,242</w:t>
            </w:r>
          </w:p>
        </w:tc>
        <w:tc>
          <w:tcPr>
            <w:tcW w:w="80" w:type="dxa"/>
            <w:vAlign w:val="bottom"/>
          </w:tcPr>
          <w:p>
            <w:pPr>
              <w:spacing w:after="0"/>
              <w:rPr>
                <w:sz w:val="23"/>
                <w:szCs w:val="23"/>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Administrative services expenses</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3,576,000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3,566,667</w:t>
            </w:r>
          </w:p>
        </w:tc>
        <w:tc>
          <w:tcPr>
            <w:tcW w:w="80" w:type="dxa"/>
            <w:vAlign w:val="bottom"/>
          </w:tcPr>
          <w:p>
            <w:pPr>
              <w:spacing w:after="0"/>
              <w:rPr>
                <w:sz w:val="23"/>
                <w:szCs w:val="23"/>
                <w:color w:val="auto"/>
              </w:rPr>
            </w:pPr>
          </w:p>
        </w:tc>
      </w:tr>
      <w:tr>
        <w:trPr>
          <w:trHeight w:val="274"/>
        </w:trPr>
        <w:tc>
          <w:tcPr>
            <w:tcW w:w="8200" w:type="dxa"/>
            <w:vAlign w:val="bottom"/>
          </w:tcPr>
          <w:p>
            <w:pPr>
              <w:ind w:left="400"/>
              <w:spacing w:after="0"/>
              <w:rPr>
                <w:sz w:val="20"/>
                <w:szCs w:val="20"/>
                <w:color w:val="auto"/>
              </w:rPr>
            </w:pPr>
            <w:r>
              <w:rPr>
                <w:rFonts w:ascii="Arial" w:cs="Arial" w:eastAsia="Arial" w:hAnsi="Arial"/>
                <w:sz w:val="22"/>
                <w:szCs w:val="22"/>
                <w:color w:val="auto"/>
              </w:rPr>
              <w:t>Other general and administrative expenses</w:t>
            </w: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2,662,640</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3,605,923</w:t>
            </w:r>
          </w:p>
        </w:tc>
        <w:tc>
          <w:tcPr>
            <w:tcW w:w="80" w:type="dxa"/>
            <w:vAlign w:val="bottom"/>
          </w:tcPr>
          <w:p>
            <w:pPr>
              <w:spacing w:after="0"/>
              <w:rPr>
                <w:sz w:val="23"/>
                <w:szCs w:val="23"/>
                <w:color w:val="auto"/>
              </w:rPr>
            </w:pPr>
          </w:p>
        </w:tc>
      </w:tr>
      <w:tr>
        <w:trPr>
          <w:trHeight w:val="259"/>
        </w:trPr>
        <w:tc>
          <w:tcPr>
            <w:tcW w:w="8200" w:type="dxa"/>
            <w:vAlign w:val="bottom"/>
          </w:tcPr>
          <w:p>
            <w:pPr>
              <w:ind w:left="400"/>
              <w:spacing w:after="0"/>
              <w:rPr>
                <w:sz w:val="20"/>
                <w:szCs w:val="20"/>
                <w:color w:val="auto"/>
              </w:rPr>
            </w:pPr>
            <w:r>
              <w:rPr>
                <w:rFonts w:ascii="Arial" w:cs="Arial" w:eastAsia="Arial" w:hAnsi="Arial"/>
                <w:sz w:val="22"/>
                <w:szCs w:val="22"/>
                <w:b w:val="1"/>
                <w:bCs w:val="1"/>
                <w:color w:val="auto"/>
              </w:rPr>
              <w:t>Expenses before Management Fees waiver and provision for taxes</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68,176,738</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75,646,520</w:t>
            </w:r>
          </w:p>
        </w:tc>
        <w:tc>
          <w:tcPr>
            <w:tcW w:w="80" w:type="dxa"/>
            <w:vAlign w:val="bottom"/>
          </w:tcPr>
          <w:p>
            <w:pPr>
              <w:spacing w:after="0"/>
              <w:rPr>
                <w:sz w:val="22"/>
                <w:szCs w:val="22"/>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Management Fees wavier</w:t>
            </w:r>
          </w:p>
        </w:tc>
        <w:tc>
          <w:tcPr>
            <w:tcW w:w="20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2"/>
                <w:szCs w:val="22"/>
                <w:color w:val="auto"/>
              </w:rPr>
              <w:t>(5,647,358)</w:t>
            </w:r>
          </w:p>
        </w:tc>
        <w:tc>
          <w:tcPr>
            <w:tcW w:w="20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(6,539,475)</w:t>
            </w: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Provision for taxes</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1,700,000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2,350,000</w:t>
            </w:r>
          </w:p>
        </w:tc>
        <w:tc>
          <w:tcPr>
            <w:tcW w:w="80" w:type="dxa"/>
            <w:vAlign w:val="bottom"/>
          </w:tcPr>
          <w:p>
            <w:pPr>
              <w:spacing w:after="0"/>
              <w:rPr>
                <w:sz w:val="23"/>
                <w:szCs w:val="23"/>
                <w:color w:val="auto"/>
              </w:rPr>
            </w:pPr>
          </w:p>
        </w:tc>
      </w:tr>
      <w:tr>
        <w:trPr>
          <w:trHeight w:val="274"/>
        </w:trPr>
        <w:tc>
          <w:tcPr>
            <w:tcW w:w="8200" w:type="dxa"/>
            <w:vAlign w:val="bottom"/>
          </w:tcPr>
          <w:p>
            <w:pPr>
              <w:ind w:left="400"/>
              <w:spacing w:after="0"/>
              <w:rPr>
                <w:sz w:val="20"/>
                <w:szCs w:val="20"/>
                <w:color w:val="auto"/>
              </w:rPr>
            </w:pPr>
            <w:r>
              <w:rPr>
                <w:rFonts w:ascii="Arial" w:cs="Arial" w:eastAsia="Arial" w:hAnsi="Arial"/>
                <w:sz w:val="22"/>
                <w:szCs w:val="22"/>
                <w:color w:val="auto"/>
              </w:rPr>
              <w:t>Credit Facility amendment costs</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3,866,633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267"/>
        </w:trPr>
        <w:tc>
          <w:tcPr>
            <w:tcW w:w="8200" w:type="dxa"/>
            <w:vAlign w:val="bottom"/>
          </w:tcPr>
          <w:p>
            <w:pPr>
              <w:ind w:left="400"/>
              <w:spacing w:after="0"/>
              <w:rPr>
                <w:sz w:val="20"/>
                <w:szCs w:val="20"/>
                <w:color w:val="auto"/>
              </w:rPr>
            </w:pPr>
            <w:r>
              <w:rPr>
                <w:rFonts w:ascii="Arial" w:cs="Arial" w:eastAsia="Arial" w:hAnsi="Arial"/>
                <w:sz w:val="22"/>
                <w:szCs w:val="22"/>
                <w:b w:val="1"/>
                <w:bCs w:val="1"/>
                <w:color w:val="auto"/>
              </w:rPr>
              <w:t>Net expenses</w:t>
            </w:r>
          </w:p>
        </w:tc>
        <w:tc>
          <w:tcPr>
            <w:tcW w:w="20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68,096,013</w:t>
            </w:r>
          </w:p>
        </w:tc>
        <w:tc>
          <w:tcPr>
            <w:tcW w:w="20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71,456,045</w:t>
            </w:r>
          </w:p>
        </w:tc>
        <w:tc>
          <w:tcPr>
            <w:tcW w:w="80" w:type="dxa"/>
            <w:vAlign w:val="bottom"/>
          </w:tcPr>
          <w:p>
            <w:pPr>
              <w:spacing w:after="0"/>
              <w:rPr>
                <w:sz w:val="23"/>
                <w:szCs w:val="23"/>
                <w:color w:val="auto"/>
              </w:rPr>
            </w:pPr>
          </w:p>
        </w:tc>
      </w:tr>
      <w:tr>
        <w:trPr>
          <w:trHeight w:val="264"/>
        </w:trPr>
        <w:tc>
          <w:tcPr>
            <w:tcW w:w="8200" w:type="dxa"/>
            <w:vAlign w:val="bottom"/>
          </w:tcPr>
          <w:p>
            <w:pPr>
              <w:ind w:left="400"/>
              <w:spacing w:after="0"/>
              <w:rPr>
                <w:sz w:val="20"/>
                <w:szCs w:val="20"/>
                <w:color w:val="auto"/>
              </w:rPr>
            </w:pPr>
            <w:r>
              <w:rPr>
                <w:rFonts w:ascii="Arial" w:cs="Arial" w:eastAsia="Arial" w:hAnsi="Arial"/>
                <w:sz w:val="22"/>
                <w:szCs w:val="22"/>
                <w:b w:val="1"/>
                <w:bCs w:val="1"/>
                <w:color w:val="auto"/>
              </w:rPr>
              <w:t>Net investment income</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56,438,311</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70,614,782</w:t>
            </w:r>
          </w:p>
        </w:tc>
        <w:tc>
          <w:tcPr>
            <w:tcW w:w="80" w:type="dxa"/>
            <w:vAlign w:val="bottom"/>
          </w:tcPr>
          <w:p>
            <w:pPr>
              <w:spacing w:after="0"/>
              <w:rPr>
                <w:sz w:val="22"/>
                <w:szCs w:val="22"/>
                <w:color w:val="auto"/>
              </w:rPr>
            </w:pPr>
          </w:p>
        </w:tc>
      </w:tr>
      <w:tr>
        <w:trPr>
          <w:trHeight w:val="256"/>
        </w:trPr>
        <w:tc>
          <w:tcPr>
            <w:tcW w:w="8200" w:type="dxa"/>
            <w:vAlign w:val="bottom"/>
          </w:tcPr>
          <w:p>
            <w:pPr>
              <w:spacing w:after="0"/>
              <w:rPr>
                <w:sz w:val="20"/>
                <w:szCs w:val="20"/>
                <w:color w:val="auto"/>
              </w:rPr>
            </w:pPr>
            <w:r>
              <w:rPr>
                <w:rFonts w:ascii="Arial" w:cs="Arial" w:eastAsia="Arial" w:hAnsi="Arial"/>
                <w:sz w:val="22"/>
                <w:szCs w:val="22"/>
                <w:b w:val="1"/>
                <w:bCs w:val="1"/>
                <w:color w:val="auto"/>
              </w:rPr>
              <w:t>Realized and unrealized gain (loss) on investments and debt:</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22"/>
                <w:szCs w:val="22"/>
                <w:color w:val="auto"/>
              </w:rPr>
              <w:t>Net realized (loss) gain on investments</w:t>
            </w:r>
          </w:p>
        </w:tc>
        <w:tc>
          <w:tcPr>
            <w:tcW w:w="20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2"/>
                <w:szCs w:val="22"/>
                <w:color w:val="auto"/>
                <w:w w:val="97"/>
              </w:rPr>
              <w:t>(31,027,037)</w:t>
            </w:r>
          </w:p>
        </w:tc>
        <w:tc>
          <w:tcPr>
            <w:tcW w:w="20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w w:val="97"/>
              </w:rPr>
              <w:t>(80,530,707)</w:t>
            </w:r>
          </w:p>
        </w:tc>
      </w:tr>
      <w:tr>
        <w:trPr>
          <w:trHeight w:val="270"/>
        </w:trPr>
        <w:tc>
          <w:tcPr>
            <w:tcW w:w="8200" w:type="dxa"/>
            <w:vAlign w:val="bottom"/>
          </w:tcPr>
          <w:p>
            <w:pPr>
              <w:spacing w:after="0"/>
              <w:rPr>
                <w:sz w:val="20"/>
                <w:szCs w:val="20"/>
                <w:color w:val="auto"/>
              </w:rPr>
            </w:pPr>
            <w:r>
              <w:rPr>
                <w:rFonts w:ascii="Arial" w:cs="Arial" w:eastAsia="Arial" w:hAnsi="Arial"/>
                <w:sz w:val="22"/>
                <w:szCs w:val="22"/>
                <w:color w:val="auto"/>
              </w:rPr>
              <w:t>Net change in unrealized appreciation (depreciation) on:</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Non-controlled, non-affiliated investments</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16,950,900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48,052,466</w:t>
            </w:r>
          </w:p>
        </w:tc>
        <w:tc>
          <w:tcPr>
            <w:tcW w:w="80" w:type="dxa"/>
            <w:vAlign w:val="bottom"/>
          </w:tcPr>
          <w:p>
            <w:pPr>
              <w:spacing w:after="0"/>
              <w:rPr>
                <w:sz w:val="23"/>
                <w:szCs w:val="23"/>
                <w:color w:val="auto"/>
              </w:rPr>
            </w:pPr>
          </w:p>
        </w:tc>
      </w:tr>
      <w:tr>
        <w:trPr>
          <w:trHeight w:val="270"/>
        </w:trPr>
        <w:tc>
          <w:tcPr>
            <w:tcW w:w="8200" w:type="dxa"/>
            <w:vAlign w:val="bottom"/>
          </w:tcPr>
          <w:p>
            <w:pPr>
              <w:ind w:left="400"/>
              <w:spacing w:after="0"/>
              <w:rPr>
                <w:sz w:val="20"/>
                <w:szCs w:val="20"/>
                <w:color w:val="auto"/>
              </w:rPr>
            </w:pPr>
            <w:r>
              <w:rPr>
                <w:rFonts w:ascii="Arial" w:cs="Arial" w:eastAsia="Arial" w:hAnsi="Arial"/>
                <w:sz w:val="22"/>
                <w:szCs w:val="22"/>
                <w:color w:val="auto"/>
              </w:rPr>
              <w:t>Non-controlled and controlled, affiliated investments</w:t>
            </w: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26,904,281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w w:val="97"/>
              </w:rPr>
              <w:t>(23,126,408)</w:t>
            </w:r>
          </w:p>
        </w:tc>
      </w:tr>
      <w:tr>
        <w:trPr>
          <w:trHeight w:val="274"/>
        </w:trPr>
        <w:tc>
          <w:tcPr>
            <w:tcW w:w="8200" w:type="dxa"/>
            <w:vAlign w:val="bottom"/>
          </w:tcPr>
          <w:p>
            <w:pPr>
              <w:ind w:left="400"/>
              <w:spacing w:after="0"/>
              <w:rPr>
                <w:sz w:val="20"/>
                <w:szCs w:val="20"/>
                <w:color w:val="auto"/>
              </w:rPr>
            </w:pPr>
            <w:r>
              <w:rPr>
                <w:rFonts w:ascii="Arial" w:cs="Arial" w:eastAsia="Arial" w:hAnsi="Arial"/>
                <w:sz w:val="22"/>
                <w:szCs w:val="22"/>
                <w:color w:val="auto"/>
              </w:rPr>
              <w:t>Debt (appreciation) depreciation</w:t>
            </w:r>
          </w:p>
        </w:tc>
        <w:tc>
          <w:tcPr>
            <w:tcW w:w="20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2"/>
                <w:szCs w:val="22"/>
                <w:color w:val="auto"/>
              </w:rPr>
              <w:t>(7,554,954 )</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3,726,573</w:t>
            </w:r>
          </w:p>
        </w:tc>
        <w:tc>
          <w:tcPr>
            <w:tcW w:w="80" w:type="dxa"/>
            <w:vAlign w:val="bottom"/>
          </w:tcPr>
          <w:p>
            <w:pPr>
              <w:spacing w:after="0"/>
              <w:rPr>
                <w:sz w:val="23"/>
                <w:szCs w:val="23"/>
                <w:color w:val="auto"/>
              </w:rPr>
            </w:pPr>
          </w:p>
        </w:tc>
      </w:tr>
      <w:tr>
        <w:trPr>
          <w:trHeight w:val="267"/>
        </w:trPr>
        <w:tc>
          <w:tcPr>
            <w:tcW w:w="8200" w:type="dxa"/>
            <w:vAlign w:val="bottom"/>
          </w:tcPr>
          <w:p>
            <w:pPr>
              <w:ind w:left="400"/>
              <w:spacing w:after="0"/>
              <w:rPr>
                <w:sz w:val="20"/>
                <w:szCs w:val="20"/>
                <w:color w:val="auto"/>
              </w:rPr>
            </w:pPr>
            <w:r>
              <w:rPr>
                <w:rFonts w:ascii="Arial" w:cs="Arial" w:eastAsia="Arial" w:hAnsi="Arial"/>
                <w:sz w:val="22"/>
                <w:szCs w:val="22"/>
                <w:b w:val="1"/>
                <w:bCs w:val="1"/>
                <w:color w:val="auto"/>
                <w:w w:val="95"/>
              </w:rPr>
              <w:t>Net change in unrealized appreciation (depreciation) on investments and debt</w:t>
            </w:r>
          </w:p>
        </w:tc>
        <w:tc>
          <w:tcPr>
            <w:tcW w:w="20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36,300,227</w:t>
            </w:r>
          </w:p>
        </w:tc>
        <w:tc>
          <w:tcPr>
            <w:tcW w:w="20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28,652,631</w:t>
            </w:r>
          </w:p>
        </w:tc>
        <w:tc>
          <w:tcPr>
            <w:tcW w:w="80" w:type="dxa"/>
            <w:vAlign w:val="bottom"/>
          </w:tcPr>
          <w:p>
            <w:pPr>
              <w:spacing w:after="0"/>
              <w:rPr>
                <w:sz w:val="23"/>
                <w:szCs w:val="23"/>
                <w:color w:val="auto"/>
              </w:rPr>
            </w:pPr>
          </w:p>
        </w:tc>
      </w:tr>
      <w:tr>
        <w:trPr>
          <w:trHeight w:val="263"/>
        </w:trPr>
        <w:tc>
          <w:tcPr>
            <w:tcW w:w="8200" w:type="dxa"/>
            <w:vAlign w:val="bottom"/>
          </w:tcPr>
          <w:p>
            <w:pPr>
              <w:spacing w:after="0"/>
              <w:rPr>
                <w:sz w:val="20"/>
                <w:szCs w:val="20"/>
                <w:color w:val="auto"/>
              </w:rPr>
            </w:pPr>
            <w:r>
              <w:rPr>
                <w:rFonts w:ascii="Arial" w:cs="Arial" w:eastAsia="Arial" w:hAnsi="Arial"/>
                <w:sz w:val="22"/>
                <w:szCs w:val="22"/>
                <w:b w:val="1"/>
                <w:bCs w:val="1"/>
                <w:color w:val="auto"/>
              </w:rPr>
              <w:t>Net realized and unrealized gain (loss) from investments and debt</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5,273,190</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(51,878,076</w:t>
            </w:r>
          </w:p>
        </w:tc>
        <w:tc>
          <w:tcPr>
            <w:tcW w:w="80" w:type="dxa"/>
            <w:vAlign w:val="bottom"/>
          </w:tcPr>
          <w:p>
            <w:pPr>
              <w:jc w:val="right"/>
              <w:spacing w:after="0"/>
              <w:rPr>
                <w:sz w:val="20"/>
                <w:szCs w:val="20"/>
                <w:color w:val="auto"/>
              </w:rPr>
            </w:pPr>
            <w:r>
              <w:rPr>
                <w:rFonts w:ascii="Arial" w:cs="Arial" w:eastAsia="Arial" w:hAnsi="Arial"/>
                <w:sz w:val="22"/>
                <w:szCs w:val="22"/>
                <w:color w:val="auto"/>
                <w:w w:val="81"/>
              </w:rPr>
              <w:t>)</w:t>
            </w:r>
          </w:p>
        </w:tc>
      </w:tr>
      <w:tr>
        <w:trPr>
          <w:trHeight w:val="264"/>
        </w:trPr>
        <w:tc>
          <w:tcPr>
            <w:tcW w:w="8200" w:type="dxa"/>
            <w:vAlign w:val="bottom"/>
          </w:tcPr>
          <w:p>
            <w:pPr>
              <w:spacing w:after="0"/>
              <w:rPr>
                <w:sz w:val="20"/>
                <w:szCs w:val="20"/>
                <w:color w:val="auto"/>
              </w:rPr>
            </w:pPr>
            <w:r>
              <w:rPr>
                <w:rFonts w:ascii="Arial" w:cs="Arial" w:eastAsia="Arial" w:hAnsi="Arial"/>
                <w:sz w:val="22"/>
                <w:szCs w:val="22"/>
                <w:b w:val="1"/>
                <w:bCs w:val="1"/>
                <w:color w:val="auto"/>
              </w:rPr>
              <w:t>Net increase (decrease) in net assets resulting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61,711,501</w:t>
            </w:r>
          </w:p>
        </w:tc>
        <w:tc>
          <w:tcPr>
            <w:tcW w:w="2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18,736,706</w:t>
            </w:r>
          </w:p>
        </w:tc>
        <w:tc>
          <w:tcPr>
            <w:tcW w:w="80" w:type="dxa"/>
            <w:vAlign w:val="bottom"/>
          </w:tcPr>
          <w:p>
            <w:pPr>
              <w:spacing w:after="0"/>
              <w:rPr>
                <w:sz w:val="22"/>
                <w:szCs w:val="22"/>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8200" w:type="dxa"/>
            <w:vAlign w:val="bottom"/>
          </w:tcPr>
          <w:p>
            <w:pPr>
              <w:spacing w:after="0"/>
              <w:rPr>
                <w:sz w:val="20"/>
                <w:szCs w:val="20"/>
                <w:color w:val="auto"/>
              </w:rPr>
            </w:pPr>
            <w:r>
              <w:rPr>
                <w:rFonts w:ascii="Arial" w:cs="Arial" w:eastAsia="Arial" w:hAnsi="Arial"/>
                <w:sz w:val="22"/>
                <w:szCs w:val="22"/>
                <w:color w:val="auto"/>
              </w:rPr>
              <w:t>Net increase (decrease) in net assets resulting from operations per common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0.87</w:t>
            </w:r>
          </w:p>
        </w:tc>
        <w:tc>
          <w:tcPr>
            <w:tcW w:w="2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0.26</w:t>
            </w:r>
          </w:p>
        </w:tc>
        <w:tc>
          <w:tcPr>
            <w:tcW w:w="80" w:type="dxa"/>
            <w:vAlign w:val="bottom"/>
          </w:tcPr>
          <w:p>
            <w:pPr>
              <w:spacing w:after="0"/>
              <w:rPr>
                <w:sz w:val="22"/>
                <w:szCs w:val="22"/>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820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0.79</w:t>
            </w:r>
          </w:p>
        </w:tc>
        <w:tc>
          <w:tcPr>
            <w:tcW w:w="2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0.99</w:t>
            </w:r>
          </w:p>
        </w:tc>
        <w:tc>
          <w:tcPr>
            <w:tcW w:w="80" w:type="dxa"/>
            <w:vAlign w:val="bottom"/>
          </w:tcPr>
          <w:p>
            <w:pPr>
              <w:spacing w:after="0"/>
              <w:rPr>
                <w:sz w:val="22"/>
                <w:szCs w:val="22"/>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ectPr>
          <w:pgSz w:w="11900" w:h="16838" w:orient="portrait"/>
          <w:cols w:equalWidth="0" w:num="1">
            <w:col w:w="11240"/>
          </w:cols>
          <w:pgMar w:left="320" w:top="133" w:right="339" w:bottom="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CONTACT: Aviv Efrat</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Reception: (212) 905-1000</w:t>
      </w:r>
    </w:p>
    <w:p>
      <w:pPr>
        <w:spacing w:after="0"/>
        <w:rPr>
          <w:sz w:val="20"/>
          <w:szCs w:val="20"/>
          <w:color w:val="auto"/>
        </w:rPr>
      </w:pPr>
      <w:r>
        <w:rPr>
          <w:rFonts w:ascii="Arial" w:cs="Arial" w:eastAsia="Arial" w:hAnsi="Arial"/>
          <w:sz w:val="22"/>
          <w:szCs w:val="22"/>
          <w:color w:val="auto"/>
        </w:rPr>
        <w:t>www.pennantpark.com</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2020-05-05T15:07:23Z</dcterms:created>
  <dcterms:modified xsi:type="dcterms:W3CDTF">2020-05-05T15:07:23Z</dcterms:modified>
</cp:coreProperties>
</file>