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6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217805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6"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(Mark One)</w:t>
      </w: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QUARTERLY PERIOD ENDED DECEMBER 31, 2014</w:t>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235"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00" w:lineRule="exact"/>
        <w:rPr>
          <w:sz w:val="24"/>
          <w:szCs w:val="24"/>
          <w:color w:val="auto"/>
        </w:rPr>
      </w:pPr>
    </w:p>
    <w:p>
      <w:pPr>
        <w:spacing w:after="0" w:line="237" w:lineRule="exact"/>
        <w:rPr>
          <w:sz w:val="24"/>
          <w:szCs w:val="24"/>
          <w:color w:val="auto"/>
        </w:rPr>
      </w:pPr>
    </w:p>
    <w:p>
      <w:pPr>
        <w:ind w:left="3720"/>
        <w:spacing w:after="0"/>
        <w:tabs>
          <w:tab w:leader="none" w:pos="686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4077970</wp:posOffset>
            </wp:positionH>
            <wp:positionV relativeFrom="paragraph">
              <wp:posOffset>-1270</wp:posOffset>
            </wp:positionV>
            <wp:extent cx="274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814-00736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5"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PENNANTPARK INVESTMENT CORPORATION</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1340" w:type="dxa"/>
        <w:tblCellMar>
          <w:top w:w="0" w:type="dxa"/>
          <w:left w:w="0" w:type="dxa"/>
          <w:bottom w:w="0" w:type="dxa"/>
          <w:right w:w="0" w:type="dxa"/>
        </w:tblCellMar>
      </w:tblPr>
      <w:tr>
        <w:trPr>
          <w:trHeight w:val="186"/>
        </w:trPr>
        <w:tc>
          <w:tcPr>
            <w:tcW w:w="5980" w:type="dxa"/>
            <w:vAlign w:val="bottom"/>
          </w:tcPr>
          <w:p>
            <w:pPr>
              <w:jc w:val="center"/>
              <w:ind w:right="2914"/>
              <w:spacing w:after="0"/>
              <w:rPr>
                <w:sz w:val="20"/>
                <w:szCs w:val="20"/>
                <w:color w:val="auto"/>
              </w:rPr>
            </w:pPr>
            <w:r>
              <w:rPr>
                <w:rFonts w:ascii="Arial" w:cs="Arial" w:eastAsia="Arial" w:hAnsi="Arial"/>
                <w:sz w:val="14"/>
                <w:szCs w:val="14"/>
                <w:b w:val="1"/>
                <w:bCs w:val="1"/>
                <w:color w:val="auto"/>
              </w:rPr>
              <w:t>MARYLAND</w:t>
            </w:r>
          </w:p>
        </w:tc>
        <w:tc>
          <w:tcPr>
            <w:tcW w:w="2080" w:type="dxa"/>
            <w:vAlign w:val="bottom"/>
          </w:tcPr>
          <w:p>
            <w:pPr>
              <w:jc w:val="right"/>
              <w:ind w:right="475"/>
              <w:spacing w:after="0"/>
              <w:rPr>
                <w:sz w:val="20"/>
                <w:szCs w:val="20"/>
                <w:color w:val="auto"/>
              </w:rPr>
            </w:pPr>
            <w:r>
              <w:rPr>
                <w:rFonts w:ascii="Arial" w:cs="Arial" w:eastAsia="Arial" w:hAnsi="Arial"/>
                <w:sz w:val="14"/>
                <w:szCs w:val="14"/>
                <w:b w:val="1"/>
                <w:bCs w:val="1"/>
                <w:color w:val="auto"/>
              </w:rPr>
              <w:t>20-8250744</w:t>
            </w:r>
          </w:p>
        </w:tc>
        <w:tc>
          <w:tcPr>
            <w:tcW w:w="0" w:type="dxa"/>
            <w:vAlign w:val="bottom"/>
          </w:tcPr>
          <w:p>
            <w:pPr>
              <w:spacing w:after="0"/>
              <w:rPr>
                <w:sz w:val="1"/>
                <w:szCs w:val="1"/>
                <w:color w:val="auto"/>
              </w:rPr>
            </w:pPr>
          </w:p>
        </w:tc>
      </w:tr>
      <w:tr>
        <w:trPr>
          <w:trHeight w:val="154"/>
        </w:trPr>
        <w:tc>
          <w:tcPr>
            <w:tcW w:w="5980" w:type="dxa"/>
            <w:vAlign w:val="bottom"/>
          </w:tcPr>
          <w:p>
            <w:pPr>
              <w:jc w:val="center"/>
              <w:ind w:right="2894"/>
              <w:spacing w:after="0"/>
              <w:rPr>
                <w:sz w:val="20"/>
                <w:szCs w:val="20"/>
                <w:color w:val="auto"/>
              </w:rPr>
            </w:pPr>
            <w:r>
              <w:rPr>
                <w:rFonts w:ascii="Arial" w:cs="Arial" w:eastAsia="Arial" w:hAnsi="Arial"/>
                <w:sz w:val="12"/>
                <w:szCs w:val="12"/>
                <w:b w:val="1"/>
                <w:bCs w:val="1"/>
                <w:color w:val="auto"/>
                <w:w w:val="88"/>
              </w:rPr>
              <w:t>(State or other jurisdiction of incorporation or organization)</w:t>
            </w:r>
          </w:p>
        </w:tc>
        <w:tc>
          <w:tcPr>
            <w:tcW w:w="2080" w:type="dxa"/>
            <w:vAlign w:val="bottom"/>
          </w:tcPr>
          <w:p>
            <w:pPr>
              <w:jc w:val="center"/>
              <w:ind w:left="235"/>
              <w:spacing w:after="0"/>
              <w:rPr>
                <w:sz w:val="20"/>
                <w:szCs w:val="20"/>
                <w:color w:val="auto"/>
              </w:rPr>
            </w:pPr>
            <w:r>
              <w:rPr>
                <w:rFonts w:ascii="Arial" w:cs="Arial" w:eastAsia="Arial" w:hAnsi="Arial"/>
                <w:sz w:val="12"/>
                <w:szCs w:val="12"/>
                <w:b w:val="1"/>
                <w:bCs w:val="1"/>
                <w:color w:val="auto"/>
                <w:w w:val="90"/>
              </w:rPr>
              <w:t>(I.R.S. Employer Identification No.)</w:t>
            </w:r>
          </w:p>
        </w:tc>
        <w:tc>
          <w:tcPr>
            <w:tcW w:w="0" w:type="dxa"/>
            <w:vAlign w:val="bottom"/>
          </w:tcPr>
          <w:p>
            <w:pPr>
              <w:spacing w:after="0"/>
              <w:rPr>
                <w:sz w:val="1"/>
                <w:szCs w:val="1"/>
                <w:color w:val="auto"/>
              </w:rPr>
            </w:pPr>
          </w:p>
        </w:tc>
      </w:tr>
      <w:tr>
        <w:trPr>
          <w:trHeight w:val="443"/>
        </w:trPr>
        <w:tc>
          <w:tcPr>
            <w:tcW w:w="5980" w:type="dxa"/>
            <w:vAlign w:val="bottom"/>
          </w:tcPr>
          <w:p>
            <w:pPr>
              <w:jc w:val="center"/>
              <w:ind w:right="2914"/>
              <w:spacing w:after="0"/>
              <w:rPr>
                <w:sz w:val="20"/>
                <w:szCs w:val="20"/>
                <w:color w:val="auto"/>
              </w:rPr>
            </w:pPr>
            <w:r>
              <w:rPr>
                <w:rFonts w:ascii="Arial" w:cs="Arial" w:eastAsia="Arial" w:hAnsi="Arial"/>
                <w:sz w:val="14"/>
                <w:szCs w:val="14"/>
                <w:b w:val="1"/>
                <w:bCs w:val="1"/>
                <w:color w:val="auto"/>
                <w:w w:val="92"/>
              </w:rPr>
              <w:t>590 Madison Avenue,</w:t>
            </w:r>
          </w:p>
        </w:tc>
        <w:tc>
          <w:tcPr>
            <w:tcW w:w="2080" w:type="dxa"/>
            <w:vAlign w:val="bottom"/>
            <w:vMerge w:val="restart"/>
          </w:tcPr>
          <w:p>
            <w:pPr>
              <w:jc w:val="right"/>
              <w:ind w:right="635"/>
              <w:spacing w:after="0"/>
              <w:rPr>
                <w:sz w:val="20"/>
                <w:szCs w:val="20"/>
                <w:color w:val="auto"/>
              </w:rPr>
            </w:pPr>
            <w:r>
              <w:rPr>
                <w:rFonts w:ascii="Arial" w:cs="Arial" w:eastAsia="Arial" w:hAnsi="Arial"/>
                <w:sz w:val="14"/>
                <w:szCs w:val="14"/>
                <w:b w:val="1"/>
                <w:bCs w:val="1"/>
                <w:color w:val="auto"/>
              </w:rPr>
              <w:t>10022</w:t>
            </w:r>
          </w:p>
        </w:tc>
        <w:tc>
          <w:tcPr>
            <w:tcW w:w="0" w:type="dxa"/>
            <w:vAlign w:val="bottom"/>
          </w:tcPr>
          <w:p>
            <w:pPr>
              <w:spacing w:after="0"/>
              <w:rPr>
                <w:sz w:val="1"/>
                <w:szCs w:val="1"/>
                <w:color w:val="auto"/>
              </w:rPr>
            </w:pPr>
          </w:p>
        </w:tc>
      </w:tr>
      <w:tr>
        <w:trPr>
          <w:trHeight w:val="186"/>
        </w:trPr>
        <w:tc>
          <w:tcPr>
            <w:tcW w:w="5980" w:type="dxa"/>
            <w:vAlign w:val="bottom"/>
          </w:tcPr>
          <w:p>
            <w:pPr>
              <w:jc w:val="center"/>
              <w:ind w:right="2914"/>
              <w:spacing w:after="0"/>
              <w:rPr>
                <w:sz w:val="20"/>
                <w:szCs w:val="20"/>
                <w:color w:val="auto"/>
              </w:rPr>
            </w:pPr>
            <w:r>
              <w:rPr>
                <w:rFonts w:ascii="Arial" w:cs="Arial" w:eastAsia="Arial" w:hAnsi="Arial"/>
                <w:sz w:val="14"/>
                <w:szCs w:val="14"/>
                <w:b w:val="1"/>
                <w:bCs w:val="1"/>
                <w:color w:val="auto"/>
                <w:w w:val="95"/>
              </w:rPr>
              <w:t>15</w:t>
            </w:r>
            <w:r>
              <w:rPr>
                <w:rFonts w:ascii="Arial" w:cs="Arial" w:eastAsia="Arial" w:hAnsi="Arial"/>
                <w:sz w:val="12"/>
                <w:szCs w:val="12"/>
                <w:b w:val="1"/>
                <w:bCs w:val="1"/>
                <w:color w:val="auto"/>
                <w:w w:val="95"/>
              </w:rPr>
              <w:t>th</w:t>
            </w:r>
            <w:r>
              <w:rPr>
                <w:rFonts w:ascii="Arial" w:cs="Arial" w:eastAsia="Arial" w:hAnsi="Arial"/>
                <w:sz w:val="14"/>
                <w:szCs w:val="14"/>
                <w:b w:val="1"/>
                <w:bCs w:val="1"/>
                <w:color w:val="auto"/>
                <w:w w:val="95"/>
              </w:rPr>
              <w:t xml:space="preserve"> Floor, New York, N.Y.</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5980" w:type="dxa"/>
            <w:vAlign w:val="bottom"/>
          </w:tcPr>
          <w:p>
            <w:pPr>
              <w:jc w:val="center"/>
              <w:ind w:right="2914"/>
              <w:spacing w:after="0"/>
              <w:rPr>
                <w:sz w:val="20"/>
                <w:szCs w:val="20"/>
                <w:color w:val="auto"/>
              </w:rPr>
            </w:pPr>
            <w:r>
              <w:rPr>
                <w:rFonts w:ascii="Arial" w:cs="Arial" w:eastAsia="Arial" w:hAnsi="Arial"/>
                <w:sz w:val="12"/>
                <w:szCs w:val="12"/>
                <w:b w:val="1"/>
                <w:bCs w:val="1"/>
                <w:color w:val="auto"/>
                <w:w w:val="85"/>
              </w:rPr>
              <w:t>(Address of principal executive offices)</w:t>
            </w:r>
          </w:p>
        </w:tc>
        <w:tc>
          <w:tcPr>
            <w:tcW w:w="2080" w:type="dxa"/>
            <w:vAlign w:val="bottom"/>
          </w:tcPr>
          <w:p>
            <w:pPr>
              <w:jc w:val="center"/>
              <w:ind w:left="235"/>
              <w:spacing w:after="0"/>
              <w:rPr>
                <w:sz w:val="20"/>
                <w:szCs w:val="20"/>
                <w:color w:val="auto"/>
              </w:rPr>
            </w:pPr>
            <w:r>
              <w:rPr>
                <w:rFonts w:ascii="Arial" w:cs="Arial" w:eastAsia="Arial" w:hAnsi="Arial"/>
                <w:sz w:val="12"/>
                <w:szCs w:val="12"/>
                <w:b w:val="1"/>
                <w:bCs w:val="1"/>
                <w:color w:val="auto"/>
                <w:w w:val="90"/>
              </w:rPr>
              <w:t>(Zip Code)</w:t>
            </w:r>
          </w:p>
        </w:tc>
        <w:tc>
          <w:tcPr>
            <w:tcW w:w="0" w:type="dxa"/>
            <w:vAlign w:val="bottom"/>
          </w:tcPr>
          <w:p>
            <w:pPr>
              <w:spacing w:after="0"/>
              <w:rPr>
                <w:sz w:val="1"/>
                <w:szCs w:val="1"/>
                <w:color w:val="auto"/>
              </w:rPr>
            </w:pPr>
          </w:p>
        </w:tc>
      </w:tr>
      <w:tr>
        <w:trPr>
          <w:trHeight w:val="241"/>
        </w:trPr>
        <w:tc>
          <w:tcPr>
            <w:tcW w:w="5980" w:type="dxa"/>
            <w:vAlign w:val="bottom"/>
          </w:tcPr>
          <w:p>
            <w:pPr>
              <w:jc w:val="right"/>
              <w:ind w:right="1174"/>
              <w:spacing w:after="0"/>
              <w:rPr>
                <w:sz w:val="20"/>
                <w:szCs w:val="20"/>
                <w:color w:val="auto"/>
              </w:rPr>
            </w:pPr>
            <w:r>
              <w:rPr>
                <w:rFonts w:ascii="Arial" w:cs="Arial" w:eastAsia="Arial" w:hAnsi="Arial"/>
                <w:sz w:val="14"/>
                <w:szCs w:val="14"/>
                <w:b w:val="1"/>
                <w:bCs w:val="1"/>
                <w:color w:val="auto"/>
              </w:rPr>
              <w:t>(212) 905-1000</w:t>
            </w:r>
          </w:p>
        </w:tc>
        <w:tc>
          <w:tcPr>
            <w:tcW w:w="2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0"/>
        </w:trPr>
        <w:tc>
          <w:tcPr>
            <w:tcW w:w="5980" w:type="dxa"/>
            <w:vAlign w:val="bottom"/>
          </w:tcPr>
          <w:p>
            <w:pPr>
              <w:jc w:val="center"/>
              <w:ind w:left="2514"/>
              <w:spacing w:after="0"/>
              <w:rPr>
                <w:sz w:val="20"/>
                <w:szCs w:val="20"/>
                <w:color w:val="auto"/>
              </w:rPr>
            </w:pPr>
            <w:r>
              <w:rPr>
                <w:rFonts w:ascii="Arial" w:cs="Arial" w:eastAsia="Arial" w:hAnsi="Arial"/>
                <w:sz w:val="12"/>
                <w:szCs w:val="12"/>
                <w:b w:val="1"/>
                <w:bCs w:val="1"/>
                <w:color w:val="auto"/>
                <w:w w:val="88"/>
              </w:rPr>
              <w:t>(Registrant’s Telephone Number, Including Area Code)</w:t>
            </w:r>
          </w:p>
        </w:tc>
        <w:tc>
          <w:tcPr>
            <w:tcW w:w="20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192405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46" w:lineRule="exact"/>
        <w:rPr>
          <w:sz w:val="24"/>
          <w:szCs w:val="24"/>
          <w:color w:val="auto"/>
        </w:rPr>
      </w:pPr>
    </w:p>
    <w:p>
      <w:pPr>
        <w:ind w:right="60" w:firstLine="562"/>
        <w:spacing w:after="0" w:line="181"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80" w:lineRule="exact"/>
        <w:rPr>
          <w:sz w:val="24"/>
          <w:szCs w:val="24"/>
          <w:color w:val="auto"/>
        </w:rPr>
      </w:pPr>
    </w:p>
    <w:p>
      <w:pPr>
        <w:ind w:right="160" w:firstLine="562"/>
        <w:spacing w:after="0" w:line="254" w:lineRule="auto"/>
        <w:rPr>
          <w:sz w:val="20"/>
          <w:szCs w:val="20"/>
          <w:color w:val="auto"/>
        </w:rPr>
      </w:pPr>
      <w:r>
        <w:rPr>
          <w:rFonts w:ascii="Arial" w:cs="Arial" w:eastAsia="Arial" w:hAnsi="Arial"/>
          <w:sz w:val="13"/>
          <w:szCs w:val="13"/>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w:t>
      </w:r>
    </w:p>
    <w:p>
      <w:pPr>
        <w:spacing w:after="0" w:line="1" w:lineRule="exact"/>
        <w:rPr>
          <w:sz w:val="24"/>
          <w:szCs w:val="24"/>
          <w:color w:val="auto"/>
        </w:rPr>
      </w:pPr>
    </w:p>
    <w:p>
      <w:pPr>
        <w:spacing w:after="0" w:line="161" w:lineRule="exact"/>
        <w:tabs>
          <w:tab w:leader="none" w:pos="460" w:val="left"/>
          <w:tab w:leader="none" w:pos="1060" w:val="left"/>
        </w:tabs>
        <w:rPr>
          <w:sz w:val="20"/>
          <w:szCs w:val="20"/>
          <w:color w:val="auto"/>
        </w:rPr>
      </w:pPr>
      <w:r>
        <w:rPr>
          <w:rFonts w:ascii="Arial" w:cs="Arial" w:eastAsia="Arial" w:hAnsi="Arial"/>
          <w:sz w:val="14"/>
          <w:szCs w:val="14"/>
          <w:color w:val="auto"/>
        </w:rPr>
        <w:t>files).</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210" w:lineRule="exact"/>
        <w:rPr>
          <w:sz w:val="24"/>
          <w:szCs w:val="24"/>
          <w:color w:val="auto"/>
        </w:rPr>
      </w:pPr>
    </w:p>
    <w:p>
      <w:pPr>
        <w:ind w:right="100" w:firstLine="562"/>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“accelerated filer,” “large accelerated filer,” and “smaller reporting company” in Rule 12b-2 of the Exchange Act. (Check One):</w:t>
      </w:r>
    </w:p>
    <w:p>
      <w:pPr>
        <w:sectPr>
          <w:pgSz w:w="11900" w:h="16838" w:orient="portrait"/>
          <w:cols w:equalWidth="0" w:num="1">
            <w:col w:w="11240"/>
          </w:cols>
          <w:pgMar w:left="320" w:top="230" w:right="339" w:bottom="1440" w:gutter="0" w:footer="0" w:header="0"/>
        </w:sectPr>
      </w:pPr>
    </w:p>
    <w:p>
      <w:pPr>
        <w:spacing w:after="0" w:line="349" w:lineRule="exact"/>
        <w:rPr>
          <w:sz w:val="24"/>
          <w:szCs w:val="24"/>
          <w:color w:val="auto"/>
        </w:rPr>
      </w:pPr>
    </w:p>
    <w:p>
      <w:pPr>
        <w:spacing w:after="0"/>
        <w:rPr>
          <w:sz w:val="20"/>
          <w:szCs w:val="20"/>
          <w:color w:val="auto"/>
        </w:rPr>
      </w:pPr>
      <w:r>
        <w:rPr>
          <w:rFonts w:ascii="Arial" w:cs="Arial" w:eastAsia="Arial" w:hAnsi="Arial"/>
          <w:sz w:val="13"/>
          <w:szCs w:val="13"/>
          <w:color w:val="auto"/>
        </w:rPr>
        <w:t>Large accelerated filer</w:t>
      </w:r>
    </w:p>
    <w:p>
      <w:pPr>
        <w:spacing w:after="0" w:line="20" w:lineRule="exact"/>
        <w:rPr>
          <w:sz w:val="24"/>
          <w:szCs w:val="24"/>
          <w:color w:val="auto"/>
        </w:rPr>
      </w:pPr>
      <w:r>
        <w:rPr>
          <w:sz w:val="24"/>
          <w:szCs w:val="24"/>
          <w:color w:val="auto"/>
        </w:rPr>
        <w:br w:type="column"/>
      </w:r>
    </w:p>
    <w:p>
      <w:pPr>
        <w:spacing w:after="0" w:line="288"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rPr>
          <w:sz w:val="20"/>
          <w:szCs w:val="20"/>
          <w:color w:val="auto"/>
        </w:rPr>
      </w:pPr>
      <w:r>
        <w:rPr>
          <w:rFonts w:ascii="Arial" w:cs="Arial" w:eastAsia="Arial" w:hAnsi="Arial"/>
          <w:sz w:val="13"/>
          <w:szCs w:val="13"/>
          <w:color w:val="auto"/>
        </w:rPr>
        <w:t>Accelerated filer</w:t>
      </w:r>
    </w:p>
    <w:p>
      <w:pPr>
        <w:spacing w:after="0" w:line="20" w:lineRule="exact"/>
        <w:rPr>
          <w:sz w:val="24"/>
          <w:szCs w:val="24"/>
          <w:color w:val="auto"/>
        </w:rPr>
      </w:pPr>
      <w:r>
        <w:rPr>
          <w:sz w:val="24"/>
          <w:szCs w:val="24"/>
          <w:color w:val="auto"/>
        </w:rPr>
        <w:br w:type="column"/>
      </w:r>
    </w:p>
    <w:p>
      <w:pPr>
        <w:spacing w:after="0" w:line="288"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43" w:lineRule="exact"/>
        <w:rPr>
          <w:sz w:val="24"/>
          <w:szCs w:val="24"/>
          <w:color w:val="auto"/>
        </w:rPr>
      </w:pPr>
    </w:p>
    <w:p>
      <w:pPr>
        <w:sectPr>
          <w:pgSz w:w="11900" w:h="16838" w:orient="portrait"/>
          <w:cols w:equalWidth="0" w:num="4">
            <w:col w:w="1300" w:space="500"/>
            <w:col w:w="6460" w:space="720"/>
            <w:col w:w="1400" w:space="720"/>
            <w:col w:w="140"/>
          </w:cols>
          <w:pgMar w:left="320" w:top="230" w:right="339" w:bottom="1440" w:gutter="0" w:footer="0" w:header="0"/>
          <w:type w:val="continuous"/>
        </w:sectPr>
      </w:pPr>
    </w:p>
    <w:p>
      <w:pPr>
        <w:spacing w:after="0" w:line="41" w:lineRule="exact"/>
        <w:rPr>
          <w:sz w:val="24"/>
          <w:szCs w:val="24"/>
          <w:color w:val="auto"/>
        </w:rPr>
      </w:pPr>
    </w:p>
    <w:p>
      <w:pPr>
        <w:spacing w:after="0"/>
        <w:rPr>
          <w:sz w:val="20"/>
          <w:szCs w:val="20"/>
          <w:color w:val="auto"/>
        </w:rPr>
      </w:pPr>
      <w:r>
        <w:rPr>
          <w:rFonts w:ascii="Arial" w:cs="Arial" w:eastAsia="Arial" w:hAnsi="Arial"/>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3"/>
          <w:szCs w:val="13"/>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Arial" w:cs="Arial" w:eastAsia="Arial" w:hAnsi="Arial"/>
          <w:sz w:val="13"/>
          <w:szCs w:val="13"/>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11" w:lineRule="exact"/>
        <w:rPr>
          <w:sz w:val="24"/>
          <w:szCs w:val="24"/>
          <w:color w:val="auto"/>
        </w:rPr>
      </w:pPr>
    </w:p>
    <w:p>
      <w:pPr>
        <w:sectPr>
          <w:pgSz w:w="11900" w:h="16838" w:orient="portrait"/>
          <w:cols w:equalWidth="0" w:num="5">
            <w:col w:w="1220" w:space="580"/>
            <w:col w:w="140" w:space="80"/>
            <w:col w:w="6240" w:space="720"/>
            <w:col w:w="1580" w:space="540"/>
            <w:col w:w="140"/>
          </w:cols>
          <w:pgMar w:left="320" w:top="230" w:right="339" w:bottom="1440" w:gutter="0" w:footer="0" w:header="0"/>
          <w:type w:val="continuous"/>
        </w:sectPr>
      </w:pPr>
    </w:p>
    <w:p>
      <w:pPr>
        <w:ind w:left="560"/>
        <w:spacing w:after="0" w:line="161" w:lineRule="exact"/>
        <w:tabs>
          <w:tab w:leader="none" w:pos="722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17" w:lineRule="exact"/>
        <w:rPr>
          <w:sz w:val="24"/>
          <w:szCs w:val="24"/>
          <w:color w:val="auto"/>
        </w:rPr>
      </w:pPr>
    </w:p>
    <w:p>
      <w:pPr>
        <w:ind w:left="560"/>
        <w:spacing w:after="0"/>
        <w:rPr>
          <w:sz w:val="20"/>
          <w:szCs w:val="20"/>
          <w:color w:val="auto"/>
        </w:rPr>
      </w:pPr>
      <w:r>
        <w:rPr>
          <w:rFonts w:ascii="Arial" w:cs="Arial" w:eastAsia="Arial" w:hAnsi="Arial"/>
          <w:sz w:val="12"/>
          <w:szCs w:val="12"/>
          <w:color w:val="auto"/>
        </w:rPr>
        <w:t>The number of shares of the registrant’s common stock, $0.001 par value per share, outstanding as of February 4, 2015 was 75,092,911.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258445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PENNANTPARK INVESTMENT CORPORATION</w:t>
      </w:r>
    </w:p>
    <w:p>
      <w:pPr>
        <w:jc w:val="center"/>
        <w:ind w:right="-79"/>
        <w:spacing w:after="0" w:line="226" w:lineRule="auto"/>
        <w:rPr>
          <w:sz w:val="20"/>
          <w:szCs w:val="20"/>
          <w:color w:val="auto"/>
        </w:rPr>
      </w:pPr>
      <w:r>
        <w:rPr>
          <w:rFonts w:ascii="Arial" w:cs="Arial" w:eastAsia="Arial" w:hAnsi="Arial"/>
          <w:sz w:val="14"/>
          <w:szCs w:val="14"/>
          <w:b w:val="1"/>
          <w:bCs w:val="1"/>
          <w:color w:val="auto"/>
        </w:rPr>
        <w:t>FORM 10-Q</w:t>
      </w:r>
    </w:p>
    <w:p>
      <w:pPr>
        <w:jc w:val="center"/>
        <w:ind w:right="-79"/>
        <w:spacing w:after="0" w:line="221" w:lineRule="auto"/>
        <w:rPr>
          <w:sz w:val="20"/>
          <w:szCs w:val="20"/>
          <w:color w:val="auto"/>
        </w:rPr>
      </w:pPr>
      <w:r>
        <w:rPr>
          <w:rFonts w:ascii="Arial" w:cs="Arial" w:eastAsia="Arial" w:hAnsi="Arial"/>
          <w:sz w:val="14"/>
          <w:szCs w:val="14"/>
          <w:b w:val="1"/>
          <w:bCs w:val="1"/>
          <w:color w:val="auto"/>
        </w:rPr>
        <w:t>FOR THE QUARTER ENDED DECEMBER 31, 2014</w:t>
      </w:r>
    </w:p>
    <w:p>
      <w:pPr>
        <w:spacing w:after="0" w:line="1"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180" w:type="dxa"/>
            <w:vAlign w:val="bottom"/>
          </w:tcPr>
          <w:p>
            <w:pPr>
              <w:ind w:left="356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PART I. CONSOLIDATED FINANCIAL INFORMATION</w:t>
              </w:r>
            </w:hyperlink>
          </w:p>
        </w:tc>
        <w:tc>
          <w:tcPr>
            <w:tcW w:w="1980" w:type="dxa"/>
            <w:vAlign w:val="bottom"/>
          </w:tcPr>
          <w:p>
            <w:pPr>
              <w:spacing w:after="0"/>
              <w:rPr>
                <w:sz w:val="16"/>
                <w:szCs w:val="16"/>
                <w:color w:val="auto"/>
              </w:rPr>
            </w:pPr>
          </w:p>
        </w:tc>
      </w:tr>
      <w:tr>
        <w:trPr>
          <w:trHeight w:val="283"/>
        </w:trPr>
        <w:tc>
          <w:tcPr>
            <w:tcW w:w="9180" w:type="dxa"/>
            <w:vAlign w:val="bottom"/>
          </w:tcPr>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Item 1. Consolidated Financial Statements</w:t>
              </w:r>
            </w:hyperlink>
          </w:p>
        </w:tc>
        <w:tc>
          <w:tcPr>
            <w:tcW w:w="1980" w:type="dxa"/>
            <w:vAlign w:val="bottom"/>
          </w:tcPr>
          <w:p>
            <w:pPr>
              <w:spacing w:after="0"/>
              <w:rPr>
                <w:sz w:val="24"/>
                <w:szCs w:val="24"/>
                <w:color w:val="auto"/>
              </w:rPr>
            </w:pPr>
          </w:p>
        </w:tc>
      </w:tr>
      <w:tr>
        <w:trPr>
          <w:trHeight w:val="283"/>
        </w:trPr>
        <w:tc>
          <w:tcPr>
            <w:tcW w:w="9180" w:type="dxa"/>
            <w:vAlign w:val="bottom"/>
          </w:tcPr>
          <w:p>
            <w:pPr>
              <w:ind w:left="360"/>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Consolidated Statements of Assets and Liabilities as of December 31, 2014 (unaudited) and September 30, 2014</w:t>
              </w:r>
            </w:hyperlink>
          </w:p>
        </w:tc>
        <w:tc>
          <w:tcPr>
            <w:tcW w:w="198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283"/>
        </w:trPr>
        <w:tc>
          <w:tcPr>
            <w:tcW w:w="9180" w:type="dxa"/>
            <w:vAlign w:val="bottom"/>
          </w:tcPr>
          <w:p>
            <w:pPr>
              <w:ind w:left="360"/>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Consolidated Statements of Operations for the three months ended December 31, 2014 and 2013 (unaudited)</w:t>
              </w:r>
            </w:hyperlink>
          </w:p>
        </w:tc>
        <w:tc>
          <w:tcPr>
            <w:tcW w:w="198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283"/>
        </w:trPr>
        <w:tc>
          <w:tcPr>
            <w:tcW w:w="9180" w:type="dxa"/>
            <w:vAlign w:val="bottom"/>
          </w:tcPr>
          <w:p>
            <w:pPr>
              <w:ind w:left="360"/>
              <w:spacing w:after="0"/>
              <w:rPr>
                <w:rFonts w:ascii="Arial" w:cs="Arial" w:eastAsia="Arial" w:hAnsi="Arial"/>
                <w:sz w:val="14"/>
                <w:szCs w:val="14"/>
                <w:u w:val="single" w:color="auto"/>
                <w:color w:val="0000EE"/>
              </w:rPr>
            </w:pPr>
            <w:hyperlink w:anchor="page6">
              <w:r>
                <w:rPr>
                  <w:rFonts w:ascii="Arial" w:cs="Arial" w:eastAsia="Arial" w:hAnsi="Arial"/>
                  <w:sz w:val="14"/>
                  <w:szCs w:val="14"/>
                  <w:u w:val="single" w:color="auto"/>
                  <w:color w:val="0000EE"/>
                </w:rPr>
                <w:t>Consolidated Statements of Changes in Net Assets for the three months ended December 31, 2014 and 2013 (unaudited)</w:t>
              </w:r>
            </w:hyperlink>
          </w:p>
        </w:tc>
        <w:tc>
          <w:tcPr>
            <w:tcW w:w="198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284"/>
        </w:trPr>
        <w:tc>
          <w:tcPr>
            <w:tcW w:w="9180" w:type="dxa"/>
            <w:vAlign w:val="bottom"/>
          </w:tcPr>
          <w:p>
            <w:pPr>
              <w:ind w:left="360"/>
              <w:spacing w:after="0"/>
              <w:rPr>
                <w:rFonts w:ascii="Arial" w:cs="Arial" w:eastAsia="Arial" w:hAnsi="Arial"/>
                <w:sz w:val="14"/>
                <w:szCs w:val="14"/>
                <w:u w:val="single" w:color="auto"/>
                <w:color w:val="0000EE"/>
              </w:rPr>
            </w:pPr>
            <w:hyperlink w:anchor="page7">
              <w:r>
                <w:rPr>
                  <w:rFonts w:ascii="Arial" w:cs="Arial" w:eastAsia="Arial" w:hAnsi="Arial"/>
                  <w:sz w:val="14"/>
                  <w:szCs w:val="14"/>
                  <w:u w:val="single" w:color="auto"/>
                  <w:color w:val="0000EE"/>
                </w:rPr>
                <w:t>Consolidated Statements of Cash Flows for the three months ended December 31, 2014 and 2013 (unaudited)</w:t>
              </w:r>
            </w:hyperlink>
          </w:p>
        </w:tc>
        <w:tc>
          <w:tcPr>
            <w:tcW w:w="198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283"/>
        </w:trPr>
        <w:tc>
          <w:tcPr>
            <w:tcW w:w="9180" w:type="dxa"/>
            <w:vAlign w:val="bottom"/>
          </w:tcPr>
          <w:p>
            <w:pPr>
              <w:ind w:left="360"/>
              <w:spacing w:after="0"/>
              <w:rPr>
                <w:rFonts w:ascii="Arial" w:cs="Arial" w:eastAsia="Arial" w:hAnsi="Arial"/>
                <w:sz w:val="14"/>
                <w:szCs w:val="14"/>
                <w:u w:val="single" w:color="auto"/>
                <w:color w:val="0000EE"/>
              </w:rPr>
            </w:pPr>
            <w:hyperlink w:anchor="page8">
              <w:r>
                <w:rPr>
                  <w:rFonts w:ascii="Arial" w:cs="Arial" w:eastAsia="Arial" w:hAnsi="Arial"/>
                  <w:sz w:val="14"/>
                  <w:szCs w:val="14"/>
                  <w:u w:val="single" w:color="auto"/>
                  <w:color w:val="0000EE"/>
                </w:rPr>
                <w:t>Consolidated Schedules of Investments as of December 31, 2014 (unaudited) and September 30, 2014</w:t>
              </w:r>
            </w:hyperlink>
          </w:p>
        </w:tc>
        <w:tc>
          <w:tcPr>
            <w:tcW w:w="198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283"/>
        </w:trPr>
        <w:tc>
          <w:tcPr>
            <w:tcW w:w="9180" w:type="dxa"/>
            <w:vAlign w:val="bottom"/>
          </w:tcPr>
          <w:p>
            <w:pPr>
              <w:ind w:left="360"/>
              <w:spacing w:after="0"/>
              <w:rPr>
                <w:rFonts w:ascii="Arial" w:cs="Arial" w:eastAsia="Arial" w:hAnsi="Arial"/>
                <w:sz w:val="14"/>
                <w:szCs w:val="14"/>
                <w:u w:val="single" w:color="auto"/>
                <w:color w:val="0000EE"/>
              </w:rPr>
            </w:pPr>
            <w:hyperlink w:anchor="page17">
              <w:r>
                <w:rPr>
                  <w:rFonts w:ascii="Arial" w:cs="Arial" w:eastAsia="Arial" w:hAnsi="Arial"/>
                  <w:sz w:val="14"/>
                  <w:szCs w:val="14"/>
                  <w:u w:val="single" w:color="auto"/>
                  <w:color w:val="0000EE"/>
                </w:rPr>
                <w:t>Notes to Consolidated Financial Statements (unaudited)</w:t>
              </w:r>
            </w:hyperlink>
          </w:p>
        </w:tc>
        <w:tc>
          <w:tcPr>
            <w:tcW w:w="1980" w:type="dxa"/>
            <w:vAlign w:val="bottom"/>
          </w:tcPr>
          <w:p>
            <w:pPr>
              <w:jc w:val="right"/>
              <w:spacing w:after="0"/>
              <w:rPr>
                <w:sz w:val="20"/>
                <w:szCs w:val="20"/>
                <w:color w:val="auto"/>
              </w:rPr>
            </w:pPr>
            <w:r>
              <w:rPr>
                <w:rFonts w:ascii="Arial" w:cs="Arial" w:eastAsia="Arial" w:hAnsi="Arial"/>
                <w:sz w:val="14"/>
                <w:szCs w:val="14"/>
                <w:color w:val="auto"/>
              </w:rPr>
              <w:t>17</w:t>
            </w:r>
          </w:p>
        </w:tc>
      </w:tr>
      <w:tr>
        <w:trPr>
          <w:trHeight w:val="283"/>
        </w:trPr>
        <w:tc>
          <w:tcPr>
            <w:tcW w:w="9180" w:type="dxa"/>
            <w:vAlign w:val="bottom"/>
          </w:tcPr>
          <w:p>
            <w:pPr>
              <w:ind w:left="360"/>
              <w:spacing w:after="0"/>
              <w:rPr>
                <w:rFonts w:ascii="Arial" w:cs="Arial" w:eastAsia="Arial" w:hAnsi="Arial"/>
                <w:sz w:val="14"/>
                <w:szCs w:val="14"/>
                <w:u w:val="single" w:color="auto"/>
                <w:color w:val="0000EE"/>
              </w:rPr>
            </w:pPr>
            <w:hyperlink w:anchor="page27">
              <w:r>
                <w:rPr>
                  <w:rFonts w:ascii="Arial" w:cs="Arial" w:eastAsia="Arial" w:hAnsi="Arial"/>
                  <w:sz w:val="14"/>
                  <w:szCs w:val="14"/>
                  <w:u w:val="single" w:color="auto"/>
                  <w:color w:val="0000EE"/>
                </w:rPr>
                <w:t>Report of Independent Registered Public Accounting Firm</w:t>
              </w:r>
            </w:hyperlink>
          </w:p>
        </w:tc>
        <w:tc>
          <w:tcPr>
            <w:tcW w:w="1980" w:type="dxa"/>
            <w:vAlign w:val="bottom"/>
          </w:tcPr>
          <w:p>
            <w:pPr>
              <w:jc w:val="right"/>
              <w:spacing w:after="0"/>
              <w:rPr>
                <w:sz w:val="20"/>
                <w:szCs w:val="20"/>
                <w:color w:val="auto"/>
              </w:rPr>
            </w:pPr>
            <w:r>
              <w:rPr>
                <w:rFonts w:ascii="Arial" w:cs="Arial" w:eastAsia="Arial" w:hAnsi="Arial"/>
                <w:sz w:val="14"/>
                <w:szCs w:val="14"/>
                <w:color w:val="auto"/>
              </w:rPr>
              <w:t>27</w:t>
            </w:r>
          </w:p>
        </w:tc>
      </w:tr>
      <w:tr>
        <w:trPr>
          <w:trHeight w:val="283"/>
        </w:trPr>
        <w:tc>
          <w:tcPr>
            <w:tcW w:w="9180" w:type="dxa"/>
            <w:vAlign w:val="bottom"/>
          </w:tcPr>
          <w:p>
            <w:pPr>
              <w:spacing w:after="0"/>
              <w:rPr>
                <w:rFonts w:ascii="Arial" w:cs="Arial" w:eastAsia="Arial" w:hAnsi="Arial"/>
                <w:sz w:val="14"/>
                <w:szCs w:val="14"/>
                <w:b w:val="1"/>
                <w:bCs w:val="1"/>
                <w:u w:val="single" w:color="auto"/>
                <w:color w:val="0000EE"/>
              </w:rPr>
            </w:pPr>
            <w:hyperlink w:anchor="page28">
              <w:r>
                <w:rPr>
                  <w:rFonts w:ascii="Arial" w:cs="Arial" w:eastAsia="Arial" w:hAnsi="Arial"/>
                  <w:sz w:val="14"/>
                  <w:szCs w:val="14"/>
                  <w:b w:val="1"/>
                  <w:bCs w:val="1"/>
                  <w:u w:val="single" w:color="auto"/>
                  <w:color w:val="0000EE"/>
                </w:rPr>
                <w:t>Item 2. Management’s Discussion and Analysis of Financial Condition and Results of Operations</w:t>
              </w:r>
            </w:hyperlink>
          </w:p>
        </w:tc>
        <w:tc>
          <w:tcPr>
            <w:tcW w:w="1980" w:type="dxa"/>
            <w:vAlign w:val="bottom"/>
          </w:tcPr>
          <w:p>
            <w:pPr>
              <w:jc w:val="right"/>
              <w:spacing w:after="0"/>
              <w:rPr>
                <w:sz w:val="20"/>
                <w:szCs w:val="20"/>
                <w:color w:val="auto"/>
              </w:rPr>
            </w:pPr>
            <w:r>
              <w:rPr>
                <w:rFonts w:ascii="Arial" w:cs="Arial" w:eastAsia="Arial" w:hAnsi="Arial"/>
                <w:sz w:val="14"/>
                <w:szCs w:val="14"/>
                <w:color w:val="auto"/>
              </w:rPr>
              <w:t>28</w:t>
            </w:r>
          </w:p>
        </w:tc>
      </w:tr>
      <w:tr>
        <w:trPr>
          <w:trHeight w:val="284"/>
        </w:trPr>
        <w:tc>
          <w:tcPr>
            <w:tcW w:w="9180" w:type="dxa"/>
            <w:vAlign w:val="bottom"/>
          </w:tcPr>
          <w:p>
            <w:pPr>
              <w:spacing w:after="0"/>
              <w:rPr>
                <w:rFonts w:ascii="Arial" w:cs="Arial" w:eastAsia="Arial" w:hAnsi="Arial"/>
                <w:sz w:val="14"/>
                <w:szCs w:val="14"/>
                <w:b w:val="1"/>
                <w:bCs w:val="1"/>
                <w:u w:val="single" w:color="auto"/>
                <w:color w:val="0000EE"/>
              </w:rPr>
            </w:pPr>
            <w:hyperlink w:anchor="page35">
              <w:r>
                <w:rPr>
                  <w:rFonts w:ascii="Arial" w:cs="Arial" w:eastAsia="Arial" w:hAnsi="Arial"/>
                  <w:sz w:val="14"/>
                  <w:szCs w:val="14"/>
                  <w:b w:val="1"/>
                  <w:bCs w:val="1"/>
                  <w:u w:val="single" w:color="auto"/>
                  <w:color w:val="0000EE"/>
                </w:rPr>
                <w:t>Item 3. Quantitative and Qualitative Disclosures About Market Risk</w:t>
              </w:r>
            </w:hyperlink>
          </w:p>
        </w:tc>
        <w:tc>
          <w:tcPr>
            <w:tcW w:w="198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283"/>
        </w:trPr>
        <w:tc>
          <w:tcPr>
            <w:tcW w:w="9180" w:type="dxa"/>
            <w:vAlign w:val="bottom"/>
          </w:tcPr>
          <w:p>
            <w:pPr>
              <w:spacing w:after="0"/>
              <w:rPr>
                <w:rFonts w:ascii="Arial" w:cs="Arial" w:eastAsia="Arial" w:hAnsi="Arial"/>
                <w:sz w:val="14"/>
                <w:szCs w:val="14"/>
                <w:b w:val="1"/>
                <w:bCs w:val="1"/>
                <w:u w:val="single" w:color="auto"/>
                <w:color w:val="0000EE"/>
              </w:rPr>
            </w:pPr>
            <w:hyperlink w:anchor="page35">
              <w:r>
                <w:rPr>
                  <w:rFonts w:ascii="Arial" w:cs="Arial" w:eastAsia="Arial" w:hAnsi="Arial"/>
                  <w:sz w:val="14"/>
                  <w:szCs w:val="14"/>
                  <w:b w:val="1"/>
                  <w:bCs w:val="1"/>
                  <w:u w:val="single" w:color="auto"/>
                  <w:color w:val="0000EE"/>
                </w:rPr>
                <w:t>Item 4. Controls and Procedures</w:t>
              </w:r>
            </w:hyperlink>
          </w:p>
        </w:tc>
        <w:tc>
          <w:tcPr>
            <w:tcW w:w="198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283"/>
        </w:trPr>
        <w:tc>
          <w:tcPr>
            <w:tcW w:w="9180" w:type="dxa"/>
            <w:vAlign w:val="bottom"/>
          </w:tcPr>
          <w:p>
            <w:pPr>
              <w:ind w:left="4280"/>
              <w:spacing w:after="0"/>
              <w:rPr>
                <w:rFonts w:ascii="Arial" w:cs="Arial" w:eastAsia="Arial" w:hAnsi="Arial"/>
                <w:sz w:val="14"/>
                <w:szCs w:val="14"/>
                <w:b w:val="1"/>
                <w:bCs w:val="1"/>
                <w:u w:val="single" w:color="auto"/>
                <w:color w:val="0000EE"/>
              </w:rPr>
            </w:pPr>
            <w:hyperlink w:anchor="page36">
              <w:r>
                <w:rPr>
                  <w:rFonts w:ascii="Arial" w:cs="Arial" w:eastAsia="Arial" w:hAnsi="Arial"/>
                  <w:sz w:val="14"/>
                  <w:szCs w:val="14"/>
                  <w:b w:val="1"/>
                  <w:bCs w:val="1"/>
                  <w:u w:val="single" w:color="auto"/>
                  <w:color w:val="0000EE"/>
                </w:rPr>
                <w:t>PART II. OTHER INFORMATION</w:t>
              </w:r>
            </w:hyperlink>
          </w:p>
        </w:tc>
        <w:tc>
          <w:tcPr>
            <w:tcW w:w="1980" w:type="dxa"/>
            <w:vAlign w:val="bottom"/>
          </w:tcPr>
          <w:p>
            <w:pPr>
              <w:spacing w:after="0"/>
              <w:rPr>
                <w:sz w:val="24"/>
                <w:szCs w:val="24"/>
                <w:color w:val="auto"/>
              </w:rPr>
            </w:pPr>
          </w:p>
        </w:tc>
      </w:tr>
      <w:tr>
        <w:trPr>
          <w:trHeight w:val="283"/>
        </w:trPr>
        <w:tc>
          <w:tcPr>
            <w:tcW w:w="9180" w:type="dxa"/>
            <w:vAlign w:val="bottom"/>
          </w:tcPr>
          <w:p>
            <w:pPr>
              <w:spacing w:after="0"/>
              <w:rPr>
                <w:rFonts w:ascii="Arial" w:cs="Arial" w:eastAsia="Arial" w:hAnsi="Arial"/>
                <w:sz w:val="14"/>
                <w:szCs w:val="14"/>
                <w:b w:val="1"/>
                <w:bCs w:val="1"/>
                <w:u w:val="single" w:color="auto"/>
                <w:color w:val="0000EE"/>
              </w:rPr>
            </w:pPr>
            <w:hyperlink w:anchor="page36">
              <w:r>
                <w:rPr>
                  <w:rFonts w:ascii="Arial" w:cs="Arial" w:eastAsia="Arial" w:hAnsi="Arial"/>
                  <w:sz w:val="14"/>
                  <w:szCs w:val="14"/>
                  <w:b w:val="1"/>
                  <w:bCs w:val="1"/>
                  <w:u w:val="single" w:color="auto"/>
                  <w:color w:val="0000EE"/>
                </w:rPr>
                <w:t>Item 1. Legal Proceedings</w:t>
              </w:r>
            </w:hyperlink>
          </w:p>
        </w:tc>
        <w:tc>
          <w:tcPr>
            <w:tcW w:w="1980" w:type="dxa"/>
            <w:vAlign w:val="bottom"/>
          </w:tcPr>
          <w:p>
            <w:pPr>
              <w:jc w:val="right"/>
              <w:spacing w:after="0"/>
              <w:rPr>
                <w:sz w:val="20"/>
                <w:szCs w:val="20"/>
                <w:color w:val="auto"/>
              </w:rPr>
            </w:pPr>
            <w:r>
              <w:rPr>
                <w:rFonts w:ascii="Arial" w:cs="Arial" w:eastAsia="Arial" w:hAnsi="Arial"/>
                <w:sz w:val="14"/>
                <w:szCs w:val="14"/>
                <w:color w:val="auto"/>
              </w:rPr>
              <w:t>36</w:t>
            </w:r>
          </w:p>
        </w:tc>
      </w:tr>
      <w:tr>
        <w:trPr>
          <w:trHeight w:val="283"/>
        </w:trPr>
        <w:tc>
          <w:tcPr>
            <w:tcW w:w="9180" w:type="dxa"/>
            <w:vAlign w:val="bottom"/>
          </w:tcPr>
          <w:p>
            <w:pPr>
              <w:spacing w:after="0"/>
              <w:rPr>
                <w:rFonts w:ascii="Arial" w:cs="Arial" w:eastAsia="Arial" w:hAnsi="Arial"/>
                <w:sz w:val="14"/>
                <w:szCs w:val="14"/>
                <w:b w:val="1"/>
                <w:bCs w:val="1"/>
                <w:u w:val="single" w:color="auto"/>
                <w:color w:val="0000EE"/>
              </w:rPr>
            </w:pPr>
            <w:hyperlink w:anchor="page36">
              <w:r>
                <w:rPr>
                  <w:rFonts w:ascii="Arial" w:cs="Arial" w:eastAsia="Arial" w:hAnsi="Arial"/>
                  <w:sz w:val="14"/>
                  <w:szCs w:val="14"/>
                  <w:b w:val="1"/>
                  <w:bCs w:val="1"/>
                  <w:u w:val="single" w:color="auto"/>
                  <w:color w:val="0000EE"/>
                </w:rPr>
                <w:t>Item 1A. Risk Factors</w:t>
              </w:r>
            </w:hyperlink>
          </w:p>
        </w:tc>
        <w:tc>
          <w:tcPr>
            <w:tcW w:w="1980" w:type="dxa"/>
            <w:vAlign w:val="bottom"/>
          </w:tcPr>
          <w:p>
            <w:pPr>
              <w:jc w:val="right"/>
              <w:spacing w:after="0"/>
              <w:rPr>
                <w:sz w:val="20"/>
                <w:szCs w:val="20"/>
                <w:color w:val="auto"/>
              </w:rPr>
            </w:pPr>
            <w:r>
              <w:rPr>
                <w:rFonts w:ascii="Arial" w:cs="Arial" w:eastAsia="Arial" w:hAnsi="Arial"/>
                <w:sz w:val="14"/>
                <w:szCs w:val="14"/>
                <w:color w:val="auto"/>
              </w:rPr>
              <w:t>36</w:t>
            </w:r>
          </w:p>
        </w:tc>
      </w:tr>
      <w:tr>
        <w:trPr>
          <w:trHeight w:val="284"/>
        </w:trPr>
        <w:tc>
          <w:tcPr>
            <w:tcW w:w="9180" w:type="dxa"/>
            <w:vAlign w:val="bottom"/>
          </w:tcPr>
          <w:p>
            <w:pPr>
              <w:spacing w:after="0"/>
              <w:rPr>
                <w:rFonts w:ascii="Arial" w:cs="Arial" w:eastAsia="Arial" w:hAnsi="Arial"/>
                <w:sz w:val="14"/>
                <w:szCs w:val="14"/>
                <w:b w:val="1"/>
                <w:bCs w:val="1"/>
                <w:u w:val="single" w:color="auto"/>
                <w:color w:val="0000EE"/>
              </w:rPr>
            </w:pPr>
            <w:hyperlink w:anchor="page36">
              <w:r>
                <w:rPr>
                  <w:rFonts w:ascii="Arial" w:cs="Arial" w:eastAsia="Arial" w:hAnsi="Arial"/>
                  <w:sz w:val="14"/>
                  <w:szCs w:val="14"/>
                  <w:b w:val="1"/>
                  <w:bCs w:val="1"/>
                  <w:u w:val="single" w:color="auto"/>
                  <w:color w:val="0000EE"/>
                </w:rPr>
                <w:t>Item 2. Unregistered Sales of Equity Securities and Use of Proceeds</w:t>
              </w:r>
            </w:hyperlink>
          </w:p>
        </w:tc>
        <w:tc>
          <w:tcPr>
            <w:tcW w:w="1980" w:type="dxa"/>
            <w:vAlign w:val="bottom"/>
          </w:tcPr>
          <w:p>
            <w:pPr>
              <w:jc w:val="right"/>
              <w:spacing w:after="0"/>
              <w:rPr>
                <w:sz w:val="20"/>
                <w:szCs w:val="20"/>
                <w:color w:val="auto"/>
              </w:rPr>
            </w:pPr>
            <w:r>
              <w:rPr>
                <w:rFonts w:ascii="Arial" w:cs="Arial" w:eastAsia="Arial" w:hAnsi="Arial"/>
                <w:sz w:val="14"/>
                <w:szCs w:val="14"/>
                <w:color w:val="auto"/>
              </w:rPr>
              <w:t>36</w:t>
            </w:r>
          </w:p>
        </w:tc>
      </w:tr>
      <w:tr>
        <w:trPr>
          <w:trHeight w:val="284"/>
        </w:trPr>
        <w:tc>
          <w:tcPr>
            <w:tcW w:w="9180" w:type="dxa"/>
            <w:vAlign w:val="bottom"/>
          </w:tcPr>
          <w:p>
            <w:pPr>
              <w:spacing w:after="0"/>
              <w:rPr>
                <w:rFonts w:ascii="Arial" w:cs="Arial" w:eastAsia="Arial" w:hAnsi="Arial"/>
                <w:sz w:val="14"/>
                <w:szCs w:val="14"/>
                <w:b w:val="1"/>
                <w:bCs w:val="1"/>
                <w:u w:val="single" w:color="auto"/>
                <w:color w:val="0000EE"/>
              </w:rPr>
            </w:pPr>
            <w:hyperlink w:anchor="page36">
              <w:r>
                <w:rPr>
                  <w:rFonts w:ascii="Arial" w:cs="Arial" w:eastAsia="Arial" w:hAnsi="Arial"/>
                  <w:sz w:val="14"/>
                  <w:szCs w:val="14"/>
                  <w:b w:val="1"/>
                  <w:bCs w:val="1"/>
                  <w:u w:val="single" w:color="auto"/>
                  <w:color w:val="0000EE"/>
                </w:rPr>
                <w:t>Item 3. Defaults Upon Senior Securities</w:t>
              </w:r>
            </w:hyperlink>
          </w:p>
        </w:tc>
        <w:tc>
          <w:tcPr>
            <w:tcW w:w="1980" w:type="dxa"/>
            <w:vAlign w:val="bottom"/>
          </w:tcPr>
          <w:p>
            <w:pPr>
              <w:jc w:val="right"/>
              <w:spacing w:after="0"/>
              <w:rPr>
                <w:sz w:val="20"/>
                <w:szCs w:val="20"/>
                <w:color w:val="auto"/>
              </w:rPr>
            </w:pPr>
            <w:r>
              <w:rPr>
                <w:rFonts w:ascii="Arial" w:cs="Arial" w:eastAsia="Arial" w:hAnsi="Arial"/>
                <w:sz w:val="14"/>
                <w:szCs w:val="14"/>
                <w:color w:val="auto"/>
              </w:rPr>
              <w:t>36</w:t>
            </w:r>
          </w:p>
        </w:tc>
      </w:tr>
      <w:tr>
        <w:trPr>
          <w:trHeight w:val="283"/>
        </w:trPr>
        <w:tc>
          <w:tcPr>
            <w:tcW w:w="9180" w:type="dxa"/>
            <w:vAlign w:val="bottom"/>
          </w:tcPr>
          <w:p>
            <w:pPr>
              <w:spacing w:after="0"/>
              <w:rPr>
                <w:rFonts w:ascii="Arial" w:cs="Arial" w:eastAsia="Arial" w:hAnsi="Arial"/>
                <w:sz w:val="14"/>
                <w:szCs w:val="14"/>
                <w:b w:val="1"/>
                <w:bCs w:val="1"/>
                <w:u w:val="single" w:color="auto"/>
                <w:color w:val="0000EE"/>
              </w:rPr>
            </w:pPr>
            <w:hyperlink w:anchor="page36">
              <w:r>
                <w:rPr>
                  <w:rFonts w:ascii="Arial" w:cs="Arial" w:eastAsia="Arial" w:hAnsi="Arial"/>
                  <w:sz w:val="14"/>
                  <w:szCs w:val="14"/>
                  <w:b w:val="1"/>
                  <w:bCs w:val="1"/>
                  <w:u w:val="single" w:color="auto"/>
                  <w:color w:val="0000EE"/>
                </w:rPr>
                <w:t>Item 4. Mine Safety Disclosures</w:t>
              </w:r>
            </w:hyperlink>
          </w:p>
        </w:tc>
        <w:tc>
          <w:tcPr>
            <w:tcW w:w="1980" w:type="dxa"/>
            <w:vAlign w:val="bottom"/>
          </w:tcPr>
          <w:p>
            <w:pPr>
              <w:jc w:val="right"/>
              <w:spacing w:after="0"/>
              <w:rPr>
                <w:sz w:val="20"/>
                <w:szCs w:val="20"/>
                <w:color w:val="auto"/>
              </w:rPr>
            </w:pPr>
            <w:r>
              <w:rPr>
                <w:rFonts w:ascii="Arial" w:cs="Arial" w:eastAsia="Arial" w:hAnsi="Arial"/>
                <w:sz w:val="14"/>
                <w:szCs w:val="14"/>
                <w:color w:val="auto"/>
              </w:rPr>
              <w:t>36</w:t>
            </w:r>
          </w:p>
        </w:tc>
      </w:tr>
      <w:tr>
        <w:trPr>
          <w:trHeight w:val="284"/>
        </w:trPr>
        <w:tc>
          <w:tcPr>
            <w:tcW w:w="9180" w:type="dxa"/>
            <w:vAlign w:val="bottom"/>
          </w:tcPr>
          <w:p>
            <w:pPr>
              <w:spacing w:after="0"/>
              <w:rPr>
                <w:rFonts w:ascii="Arial" w:cs="Arial" w:eastAsia="Arial" w:hAnsi="Arial"/>
                <w:sz w:val="14"/>
                <w:szCs w:val="14"/>
                <w:b w:val="1"/>
                <w:bCs w:val="1"/>
                <w:u w:val="single" w:color="auto"/>
                <w:color w:val="0000EE"/>
              </w:rPr>
            </w:pPr>
            <w:hyperlink w:anchor="page36">
              <w:r>
                <w:rPr>
                  <w:rFonts w:ascii="Arial" w:cs="Arial" w:eastAsia="Arial" w:hAnsi="Arial"/>
                  <w:sz w:val="14"/>
                  <w:szCs w:val="14"/>
                  <w:b w:val="1"/>
                  <w:bCs w:val="1"/>
                  <w:u w:val="single" w:color="auto"/>
                  <w:color w:val="0000EE"/>
                </w:rPr>
                <w:t>Item 5. Other Information</w:t>
              </w:r>
            </w:hyperlink>
          </w:p>
        </w:tc>
        <w:tc>
          <w:tcPr>
            <w:tcW w:w="1980" w:type="dxa"/>
            <w:vAlign w:val="bottom"/>
          </w:tcPr>
          <w:p>
            <w:pPr>
              <w:jc w:val="right"/>
              <w:spacing w:after="0"/>
              <w:rPr>
                <w:sz w:val="20"/>
                <w:szCs w:val="20"/>
                <w:color w:val="auto"/>
              </w:rPr>
            </w:pPr>
            <w:r>
              <w:rPr>
                <w:rFonts w:ascii="Arial" w:cs="Arial" w:eastAsia="Arial" w:hAnsi="Arial"/>
                <w:sz w:val="14"/>
                <w:szCs w:val="14"/>
                <w:color w:val="auto"/>
              </w:rPr>
              <w:t>36</w:t>
            </w:r>
          </w:p>
        </w:tc>
      </w:tr>
      <w:tr>
        <w:trPr>
          <w:trHeight w:val="283"/>
        </w:trPr>
        <w:tc>
          <w:tcPr>
            <w:tcW w:w="9180" w:type="dxa"/>
            <w:vAlign w:val="bottom"/>
          </w:tcPr>
          <w:p>
            <w:pPr>
              <w:spacing w:after="0"/>
              <w:rPr>
                <w:rFonts w:ascii="Arial" w:cs="Arial" w:eastAsia="Arial" w:hAnsi="Arial"/>
                <w:sz w:val="14"/>
                <w:szCs w:val="14"/>
                <w:b w:val="1"/>
                <w:bCs w:val="1"/>
                <w:u w:val="single" w:color="auto"/>
                <w:color w:val="0000EE"/>
              </w:rPr>
            </w:pPr>
            <w:hyperlink w:anchor="page37">
              <w:r>
                <w:rPr>
                  <w:rFonts w:ascii="Arial" w:cs="Arial" w:eastAsia="Arial" w:hAnsi="Arial"/>
                  <w:sz w:val="14"/>
                  <w:szCs w:val="14"/>
                  <w:b w:val="1"/>
                  <w:bCs w:val="1"/>
                  <w:u w:val="single" w:color="auto"/>
                  <w:color w:val="0000EE"/>
                </w:rPr>
                <w:t>Item 6. Exhibits</w:t>
              </w:r>
            </w:hyperlink>
          </w:p>
        </w:tc>
        <w:tc>
          <w:tcPr>
            <w:tcW w:w="1980" w:type="dxa"/>
            <w:vAlign w:val="bottom"/>
          </w:tcPr>
          <w:p>
            <w:pPr>
              <w:jc w:val="right"/>
              <w:spacing w:after="0"/>
              <w:rPr>
                <w:sz w:val="20"/>
                <w:szCs w:val="20"/>
                <w:color w:val="auto"/>
              </w:rPr>
            </w:pPr>
            <w:r>
              <w:rPr>
                <w:rFonts w:ascii="Arial" w:cs="Arial" w:eastAsia="Arial" w:hAnsi="Arial"/>
                <w:sz w:val="14"/>
                <w:szCs w:val="14"/>
                <w:color w:val="auto"/>
              </w:rPr>
              <w:t>37</w:t>
            </w:r>
          </w:p>
        </w:tc>
      </w:tr>
      <w:tr>
        <w:trPr>
          <w:trHeight w:val="284"/>
        </w:trPr>
        <w:tc>
          <w:tcPr>
            <w:tcW w:w="9180" w:type="dxa"/>
            <w:vAlign w:val="bottom"/>
          </w:tcPr>
          <w:p>
            <w:pPr>
              <w:spacing w:after="0"/>
              <w:rPr>
                <w:rFonts w:ascii="Arial" w:cs="Arial" w:eastAsia="Arial" w:hAnsi="Arial"/>
                <w:sz w:val="14"/>
                <w:szCs w:val="14"/>
                <w:b w:val="1"/>
                <w:bCs w:val="1"/>
                <w:u w:val="single" w:color="auto"/>
                <w:color w:val="0000EE"/>
              </w:rPr>
            </w:pPr>
            <w:hyperlink w:anchor="page38">
              <w:r>
                <w:rPr>
                  <w:rFonts w:ascii="Arial" w:cs="Arial" w:eastAsia="Arial" w:hAnsi="Arial"/>
                  <w:sz w:val="14"/>
                  <w:szCs w:val="14"/>
                  <w:b w:val="1"/>
                  <w:bCs w:val="1"/>
                  <w:u w:val="single" w:color="auto"/>
                  <w:color w:val="0000EE"/>
                </w:rPr>
                <w:t>SIGNATURES</w:t>
              </w:r>
            </w:hyperlink>
          </w:p>
        </w:tc>
        <w:tc>
          <w:tcPr>
            <w:tcW w:w="1980" w:type="dxa"/>
            <w:vAlign w:val="bottom"/>
          </w:tcPr>
          <w:p>
            <w:pPr>
              <w:jc w:val="right"/>
              <w:spacing w:after="0"/>
              <w:rPr>
                <w:sz w:val="20"/>
                <w:szCs w:val="20"/>
                <w:color w:val="auto"/>
              </w:rPr>
            </w:pPr>
            <w:r>
              <w:rPr>
                <w:rFonts w:ascii="Arial" w:cs="Arial" w:eastAsia="Arial" w:hAnsi="Arial"/>
                <w:sz w:val="14"/>
                <w:szCs w:val="14"/>
                <w:color w:val="auto"/>
              </w:rPr>
              <w:t>38</w:t>
            </w:r>
          </w:p>
        </w:tc>
      </w:tr>
      <w:tr>
        <w:trPr>
          <w:trHeight w:val="297"/>
        </w:trPr>
        <w:tc>
          <w:tcPr>
            <w:tcW w:w="9180" w:type="dxa"/>
            <w:vAlign w:val="bottom"/>
          </w:tcPr>
          <w:p>
            <w:pPr>
              <w:ind w:left="5580"/>
              <w:spacing w:after="0"/>
              <w:rPr>
                <w:sz w:val="20"/>
                <w:szCs w:val="20"/>
                <w:color w:val="auto"/>
              </w:rPr>
            </w:pPr>
            <w:r>
              <w:rPr>
                <w:rFonts w:ascii="Arial" w:cs="Arial" w:eastAsia="Arial" w:hAnsi="Arial"/>
                <w:sz w:val="14"/>
                <w:szCs w:val="14"/>
                <w:color w:val="auto"/>
              </w:rPr>
              <w:t>2</w:t>
            </w:r>
          </w:p>
        </w:tc>
        <w:tc>
          <w:tcPr>
            <w:tcW w:w="1980" w:type="dxa"/>
            <w:vAlign w:val="bottom"/>
          </w:tcPr>
          <w:p>
            <w:pPr>
              <w:spacing w:after="0"/>
              <w:rPr>
                <w:sz w:val="24"/>
                <w:szCs w:val="24"/>
                <w:color w:val="auto"/>
              </w:rPr>
            </w:pPr>
          </w:p>
        </w:tc>
      </w:tr>
    </w:tbl>
    <w:p>
      <w:pPr>
        <w:sectPr>
          <w:pgSz w:w="11900" w:h="16838" w:orient="portrait"/>
          <w:cols w:equalWidth="0" w:num="1">
            <w:col w:w="11160"/>
          </w:cols>
          <w:pgMar w:left="320" w:top="459" w:right="41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PART I—CONSOLIDATED FINANCIAL INFORMATION</w:t>
      </w:r>
    </w:p>
    <w:p>
      <w:pPr>
        <w:spacing w:after="0" w:line="181" w:lineRule="exact"/>
        <w:rPr>
          <w:sz w:val="20"/>
          <w:szCs w:val="20"/>
          <w:color w:val="auto"/>
        </w:rPr>
      </w:pPr>
    </w:p>
    <w:p>
      <w:pPr>
        <w:spacing w:after="0" w:line="244" w:lineRule="auto"/>
        <w:rPr>
          <w:sz w:val="20"/>
          <w:szCs w:val="20"/>
          <w:color w:val="auto"/>
        </w:rPr>
      </w:pPr>
      <w:r>
        <w:rPr>
          <w:rFonts w:ascii="Arial" w:cs="Arial" w:eastAsia="Arial" w:hAnsi="Arial"/>
          <w:sz w:val="13"/>
          <w:szCs w:val="13"/>
          <w:color w:val="auto"/>
        </w:rPr>
        <w:t>We are filing this Form 10-Q, or the Report, in compliance with Rule 13a-13 promulgated by the Securities and Exchange Commission, or the SEC. In this Report, “Company,” “we,” “our” or “us” refer to PennantPark Investment Corporation and its consolidated subsidiaries unless the context suggests otherwise. “PennantPark Investment” refers to only PennantPark Investment Corporation; “our SBIC Funds” refers collectively to our consolidated subsidiaries, PennantPark SBIC LP, or SBIC LP, and its general partner, PennantPark SBIC GP, LLC, and PennantPark SBIC II LP, or SBIC II, and its general partner, PennantPark SBIC GP II, LLC; “PennantPark Investment Advisers” or “Investment Adviser” refers to PennantPark Investment Advisers, LLC; “PennantPark Investment Administration” or “Administrator” refers to PennantPark Investment Administration, LLC; “SBA” refers to the Small Business Administration; “SBIC” refers to a Small Business Investment Company; “Credit Facility” refers to our multi-currency, senior secured revolving credit facility; “2025 Notes” refers to our 6.25% notes due 2025; “2019 Notes” refers to our 4.50% notes due 2019; “our Notes” refer collectively to our 2025 Notes and our 2019 Notes; “BDC” refers to a business development company under the Investment Company Act of 1940, as amended, or the 1940 Act; “Code” refers to the Internal Revenue Code of 1986, as amended; and “RIC” refers to a regulated investment company under the Code. References to our portfolio or investments include investments we make through our SBIC Funds and other consolidated subsidiaries.</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120"/>
          </w:cols>
          <w:pgMar w:left="320" w:top="459" w:right="4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3" w:lineRule="exact"/>
        <w:rPr>
          <w:sz w:val="20"/>
          <w:szCs w:val="20"/>
          <w:color w:val="auto"/>
        </w:rPr>
      </w:pPr>
    </w:p>
    <w:p>
      <w:pPr>
        <w:spacing w:after="0"/>
        <w:tabs>
          <w:tab w:leader="none" w:pos="880" w:val="left"/>
        </w:tabs>
        <w:rPr>
          <w:sz w:val="20"/>
          <w:szCs w:val="20"/>
          <w:color w:val="auto"/>
        </w:rPr>
      </w:pPr>
      <w:r>
        <w:rPr>
          <w:rFonts w:ascii="Arial" w:cs="Arial" w:eastAsia="Arial" w:hAnsi="Arial"/>
          <w:sz w:val="14"/>
          <w:szCs w:val="14"/>
          <w:b w:val="1"/>
          <w:bCs w:val="1"/>
          <w:color w:val="auto"/>
        </w:rPr>
        <w:t>Item 1.</w:t>
      </w:r>
      <w:r>
        <w:rPr>
          <w:sz w:val="20"/>
          <w:szCs w:val="20"/>
          <w:color w:val="auto"/>
        </w:rPr>
        <w:tab/>
      </w:r>
      <w:r>
        <w:rPr>
          <w:rFonts w:ascii="Arial" w:cs="Arial" w:eastAsia="Arial" w:hAnsi="Arial"/>
          <w:sz w:val="12"/>
          <w:szCs w:val="12"/>
          <w:b w:val="1"/>
          <w:bCs w:val="1"/>
          <w:color w:val="auto"/>
        </w:rPr>
        <w:t>Consolidated Financial Statements</w:t>
      </w:r>
    </w:p>
    <w:p>
      <w:pPr>
        <w:spacing w:after="0" w:line="177"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PENNANTPARK INVESTMENT CORPORATION AND SUBSIDIARIES</w:t>
      </w:r>
    </w:p>
    <w:p>
      <w:pPr>
        <w:spacing w:after="0" w:line="4"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CONSOLIDATED STATEMENTS OF ASSETS AND LIABILITIES</w:t>
      </w:r>
    </w:p>
    <w:p>
      <w:pPr>
        <w:spacing w:after="0" w:line="178"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w w:val="90"/>
              </w:rPr>
              <w:t>December 31, 2014</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w w:val="88"/>
              </w:rPr>
              <w:t>September 30, 2014</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rPr>
              <w:t>(unaudited)</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6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Assets</w:t>
            </w: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3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3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60" w:type="dxa"/>
            <w:vAlign w:val="bottom"/>
          </w:tcPr>
          <w:p>
            <w:pPr>
              <w:spacing w:after="0" w:line="149" w:lineRule="exact"/>
              <w:rPr>
                <w:sz w:val="20"/>
                <w:szCs w:val="20"/>
                <w:color w:val="auto"/>
              </w:rPr>
            </w:pPr>
            <w:r>
              <w:rPr>
                <w:rFonts w:ascii="Arial" w:cs="Arial" w:eastAsia="Arial" w:hAnsi="Arial"/>
                <w:sz w:val="14"/>
                <w:szCs w:val="14"/>
                <w:color w:val="auto"/>
              </w:rPr>
              <w:t>Investments at fair value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8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Non-controlled, non-affiliated investments (cost—$1,241,937,230 and $1,171,573,359, respectively)</w:t>
            </w:r>
          </w:p>
        </w:tc>
        <w:tc>
          <w:tcPr>
            <w:tcW w:w="14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w w:val="76"/>
              </w:rPr>
              <w:t>$</w:t>
            </w:r>
          </w:p>
        </w:tc>
        <w:tc>
          <w:tcPr>
            <w:tcW w:w="1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1,229,810,600</w:t>
            </w:r>
          </w:p>
        </w:tc>
        <w:tc>
          <w:tcPr>
            <w:tcW w:w="1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1,212,515,400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860" w:type="dxa"/>
            <w:vAlign w:val="bottom"/>
          </w:tcPr>
          <w:p>
            <w:pPr>
              <w:ind w:left="120"/>
              <w:spacing w:after="0" w:line="149" w:lineRule="exact"/>
              <w:rPr>
                <w:sz w:val="20"/>
                <w:szCs w:val="20"/>
                <w:color w:val="auto"/>
              </w:rPr>
            </w:pPr>
            <w:r>
              <w:rPr>
                <w:rFonts w:ascii="Arial" w:cs="Arial" w:eastAsia="Arial" w:hAnsi="Arial"/>
                <w:sz w:val="14"/>
                <w:szCs w:val="14"/>
                <w:color w:val="auto"/>
              </w:rPr>
              <w:t>Non-controlled, affiliated investments (cost—$108,969,135 and $108,572,406, respectively)</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Arial" w:cs="Arial" w:eastAsia="Arial" w:hAnsi="Arial"/>
                <w:sz w:val="14"/>
                <w:szCs w:val="14"/>
                <w:color w:val="auto"/>
              </w:rPr>
              <w:t>70,789,290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Arial" w:cs="Arial" w:eastAsia="Arial" w:hAnsi="Arial"/>
                <w:sz w:val="14"/>
                <w:szCs w:val="14"/>
                <w:color w:val="auto"/>
              </w:rPr>
              <w:t>67,847,521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8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Controlled, affiliated investments (cost—$43,661,751 and $38,708,555, respectively)</w:t>
            </w:r>
          </w:p>
        </w:tc>
        <w:tc>
          <w:tcPr>
            <w:tcW w:w="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3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39,995,228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3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37,691,845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860" w:type="dxa"/>
            <w:vAlign w:val="bottom"/>
          </w:tcPr>
          <w:p>
            <w:pPr>
              <w:ind w:left="120"/>
              <w:spacing w:after="0" w:line="155" w:lineRule="exact"/>
              <w:rPr>
                <w:sz w:val="20"/>
                <w:szCs w:val="20"/>
                <w:color w:val="auto"/>
              </w:rPr>
            </w:pPr>
            <w:r>
              <w:rPr>
                <w:rFonts w:ascii="Arial" w:cs="Arial" w:eastAsia="Arial" w:hAnsi="Arial"/>
                <w:sz w:val="14"/>
                <w:szCs w:val="14"/>
                <w:color w:val="auto"/>
              </w:rPr>
              <w:t>Total of investments (cost—$1,394,568,116 and $1,318,854,320, respectively)</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jc w:val="right"/>
              <w:spacing w:after="0" w:line="155" w:lineRule="exact"/>
              <w:rPr>
                <w:sz w:val="20"/>
                <w:szCs w:val="20"/>
                <w:color w:val="auto"/>
              </w:rPr>
            </w:pPr>
            <w:r>
              <w:rPr>
                <w:rFonts w:ascii="Arial" w:cs="Arial" w:eastAsia="Arial" w:hAnsi="Arial"/>
                <w:sz w:val="14"/>
                <w:szCs w:val="14"/>
                <w:color w:val="auto"/>
              </w:rPr>
              <w:t>1,340,595,118</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jc w:val="right"/>
              <w:spacing w:after="0" w:line="155" w:lineRule="exact"/>
              <w:rPr>
                <w:sz w:val="20"/>
                <w:szCs w:val="20"/>
                <w:color w:val="auto"/>
              </w:rPr>
            </w:pPr>
            <w:r>
              <w:rPr>
                <w:rFonts w:ascii="Arial" w:cs="Arial" w:eastAsia="Arial" w:hAnsi="Arial"/>
                <w:sz w:val="14"/>
                <w:szCs w:val="14"/>
                <w:color w:val="auto"/>
              </w:rPr>
              <w:t>1,318,054,766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(cost—$54,401,649 and $66,600,195, respectively) (See Note 8)</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54,329,248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66,518,682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860" w:type="dxa"/>
            <w:vAlign w:val="bottom"/>
          </w:tcPr>
          <w:p>
            <w:pPr>
              <w:spacing w:after="0" w:line="149" w:lineRule="exact"/>
              <w:rPr>
                <w:sz w:val="20"/>
                <w:szCs w:val="20"/>
                <w:color w:val="auto"/>
              </w:rPr>
            </w:pPr>
            <w:r>
              <w:rPr>
                <w:rFonts w:ascii="Arial" w:cs="Arial" w:eastAsia="Arial" w:hAnsi="Arial"/>
                <w:sz w:val="14"/>
                <w:szCs w:val="14"/>
                <w:color w:val="auto"/>
              </w:rPr>
              <w:t>Interest receivable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Arial" w:cs="Arial" w:eastAsia="Arial" w:hAnsi="Arial"/>
                <w:sz w:val="14"/>
                <w:szCs w:val="14"/>
                <w:color w:val="auto"/>
              </w:rPr>
              <w:t>12,594,493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Arial" w:cs="Arial" w:eastAsia="Arial" w:hAnsi="Arial"/>
                <w:sz w:val="14"/>
                <w:szCs w:val="14"/>
                <w:color w:val="auto"/>
              </w:rPr>
              <w:t>13,703,525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financing costs and other assets</w:t>
            </w:r>
          </w:p>
        </w:tc>
        <w:tc>
          <w:tcPr>
            <w:tcW w:w="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3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13,646,208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3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13,550,224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860" w:type="dxa"/>
            <w:vAlign w:val="bottom"/>
          </w:tcPr>
          <w:p>
            <w:pPr>
              <w:ind w:left="560"/>
              <w:spacing w:after="0" w:line="155" w:lineRule="exact"/>
              <w:rPr>
                <w:sz w:val="20"/>
                <w:szCs w:val="20"/>
                <w:color w:val="auto"/>
              </w:rPr>
            </w:pPr>
            <w:r>
              <w:rPr>
                <w:rFonts w:ascii="Arial" w:cs="Arial" w:eastAsia="Arial" w:hAnsi="Arial"/>
                <w:sz w:val="14"/>
                <w:szCs w:val="14"/>
                <w:b w:val="1"/>
                <w:bCs w:val="1"/>
                <w:color w:val="auto"/>
              </w:rPr>
              <w:t>Total assets</w:t>
            </w:r>
          </w:p>
        </w:tc>
        <w:tc>
          <w:tcPr>
            <w:tcW w:w="20" w:type="dxa"/>
            <w:vAlign w:val="bottom"/>
          </w:tcPr>
          <w:p>
            <w:pPr>
              <w:spacing w:after="0"/>
              <w:rPr>
                <w:sz w:val="14"/>
                <w:szCs w:val="14"/>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1,421,165,067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1,411,827,197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8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Liabilities</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60" w:type="dxa"/>
            <w:vAlign w:val="bottom"/>
          </w:tcPr>
          <w:p>
            <w:pPr>
              <w:spacing w:after="0" w:line="149" w:lineRule="exact"/>
              <w:rPr>
                <w:sz w:val="20"/>
                <w:szCs w:val="20"/>
                <w:color w:val="auto"/>
              </w:rPr>
            </w:pPr>
            <w:r>
              <w:rPr>
                <w:rFonts w:ascii="Arial" w:cs="Arial" w:eastAsia="Arial" w:hAnsi="Arial"/>
                <w:sz w:val="14"/>
                <w:szCs w:val="14"/>
                <w:color w:val="auto"/>
              </w:rPr>
              <w:t>Distributions payable</w:t>
            </w:r>
          </w:p>
        </w:tc>
        <w:tc>
          <w:tcPr>
            <w:tcW w:w="14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w w:val="76"/>
              </w:rPr>
              <w:t>$</w:t>
            </w:r>
          </w:p>
        </w:tc>
        <w:tc>
          <w:tcPr>
            <w:tcW w:w="1300" w:type="dxa"/>
            <w:vAlign w:val="bottom"/>
          </w:tcPr>
          <w:p>
            <w:pPr>
              <w:jc w:val="right"/>
              <w:spacing w:after="0" w:line="149" w:lineRule="exact"/>
              <w:rPr>
                <w:sz w:val="20"/>
                <w:szCs w:val="20"/>
                <w:color w:val="auto"/>
              </w:rPr>
            </w:pPr>
            <w:r>
              <w:rPr>
                <w:rFonts w:ascii="Arial" w:cs="Arial" w:eastAsia="Arial" w:hAnsi="Arial"/>
                <w:sz w:val="14"/>
                <w:szCs w:val="14"/>
                <w:color w:val="auto"/>
              </w:rPr>
              <w:t>21,026,015</w:t>
            </w:r>
          </w:p>
        </w:tc>
        <w:tc>
          <w:tcPr>
            <w:tcW w:w="100" w:type="dxa"/>
            <w:vAlign w:val="bottom"/>
          </w:tcPr>
          <w:p>
            <w:pPr>
              <w:spacing w:after="0"/>
              <w:rPr>
                <w:sz w:val="12"/>
                <w:szCs w:val="12"/>
                <w:color w:val="auto"/>
              </w:rPr>
            </w:pPr>
          </w:p>
        </w:tc>
        <w:tc>
          <w:tcPr>
            <w:tcW w:w="20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1300" w:type="dxa"/>
            <w:vAlign w:val="bottom"/>
          </w:tcPr>
          <w:p>
            <w:pPr>
              <w:jc w:val="right"/>
              <w:spacing w:after="0" w:line="149" w:lineRule="exact"/>
              <w:rPr>
                <w:sz w:val="20"/>
                <w:szCs w:val="20"/>
                <w:color w:val="auto"/>
              </w:rPr>
            </w:pPr>
            <w:r>
              <w:rPr>
                <w:rFonts w:ascii="Arial" w:cs="Arial" w:eastAsia="Arial" w:hAnsi="Arial"/>
                <w:sz w:val="14"/>
                <w:szCs w:val="14"/>
                <w:color w:val="auto"/>
              </w:rPr>
              <w:t>21,026,015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Payable for investments purchased</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4,432,500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860" w:type="dxa"/>
            <w:vAlign w:val="bottom"/>
          </w:tcPr>
          <w:p>
            <w:pPr>
              <w:spacing w:after="0" w:line="149" w:lineRule="exact"/>
              <w:rPr>
                <w:sz w:val="20"/>
                <w:szCs w:val="20"/>
                <w:color w:val="auto"/>
              </w:rPr>
            </w:pPr>
            <w:r>
              <w:rPr>
                <w:rFonts w:ascii="Arial" w:cs="Arial" w:eastAsia="Arial" w:hAnsi="Arial"/>
                <w:sz w:val="14"/>
                <w:szCs w:val="14"/>
                <w:color w:val="auto"/>
              </w:rPr>
              <w:t>Unfunded investments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Arial" w:cs="Arial" w:eastAsia="Arial" w:hAnsi="Arial"/>
                <w:sz w:val="14"/>
                <w:szCs w:val="14"/>
                <w:color w:val="auto"/>
              </w:rPr>
              <w:t>15,607,059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Credit Facility payable (cost—$125,881,500 and $55,226,300, respectively) (See Notes 5 and 10)</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122,316,693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53,497,620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860" w:type="dxa"/>
            <w:vAlign w:val="bottom"/>
          </w:tcPr>
          <w:p>
            <w:pPr>
              <w:spacing w:after="0" w:line="149" w:lineRule="exact"/>
              <w:rPr>
                <w:sz w:val="20"/>
                <w:szCs w:val="20"/>
                <w:color w:val="auto"/>
              </w:rPr>
            </w:pPr>
            <w:r>
              <w:rPr>
                <w:rFonts w:ascii="Arial" w:cs="Arial" w:eastAsia="Arial" w:hAnsi="Arial"/>
                <w:sz w:val="14"/>
                <w:szCs w:val="14"/>
                <w:color w:val="auto"/>
              </w:rPr>
              <w:t>SBA debentures payable (cost—$150,000,000) (See Notes 5 and 10)</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Arial" w:cs="Arial" w:eastAsia="Arial" w:hAnsi="Arial"/>
                <w:sz w:val="14"/>
                <w:szCs w:val="14"/>
                <w:color w:val="auto"/>
              </w:rPr>
              <w:t>150,000,000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Arial" w:cs="Arial" w:eastAsia="Arial" w:hAnsi="Arial"/>
                <w:sz w:val="14"/>
                <w:szCs w:val="14"/>
                <w:color w:val="auto"/>
              </w:rPr>
              <w:t>150,000,000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2019 Notes payable (cost—$250,000,000) (See Notes 5 and 10)</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250,446,250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251,350,250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860" w:type="dxa"/>
            <w:vAlign w:val="bottom"/>
          </w:tcPr>
          <w:p>
            <w:pPr>
              <w:spacing w:after="0" w:line="149" w:lineRule="exact"/>
              <w:rPr>
                <w:sz w:val="20"/>
                <w:szCs w:val="20"/>
                <w:color w:val="auto"/>
              </w:rPr>
            </w:pPr>
            <w:r>
              <w:rPr>
                <w:rFonts w:ascii="Arial" w:cs="Arial" w:eastAsia="Arial" w:hAnsi="Arial"/>
                <w:sz w:val="14"/>
                <w:szCs w:val="14"/>
                <w:color w:val="auto"/>
              </w:rPr>
              <w:t>2025 Notes payable (cost—$71,250,000) (See Notes 5 and 10)</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Arial" w:cs="Arial" w:eastAsia="Arial" w:hAnsi="Arial"/>
                <w:sz w:val="14"/>
                <w:szCs w:val="14"/>
                <w:color w:val="auto"/>
              </w:rPr>
              <w:t>73,444,500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Arial" w:cs="Arial" w:eastAsia="Arial" w:hAnsi="Arial"/>
                <w:sz w:val="14"/>
                <w:szCs w:val="14"/>
                <w:color w:val="auto"/>
              </w:rPr>
              <w:t>71,820,000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Management fee payable (See Note 3)</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6,796,751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6,385,103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860" w:type="dxa"/>
            <w:vAlign w:val="bottom"/>
          </w:tcPr>
          <w:p>
            <w:pPr>
              <w:spacing w:after="0" w:line="149" w:lineRule="exact"/>
              <w:rPr>
                <w:sz w:val="20"/>
                <w:szCs w:val="20"/>
                <w:color w:val="auto"/>
              </w:rPr>
            </w:pPr>
            <w:r>
              <w:rPr>
                <w:rFonts w:ascii="Arial" w:cs="Arial" w:eastAsia="Arial" w:hAnsi="Arial"/>
                <w:sz w:val="14"/>
                <w:szCs w:val="14"/>
                <w:color w:val="auto"/>
              </w:rPr>
              <w:t>Performance-based incentive fee payable (See Note 3)</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Arial" w:cs="Arial" w:eastAsia="Arial" w:hAnsi="Arial"/>
                <w:sz w:val="14"/>
                <w:szCs w:val="14"/>
                <w:color w:val="auto"/>
              </w:rPr>
              <w:t>4,869,218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Arial" w:cs="Arial" w:eastAsia="Arial" w:hAnsi="Arial"/>
                <w:sz w:val="14"/>
                <w:szCs w:val="14"/>
                <w:color w:val="auto"/>
              </w:rPr>
              <w:t>4,622,754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payable on debt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6,505,077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1,962,264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860" w:type="dxa"/>
            <w:vAlign w:val="bottom"/>
          </w:tcPr>
          <w:p>
            <w:pPr>
              <w:spacing w:after="0" w:line="149" w:lineRule="exact"/>
              <w:rPr>
                <w:sz w:val="20"/>
                <w:szCs w:val="20"/>
                <w:color w:val="auto"/>
              </w:rPr>
            </w:pPr>
            <w:r>
              <w:rPr>
                <w:rFonts w:ascii="Arial" w:cs="Arial" w:eastAsia="Arial" w:hAnsi="Arial"/>
                <w:sz w:val="14"/>
                <w:szCs w:val="14"/>
                <w:color w:val="auto"/>
              </w:rPr>
              <w:t>Accrued other expenses</w:t>
            </w:r>
          </w:p>
        </w:tc>
        <w:tc>
          <w:tcPr>
            <w:tcW w:w="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2,722,323</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3,113,683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86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b w:val="1"/>
                <w:bCs w:val="1"/>
                <w:color w:val="auto"/>
              </w:rPr>
              <w:t>Total liabilities</w:t>
            </w:r>
          </w:p>
        </w:tc>
        <w:tc>
          <w:tcPr>
            <w:tcW w:w="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3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638,126,827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3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583,817,248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880" w:type="dxa"/>
            <w:vAlign w:val="bottom"/>
            <w:gridSpan w:val="2"/>
          </w:tcPr>
          <w:p>
            <w:pPr>
              <w:spacing w:after="0" w:line="155" w:lineRule="exact"/>
              <w:rPr>
                <w:sz w:val="20"/>
                <w:szCs w:val="20"/>
                <w:color w:val="auto"/>
              </w:rPr>
            </w:pPr>
            <w:r>
              <w:rPr>
                <w:rFonts w:ascii="Arial" w:cs="Arial" w:eastAsia="Arial" w:hAnsi="Arial"/>
                <w:sz w:val="14"/>
                <w:szCs w:val="14"/>
                <w:color w:val="auto"/>
              </w:rPr>
              <w:t>Commitments and contingencies (See Note 11)</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8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assets</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860" w:type="dxa"/>
            <w:vAlign w:val="bottom"/>
          </w:tcPr>
          <w:p>
            <w:pPr>
              <w:spacing w:after="0" w:line="130" w:lineRule="exact"/>
              <w:rPr>
                <w:sz w:val="20"/>
                <w:szCs w:val="20"/>
                <w:color w:val="auto"/>
              </w:rPr>
            </w:pPr>
            <w:r>
              <w:rPr>
                <w:rFonts w:ascii="Arial" w:cs="Arial" w:eastAsia="Arial" w:hAnsi="Arial"/>
                <w:sz w:val="14"/>
                <w:szCs w:val="14"/>
                <w:color w:val="auto"/>
              </w:rPr>
              <w:t>Common stock, 75,092,911 shares issued and outstanding.</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860" w:type="dxa"/>
            <w:vAlign w:val="bottom"/>
          </w:tcPr>
          <w:p>
            <w:pPr>
              <w:ind w:left="280"/>
              <w:spacing w:after="0"/>
              <w:rPr>
                <w:sz w:val="20"/>
                <w:szCs w:val="20"/>
                <w:color w:val="auto"/>
              </w:rPr>
            </w:pPr>
            <w:r>
              <w:rPr>
                <w:rFonts w:ascii="Arial" w:cs="Arial" w:eastAsia="Arial" w:hAnsi="Arial"/>
                <w:sz w:val="14"/>
                <w:szCs w:val="14"/>
                <w:color w:val="auto"/>
              </w:rPr>
              <w:t>Par value $0.001 per share and 100,000,000 shares authorized.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75,093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75,093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Paid-in capital in excess of par value</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852,465,375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852,465,375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60" w:type="dxa"/>
            <w:vAlign w:val="bottom"/>
          </w:tcPr>
          <w:p>
            <w:pPr>
              <w:spacing w:after="0" w:line="149" w:lineRule="exact"/>
              <w:rPr>
                <w:sz w:val="20"/>
                <w:szCs w:val="20"/>
                <w:color w:val="auto"/>
              </w:rPr>
            </w:pPr>
            <w:r>
              <w:rPr>
                <w:rFonts w:ascii="Arial" w:cs="Arial" w:eastAsia="Arial" w:hAnsi="Arial"/>
                <w:sz w:val="14"/>
                <w:szCs w:val="14"/>
                <w:color w:val="auto"/>
              </w:rPr>
              <w:t>Distributions in excess of net investment income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(13,351,723)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(11,802,580)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Accumulated net realized loss on investments</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(3,029,163)</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(11,655,302)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860" w:type="dxa"/>
            <w:vAlign w:val="bottom"/>
          </w:tcPr>
          <w:p>
            <w:pPr>
              <w:spacing w:after="0" w:line="149" w:lineRule="exact"/>
              <w:rPr>
                <w:sz w:val="20"/>
                <w:szCs w:val="20"/>
                <w:color w:val="auto"/>
              </w:rPr>
            </w:pPr>
            <w:r>
              <w:rPr>
                <w:rFonts w:ascii="Arial" w:cs="Arial" w:eastAsia="Arial" w:hAnsi="Arial"/>
                <w:sz w:val="14"/>
                <w:szCs w:val="14"/>
                <w:color w:val="auto"/>
              </w:rPr>
              <w:t>Net unrealized depreciation on investments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(54,045,399)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(881,067)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unrealized depreciation (appreciation) on debt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924,057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(191,570)</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860" w:type="dxa"/>
            <w:vAlign w:val="bottom"/>
          </w:tcPr>
          <w:p>
            <w:pPr>
              <w:ind w:left="560"/>
              <w:spacing w:after="0" w:line="155" w:lineRule="exact"/>
              <w:rPr>
                <w:sz w:val="20"/>
                <w:szCs w:val="20"/>
                <w:color w:val="auto"/>
              </w:rPr>
            </w:pPr>
            <w:r>
              <w:rPr>
                <w:rFonts w:ascii="Arial" w:cs="Arial" w:eastAsia="Arial" w:hAnsi="Arial"/>
                <w:sz w:val="14"/>
                <w:szCs w:val="14"/>
                <w:b w:val="1"/>
                <w:bCs w:val="1"/>
                <w:color w:val="auto"/>
              </w:rPr>
              <w:t>Total net assets</w:t>
            </w:r>
          </w:p>
        </w:tc>
        <w:tc>
          <w:tcPr>
            <w:tcW w:w="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13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783,038,240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13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828,009,949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6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b w:val="1"/>
                <w:bCs w:val="1"/>
                <w:color w:val="auto"/>
              </w:rPr>
              <w:t>Total liabilities and net assets</w:t>
            </w:r>
          </w:p>
        </w:tc>
        <w:tc>
          <w:tcPr>
            <w:tcW w:w="14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w w:val="76"/>
              </w:rPr>
              <w:t>$</w:t>
            </w:r>
          </w:p>
        </w:tc>
        <w:tc>
          <w:tcPr>
            <w:tcW w:w="1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1,421,165,067</w:t>
            </w:r>
          </w:p>
        </w:tc>
        <w:tc>
          <w:tcPr>
            <w:tcW w:w="1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1,411,827,197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Net asset value per share</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880" w:type="dxa"/>
            <w:vAlign w:val="bottom"/>
            <w:gridSpan w:val="2"/>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10.43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11.03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140"/>
          </w:cols>
          <w:pgMar w:left="320" w:top="459"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STATEMENTS OF OPERATIONS</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2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00" w:type="dxa"/>
            <w:vAlign w:val="bottom"/>
            <w:gridSpan w:val="6"/>
          </w:tcPr>
          <w:p>
            <w:pPr>
              <w:ind w:left="20"/>
              <w:spacing w:after="0"/>
              <w:rPr>
                <w:sz w:val="20"/>
                <w:szCs w:val="20"/>
                <w:color w:val="auto"/>
              </w:rPr>
            </w:pPr>
            <w:r>
              <w:rPr>
                <w:rFonts w:ascii="Arial" w:cs="Arial" w:eastAsia="Arial" w:hAnsi="Arial"/>
                <w:sz w:val="13"/>
                <w:szCs w:val="13"/>
                <w:b w:val="1"/>
                <w:bCs w:val="1"/>
                <w:color w:val="auto"/>
                <w:w w:val="95"/>
              </w:rPr>
              <w:t>Three Months Ended December 31,</w:t>
            </w:r>
          </w:p>
        </w:tc>
        <w:tc>
          <w:tcPr>
            <w:tcW w:w="0" w:type="dxa"/>
            <w:vAlign w:val="bottom"/>
          </w:tcPr>
          <w:p>
            <w:pPr>
              <w:spacing w:after="0"/>
              <w:rPr>
                <w:sz w:val="1"/>
                <w:szCs w:val="1"/>
                <w:color w:val="auto"/>
              </w:rPr>
            </w:pPr>
          </w:p>
        </w:tc>
      </w:tr>
      <w:tr>
        <w:trPr>
          <w:trHeight w:val="142"/>
        </w:trPr>
        <w:tc>
          <w:tcPr>
            <w:tcW w:w="7240" w:type="dxa"/>
            <w:vAlign w:val="bottom"/>
            <w:tcBorders>
              <w:bottom w:val="single" w:sz="8" w:color="CCEEFF"/>
            </w:tcBorders>
          </w:tcPr>
          <w:p>
            <w:pPr>
              <w:spacing w:after="0"/>
              <w:rPr>
                <w:sz w:val="12"/>
                <w:szCs w:val="12"/>
                <w:color w:val="auto"/>
              </w:rPr>
            </w:pPr>
          </w:p>
        </w:tc>
        <w:tc>
          <w:tcPr>
            <w:tcW w:w="18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49"/>
              <w:spacing w:after="0" w:line="142" w:lineRule="exact"/>
              <w:rPr>
                <w:sz w:val="20"/>
                <w:szCs w:val="20"/>
                <w:color w:val="auto"/>
              </w:rPr>
            </w:pPr>
            <w:r>
              <w:rPr>
                <w:rFonts w:ascii="Arial" w:cs="Arial" w:eastAsia="Arial" w:hAnsi="Arial"/>
                <w:sz w:val="13"/>
                <w:szCs w:val="13"/>
                <w:b w:val="1"/>
                <w:bCs w:val="1"/>
                <w:color w:val="auto"/>
              </w:rPr>
              <w:t>2014</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48"/>
              <w:spacing w:after="0" w:line="142" w:lineRule="exact"/>
              <w:rPr>
                <w:sz w:val="20"/>
                <w:szCs w:val="20"/>
                <w:color w:val="auto"/>
              </w:rPr>
            </w:pPr>
            <w:r>
              <w:rPr>
                <w:rFonts w:ascii="Arial" w:cs="Arial" w:eastAsia="Arial" w:hAnsi="Arial"/>
                <w:sz w:val="13"/>
                <w:szCs w:val="13"/>
                <w:b w:val="1"/>
                <w:bCs w:val="1"/>
                <w:color w:val="auto"/>
              </w:rPr>
              <w:t>2013</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724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Investment income:</w:t>
            </w:r>
          </w:p>
        </w:tc>
        <w:tc>
          <w:tcPr>
            <w:tcW w:w="1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240" w:type="dxa"/>
            <w:vAlign w:val="bottom"/>
          </w:tcPr>
          <w:p>
            <w:pPr>
              <w:spacing w:after="0" w:line="149" w:lineRule="exact"/>
              <w:rPr>
                <w:sz w:val="20"/>
                <w:szCs w:val="20"/>
                <w:color w:val="auto"/>
              </w:rPr>
            </w:pPr>
            <w:r>
              <w:rPr>
                <w:rFonts w:ascii="Arial" w:cs="Arial" w:eastAsia="Arial" w:hAnsi="Arial"/>
                <w:sz w:val="14"/>
                <w:szCs w:val="14"/>
                <w:color w:val="auto"/>
              </w:rPr>
              <w:t>From non-controlled, non-affiliated investments:</w:t>
            </w:r>
          </w:p>
        </w:tc>
        <w:tc>
          <w:tcPr>
            <w:tcW w:w="1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4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Interest</w:t>
            </w:r>
          </w:p>
        </w:tc>
        <w:tc>
          <w:tcPr>
            <w:tcW w:w="1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34,861,628</w:t>
            </w:r>
          </w:p>
        </w:tc>
        <w:tc>
          <w:tcPr>
            <w:tcW w:w="30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28,964,935</w:t>
            </w:r>
          </w:p>
        </w:tc>
        <w:tc>
          <w:tcPr>
            <w:tcW w:w="0" w:type="dxa"/>
            <w:vAlign w:val="bottom"/>
          </w:tcPr>
          <w:p>
            <w:pPr>
              <w:spacing w:after="0"/>
              <w:rPr>
                <w:sz w:val="1"/>
                <w:szCs w:val="1"/>
                <w:color w:val="auto"/>
              </w:rPr>
            </w:pPr>
          </w:p>
        </w:tc>
      </w:tr>
      <w:tr>
        <w:trPr>
          <w:trHeight w:val="148"/>
        </w:trPr>
        <w:tc>
          <w:tcPr>
            <w:tcW w:w="7240" w:type="dxa"/>
            <w:vAlign w:val="bottom"/>
          </w:tcPr>
          <w:p>
            <w:pPr>
              <w:ind w:left="300"/>
              <w:spacing w:after="0" w:line="149" w:lineRule="exact"/>
              <w:rPr>
                <w:sz w:val="20"/>
                <w:szCs w:val="20"/>
                <w:color w:val="auto"/>
              </w:rPr>
            </w:pPr>
            <w:r>
              <w:rPr>
                <w:rFonts w:ascii="Arial" w:cs="Arial" w:eastAsia="Arial" w:hAnsi="Arial"/>
                <w:sz w:val="14"/>
                <w:szCs w:val="14"/>
                <w:color w:val="auto"/>
              </w:rPr>
              <w:t>Other income</w:t>
            </w:r>
          </w:p>
        </w:tc>
        <w:tc>
          <w:tcPr>
            <w:tcW w:w="1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1,578,838</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2,514,857</w:t>
            </w:r>
          </w:p>
        </w:tc>
        <w:tc>
          <w:tcPr>
            <w:tcW w:w="0" w:type="dxa"/>
            <w:vAlign w:val="bottom"/>
          </w:tcPr>
          <w:p>
            <w:pPr>
              <w:spacing w:after="0"/>
              <w:rPr>
                <w:sz w:val="1"/>
                <w:szCs w:val="1"/>
                <w:color w:val="auto"/>
              </w:rPr>
            </w:pPr>
          </w:p>
        </w:tc>
      </w:tr>
      <w:tr>
        <w:trPr>
          <w:trHeight w:val="148"/>
        </w:trPr>
        <w:tc>
          <w:tcPr>
            <w:tcW w:w="7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From non-controlled, affiliated investments:</w:t>
            </w:r>
          </w:p>
        </w:tc>
        <w:tc>
          <w:tcPr>
            <w:tcW w:w="1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40" w:type="dxa"/>
            <w:vAlign w:val="bottom"/>
          </w:tcPr>
          <w:p>
            <w:pPr>
              <w:ind w:left="300"/>
              <w:spacing w:after="0" w:line="149" w:lineRule="exact"/>
              <w:rPr>
                <w:sz w:val="20"/>
                <w:szCs w:val="20"/>
                <w:color w:val="auto"/>
              </w:rPr>
            </w:pPr>
            <w:r>
              <w:rPr>
                <w:rFonts w:ascii="Arial" w:cs="Arial" w:eastAsia="Arial" w:hAnsi="Arial"/>
                <w:sz w:val="14"/>
                <w:szCs w:val="14"/>
                <w:color w:val="auto"/>
              </w:rPr>
              <w:t>Interest</w:t>
            </w:r>
          </w:p>
        </w:tc>
        <w:tc>
          <w:tcPr>
            <w:tcW w:w="1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1,485,410</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1,264,610</w:t>
            </w:r>
          </w:p>
        </w:tc>
        <w:tc>
          <w:tcPr>
            <w:tcW w:w="0" w:type="dxa"/>
            <w:vAlign w:val="bottom"/>
          </w:tcPr>
          <w:p>
            <w:pPr>
              <w:spacing w:after="0"/>
              <w:rPr>
                <w:sz w:val="1"/>
                <w:szCs w:val="1"/>
                <w:color w:val="auto"/>
              </w:rPr>
            </w:pPr>
          </w:p>
        </w:tc>
      </w:tr>
      <w:tr>
        <w:trPr>
          <w:trHeight w:val="149"/>
        </w:trPr>
        <w:tc>
          <w:tcPr>
            <w:tcW w:w="7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From controlled, affiliated investments:</w:t>
            </w:r>
          </w:p>
        </w:tc>
        <w:tc>
          <w:tcPr>
            <w:tcW w:w="1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40" w:type="dxa"/>
            <w:vAlign w:val="bottom"/>
          </w:tcPr>
          <w:p>
            <w:pPr>
              <w:ind w:left="300"/>
              <w:spacing w:after="0" w:line="149" w:lineRule="exact"/>
              <w:rPr>
                <w:sz w:val="20"/>
                <w:szCs w:val="20"/>
                <w:color w:val="auto"/>
              </w:rPr>
            </w:pPr>
            <w:r>
              <w:rPr>
                <w:rFonts w:ascii="Arial" w:cs="Arial" w:eastAsia="Arial" w:hAnsi="Arial"/>
                <w:sz w:val="14"/>
                <w:szCs w:val="14"/>
                <w:color w:val="auto"/>
              </w:rPr>
              <w:t>Interest</w:t>
            </w:r>
          </w:p>
        </w:tc>
        <w:tc>
          <w:tcPr>
            <w:tcW w:w="1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1,278,796</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1,393,454</w:t>
            </w:r>
          </w:p>
        </w:tc>
        <w:tc>
          <w:tcPr>
            <w:tcW w:w="0" w:type="dxa"/>
            <w:vAlign w:val="bottom"/>
          </w:tcPr>
          <w:p>
            <w:pPr>
              <w:spacing w:after="0"/>
              <w:rPr>
                <w:sz w:val="1"/>
                <w:szCs w:val="1"/>
                <w:color w:val="auto"/>
              </w:rPr>
            </w:pPr>
          </w:p>
        </w:tc>
      </w:tr>
      <w:tr>
        <w:trPr>
          <w:trHeight w:val="148"/>
        </w:trPr>
        <w:tc>
          <w:tcPr>
            <w:tcW w:w="724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Other income</w:t>
            </w:r>
          </w:p>
        </w:tc>
        <w:tc>
          <w:tcPr>
            <w:tcW w:w="1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300,833</w:t>
            </w:r>
          </w:p>
        </w:tc>
        <w:tc>
          <w:tcPr>
            <w:tcW w:w="0" w:type="dxa"/>
            <w:vAlign w:val="bottom"/>
          </w:tcPr>
          <w:p>
            <w:pPr>
              <w:spacing w:after="0"/>
              <w:rPr>
                <w:sz w:val="1"/>
                <w:szCs w:val="1"/>
                <w:color w:val="auto"/>
              </w:rPr>
            </w:pPr>
          </w:p>
        </w:tc>
      </w:tr>
      <w:tr>
        <w:trPr>
          <w:trHeight w:val="163"/>
        </w:trPr>
        <w:tc>
          <w:tcPr>
            <w:tcW w:w="7240" w:type="dxa"/>
            <w:vAlign w:val="bottom"/>
          </w:tcPr>
          <w:p>
            <w:pPr>
              <w:ind w:left="300"/>
              <w:spacing w:after="0" w:line="155" w:lineRule="exact"/>
              <w:rPr>
                <w:sz w:val="20"/>
                <w:szCs w:val="20"/>
                <w:color w:val="auto"/>
              </w:rPr>
            </w:pPr>
            <w:r>
              <w:rPr>
                <w:rFonts w:ascii="Arial" w:cs="Arial" w:eastAsia="Arial" w:hAnsi="Arial"/>
                <w:sz w:val="14"/>
                <w:szCs w:val="14"/>
                <w:b w:val="1"/>
                <w:bCs w:val="1"/>
                <w:color w:val="auto"/>
              </w:rPr>
              <w:t>Total investment income</w:t>
            </w:r>
          </w:p>
        </w:tc>
        <w:tc>
          <w:tcPr>
            <w:tcW w:w="18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39,204,672</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34,438,689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2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Expenses:</w:t>
            </w:r>
          </w:p>
        </w:tc>
        <w:tc>
          <w:tcPr>
            <w:tcW w:w="1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40" w:type="dxa"/>
            <w:vAlign w:val="bottom"/>
          </w:tcPr>
          <w:p>
            <w:pPr>
              <w:ind w:left="300"/>
              <w:spacing w:after="0" w:line="149" w:lineRule="exact"/>
              <w:rPr>
                <w:sz w:val="20"/>
                <w:szCs w:val="20"/>
                <w:color w:val="auto"/>
              </w:rPr>
            </w:pPr>
            <w:r>
              <w:rPr>
                <w:rFonts w:ascii="Arial" w:cs="Arial" w:eastAsia="Arial" w:hAnsi="Arial"/>
                <w:sz w:val="14"/>
                <w:szCs w:val="14"/>
                <w:color w:val="auto"/>
              </w:rPr>
              <w:t>Base management fee (See Note 3)</w:t>
            </w:r>
          </w:p>
        </w:tc>
        <w:tc>
          <w:tcPr>
            <w:tcW w:w="1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6,796,751</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5,747,060</w:t>
            </w:r>
          </w:p>
        </w:tc>
        <w:tc>
          <w:tcPr>
            <w:tcW w:w="0" w:type="dxa"/>
            <w:vAlign w:val="bottom"/>
          </w:tcPr>
          <w:p>
            <w:pPr>
              <w:spacing w:after="0"/>
              <w:rPr>
                <w:sz w:val="1"/>
                <w:szCs w:val="1"/>
                <w:color w:val="auto"/>
              </w:rPr>
            </w:pPr>
          </w:p>
        </w:tc>
      </w:tr>
      <w:tr>
        <w:trPr>
          <w:trHeight w:val="148"/>
        </w:trPr>
        <w:tc>
          <w:tcPr>
            <w:tcW w:w="724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Performance-based incentive fee (See Note 3)</w:t>
            </w:r>
          </w:p>
        </w:tc>
        <w:tc>
          <w:tcPr>
            <w:tcW w:w="1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4,869,218</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4,488,779</w:t>
            </w:r>
          </w:p>
        </w:tc>
        <w:tc>
          <w:tcPr>
            <w:tcW w:w="0" w:type="dxa"/>
            <w:vAlign w:val="bottom"/>
          </w:tcPr>
          <w:p>
            <w:pPr>
              <w:spacing w:after="0"/>
              <w:rPr>
                <w:sz w:val="1"/>
                <w:szCs w:val="1"/>
                <w:color w:val="auto"/>
              </w:rPr>
            </w:pPr>
          </w:p>
        </w:tc>
      </w:tr>
      <w:tr>
        <w:trPr>
          <w:trHeight w:val="149"/>
        </w:trPr>
        <w:tc>
          <w:tcPr>
            <w:tcW w:w="7240" w:type="dxa"/>
            <w:vAlign w:val="bottom"/>
          </w:tcPr>
          <w:p>
            <w:pPr>
              <w:ind w:left="300"/>
              <w:spacing w:after="0" w:line="149" w:lineRule="exact"/>
              <w:rPr>
                <w:sz w:val="20"/>
                <w:szCs w:val="20"/>
                <w:color w:val="auto"/>
              </w:rPr>
            </w:pPr>
            <w:r>
              <w:rPr>
                <w:rFonts w:ascii="Arial" w:cs="Arial" w:eastAsia="Arial" w:hAnsi="Arial"/>
                <w:sz w:val="14"/>
                <w:szCs w:val="14"/>
                <w:color w:val="auto"/>
              </w:rPr>
              <w:t>Interest and expenses on debt (See Note 10)</w:t>
            </w:r>
          </w:p>
        </w:tc>
        <w:tc>
          <w:tcPr>
            <w:tcW w:w="1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6,515,331</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4,559,523</w:t>
            </w:r>
          </w:p>
        </w:tc>
        <w:tc>
          <w:tcPr>
            <w:tcW w:w="0" w:type="dxa"/>
            <w:vAlign w:val="bottom"/>
          </w:tcPr>
          <w:p>
            <w:pPr>
              <w:spacing w:after="0"/>
              <w:rPr>
                <w:sz w:val="1"/>
                <w:szCs w:val="1"/>
                <w:color w:val="auto"/>
              </w:rPr>
            </w:pPr>
          </w:p>
        </w:tc>
      </w:tr>
      <w:tr>
        <w:trPr>
          <w:trHeight w:val="148"/>
        </w:trPr>
        <w:tc>
          <w:tcPr>
            <w:tcW w:w="724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Administrative services expenses (See Note 3)</w:t>
            </w:r>
          </w:p>
        </w:tc>
        <w:tc>
          <w:tcPr>
            <w:tcW w:w="1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857,064</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911,596</w:t>
            </w:r>
          </w:p>
        </w:tc>
        <w:tc>
          <w:tcPr>
            <w:tcW w:w="0" w:type="dxa"/>
            <w:vAlign w:val="bottom"/>
          </w:tcPr>
          <w:p>
            <w:pPr>
              <w:spacing w:after="0"/>
              <w:rPr>
                <w:sz w:val="1"/>
                <w:szCs w:val="1"/>
                <w:color w:val="auto"/>
              </w:rPr>
            </w:pPr>
          </w:p>
        </w:tc>
      </w:tr>
      <w:tr>
        <w:trPr>
          <w:trHeight w:val="155"/>
        </w:trPr>
        <w:tc>
          <w:tcPr>
            <w:tcW w:w="7240" w:type="dxa"/>
            <w:vAlign w:val="bottom"/>
          </w:tcPr>
          <w:p>
            <w:pPr>
              <w:ind w:left="300"/>
              <w:spacing w:after="0" w:line="149" w:lineRule="exact"/>
              <w:rPr>
                <w:sz w:val="20"/>
                <w:szCs w:val="20"/>
                <w:color w:val="auto"/>
              </w:rPr>
            </w:pPr>
            <w:r>
              <w:rPr>
                <w:rFonts w:ascii="Arial" w:cs="Arial" w:eastAsia="Arial" w:hAnsi="Arial"/>
                <w:sz w:val="14"/>
                <w:szCs w:val="14"/>
                <w:color w:val="auto"/>
              </w:rPr>
              <w:t>Other general and administrative expenses</w:t>
            </w:r>
          </w:p>
        </w:tc>
        <w:tc>
          <w:tcPr>
            <w:tcW w:w="18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689,436</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776,614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24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b w:val="1"/>
                <w:bCs w:val="1"/>
                <w:color w:val="auto"/>
              </w:rPr>
              <w:t>Total expenses</w:t>
            </w:r>
          </w:p>
        </w:tc>
        <w:tc>
          <w:tcPr>
            <w:tcW w:w="1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19,727,800</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16,483,572</w:t>
            </w:r>
          </w:p>
        </w:tc>
        <w:tc>
          <w:tcPr>
            <w:tcW w:w="0" w:type="dxa"/>
            <w:vAlign w:val="bottom"/>
          </w:tcPr>
          <w:p>
            <w:pPr>
              <w:spacing w:after="0"/>
              <w:rPr>
                <w:sz w:val="1"/>
                <w:szCs w:val="1"/>
                <w:color w:val="auto"/>
              </w:rPr>
            </w:pPr>
          </w:p>
        </w:tc>
      </w:tr>
      <w:tr>
        <w:trPr>
          <w:trHeight w:val="163"/>
        </w:trPr>
        <w:tc>
          <w:tcPr>
            <w:tcW w:w="7240" w:type="dxa"/>
            <w:vAlign w:val="bottom"/>
          </w:tcPr>
          <w:p>
            <w:pPr>
              <w:ind w:left="300"/>
              <w:spacing w:after="0" w:line="155" w:lineRule="exact"/>
              <w:rPr>
                <w:sz w:val="20"/>
                <w:szCs w:val="20"/>
                <w:color w:val="auto"/>
              </w:rPr>
            </w:pPr>
            <w:r>
              <w:rPr>
                <w:rFonts w:ascii="Arial" w:cs="Arial" w:eastAsia="Arial" w:hAnsi="Arial"/>
                <w:sz w:val="14"/>
                <w:szCs w:val="14"/>
                <w:b w:val="1"/>
                <w:bCs w:val="1"/>
                <w:color w:val="auto"/>
              </w:rPr>
              <w:t>Net investment income</w:t>
            </w:r>
          </w:p>
        </w:tc>
        <w:tc>
          <w:tcPr>
            <w:tcW w:w="18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19,476,872</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17,955,117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2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Realized and unrealized (loss) gain on investments and debt:</w:t>
            </w:r>
          </w:p>
        </w:tc>
        <w:tc>
          <w:tcPr>
            <w:tcW w:w="1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40" w:type="dxa"/>
            <w:vAlign w:val="bottom"/>
          </w:tcPr>
          <w:p>
            <w:pPr>
              <w:spacing w:after="0" w:line="149" w:lineRule="exact"/>
              <w:rPr>
                <w:sz w:val="20"/>
                <w:szCs w:val="20"/>
                <w:color w:val="auto"/>
              </w:rPr>
            </w:pPr>
            <w:r>
              <w:rPr>
                <w:rFonts w:ascii="Arial" w:cs="Arial" w:eastAsia="Arial" w:hAnsi="Arial"/>
                <w:sz w:val="14"/>
                <w:szCs w:val="14"/>
                <w:color w:val="auto"/>
              </w:rPr>
              <w:t>Net realized gain on investments</w:t>
            </w:r>
          </w:p>
        </w:tc>
        <w:tc>
          <w:tcPr>
            <w:tcW w:w="1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8,626,139</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2,659,111</w:t>
            </w:r>
          </w:p>
        </w:tc>
        <w:tc>
          <w:tcPr>
            <w:tcW w:w="0" w:type="dxa"/>
            <w:vAlign w:val="bottom"/>
          </w:tcPr>
          <w:p>
            <w:pPr>
              <w:spacing w:after="0"/>
              <w:rPr>
                <w:sz w:val="1"/>
                <w:szCs w:val="1"/>
                <w:color w:val="auto"/>
              </w:rPr>
            </w:pPr>
          </w:p>
        </w:tc>
      </w:tr>
      <w:tr>
        <w:trPr>
          <w:trHeight w:val="148"/>
        </w:trPr>
        <w:tc>
          <w:tcPr>
            <w:tcW w:w="7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change in unrealized (depreciation) appreciation on:</w:t>
            </w:r>
          </w:p>
        </w:tc>
        <w:tc>
          <w:tcPr>
            <w:tcW w:w="1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40" w:type="dxa"/>
            <w:vAlign w:val="bottom"/>
          </w:tcPr>
          <w:p>
            <w:pPr>
              <w:ind w:left="300"/>
              <w:spacing w:after="0" w:line="149" w:lineRule="exact"/>
              <w:rPr>
                <w:sz w:val="20"/>
                <w:szCs w:val="20"/>
                <w:color w:val="auto"/>
              </w:rPr>
            </w:pPr>
            <w:r>
              <w:rPr>
                <w:rFonts w:ascii="Arial" w:cs="Arial" w:eastAsia="Arial" w:hAnsi="Arial"/>
                <w:sz w:val="14"/>
                <w:szCs w:val="14"/>
                <w:color w:val="auto"/>
              </w:rPr>
              <w:t>Non-controlled, non-affiliated investments</w:t>
            </w:r>
          </w:p>
        </w:tc>
        <w:tc>
          <w:tcPr>
            <w:tcW w:w="1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(53,059,559)</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9"/>
              </w:rPr>
              <w:t>14,215,508</w:t>
            </w:r>
          </w:p>
        </w:tc>
        <w:tc>
          <w:tcPr>
            <w:tcW w:w="0" w:type="dxa"/>
            <w:vAlign w:val="bottom"/>
          </w:tcPr>
          <w:p>
            <w:pPr>
              <w:spacing w:after="0"/>
              <w:rPr>
                <w:sz w:val="1"/>
                <w:szCs w:val="1"/>
                <w:color w:val="auto"/>
              </w:rPr>
            </w:pPr>
          </w:p>
        </w:tc>
      </w:tr>
      <w:tr>
        <w:trPr>
          <w:trHeight w:val="149"/>
        </w:trPr>
        <w:tc>
          <w:tcPr>
            <w:tcW w:w="724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Non-controlled and controlled, affiliated investments</w:t>
            </w:r>
          </w:p>
        </w:tc>
        <w:tc>
          <w:tcPr>
            <w:tcW w:w="1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(104,773)</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521,217</w:t>
            </w:r>
          </w:p>
        </w:tc>
        <w:tc>
          <w:tcPr>
            <w:tcW w:w="0" w:type="dxa"/>
            <w:vAlign w:val="bottom"/>
          </w:tcPr>
          <w:p>
            <w:pPr>
              <w:spacing w:after="0"/>
              <w:rPr>
                <w:sz w:val="1"/>
                <w:szCs w:val="1"/>
                <w:color w:val="auto"/>
              </w:rPr>
            </w:pPr>
          </w:p>
        </w:tc>
      </w:tr>
      <w:tr>
        <w:trPr>
          <w:trHeight w:val="155"/>
        </w:trPr>
        <w:tc>
          <w:tcPr>
            <w:tcW w:w="7240" w:type="dxa"/>
            <w:vAlign w:val="bottom"/>
          </w:tcPr>
          <w:p>
            <w:pPr>
              <w:ind w:left="300"/>
              <w:spacing w:after="0" w:line="149" w:lineRule="exact"/>
              <w:rPr>
                <w:sz w:val="20"/>
                <w:szCs w:val="20"/>
                <w:color w:val="auto"/>
              </w:rPr>
            </w:pPr>
            <w:r>
              <w:rPr>
                <w:rFonts w:ascii="Arial" w:cs="Arial" w:eastAsia="Arial" w:hAnsi="Arial"/>
                <w:sz w:val="14"/>
                <w:szCs w:val="14"/>
                <w:color w:val="auto"/>
              </w:rPr>
              <w:t>Debt depreciation (See Notes 5 and 10)</w:t>
            </w:r>
          </w:p>
        </w:tc>
        <w:tc>
          <w:tcPr>
            <w:tcW w:w="18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1,115,627</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4,104,000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24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b w:val="1"/>
                <w:bCs w:val="1"/>
                <w:color w:val="auto"/>
              </w:rPr>
              <w:t>Net change in unrealized (depreciation) appreciation on investments and debt</w:t>
            </w:r>
          </w:p>
        </w:tc>
        <w:tc>
          <w:tcPr>
            <w:tcW w:w="1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(52,048,705)</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18,840,725</w:t>
            </w:r>
          </w:p>
        </w:tc>
        <w:tc>
          <w:tcPr>
            <w:tcW w:w="0" w:type="dxa"/>
            <w:vAlign w:val="bottom"/>
          </w:tcPr>
          <w:p>
            <w:pPr>
              <w:spacing w:after="0"/>
              <w:rPr>
                <w:sz w:val="1"/>
                <w:szCs w:val="1"/>
                <w:color w:val="auto"/>
              </w:rPr>
            </w:pPr>
          </w:p>
        </w:tc>
      </w:tr>
      <w:tr>
        <w:trPr>
          <w:trHeight w:val="163"/>
        </w:trPr>
        <w:tc>
          <w:tcPr>
            <w:tcW w:w="7240" w:type="dxa"/>
            <w:vAlign w:val="bottom"/>
          </w:tcPr>
          <w:p>
            <w:pPr>
              <w:spacing w:after="0" w:line="155" w:lineRule="exact"/>
              <w:rPr>
                <w:sz w:val="20"/>
                <w:szCs w:val="20"/>
                <w:color w:val="auto"/>
              </w:rPr>
            </w:pPr>
            <w:r>
              <w:rPr>
                <w:rFonts w:ascii="Arial" w:cs="Arial" w:eastAsia="Arial" w:hAnsi="Arial"/>
                <w:sz w:val="14"/>
                <w:szCs w:val="14"/>
                <w:b w:val="1"/>
                <w:bCs w:val="1"/>
                <w:color w:val="auto"/>
              </w:rPr>
              <w:t>Net realized and unrealized (loss) gain from investments and debt</w:t>
            </w:r>
          </w:p>
        </w:tc>
        <w:tc>
          <w:tcPr>
            <w:tcW w:w="18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(43,422,566)</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21,499,836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2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(decrease) increase in net assets resulting from operations</w:t>
            </w:r>
          </w:p>
        </w:tc>
        <w:tc>
          <w:tcPr>
            <w:tcW w:w="18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(23,945,694)</w:t>
            </w:r>
          </w:p>
        </w:tc>
        <w:tc>
          <w:tcPr>
            <w:tcW w:w="30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39,454,953</w:t>
            </w:r>
          </w:p>
        </w:tc>
        <w:tc>
          <w:tcPr>
            <w:tcW w:w="0" w:type="dxa"/>
            <w:vAlign w:val="bottom"/>
          </w:tcPr>
          <w:p>
            <w:pPr>
              <w:spacing w:after="0"/>
              <w:rPr>
                <w:sz w:val="1"/>
                <w:szCs w:val="1"/>
                <w:color w:val="auto"/>
              </w:rPr>
            </w:pPr>
          </w:p>
        </w:tc>
      </w:tr>
      <w:tr>
        <w:trPr>
          <w:trHeight w:val="20"/>
        </w:trPr>
        <w:tc>
          <w:tcPr>
            <w:tcW w:w="7240" w:type="dxa"/>
            <w:vAlign w:val="bottom"/>
            <w:vMerge w:val="restart"/>
          </w:tcPr>
          <w:p>
            <w:pPr>
              <w:spacing w:after="0"/>
              <w:rPr>
                <w:sz w:val="20"/>
                <w:szCs w:val="20"/>
                <w:color w:val="auto"/>
              </w:rPr>
            </w:pPr>
            <w:r>
              <w:rPr>
                <w:rFonts w:ascii="Arial" w:cs="Arial" w:eastAsia="Arial" w:hAnsi="Arial"/>
                <w:sz w:val="14"/>
                <w:szCs w:val="14"/>
                <w:color w:val="auto"/>
              </w:rPr>
              <w:t>Net (decrease) increase in net assets resulting from operations per common share (See Note 7)</w:t>
            </w:r>
          </w:p>
        </w:tc>
        <w:tc>
          <w:tcPr>
            <w:tcW w:w="1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240" w:type="dxa"/>
            <w:vAlign w:val="bottom"/>
            <w:vMerge w:val="continue"/>
          </w:tcPr>
          <w:p>
            <w:pPr>
              <w:spacing w:after="0"/>
              <w:rPr>
                <w:sz w:val="12"/>
                <w:szCs w:val="12"/>
                <w:color w:val="auto"/>
              </w:rPr>
            </w:pPr>
          </w:p>
        </w:tc>
        <w:tc>
          <w:tcPr>
            <w:tcW w:w="1820" w:type="dxa"/>
            <w:vAlign w:val="bottom"/>
          </w:tcPr>
          <w:p>
            <w:pPr>
              <w:spacing w:after="0"/>
              <w:rPr>
                <w:sz w:val="12"/>
                <w:szCs w:val="12"/>
                <w:color w:val="auto"/>
              </w:rPr>
            </w:pPr>
          </w:p>
        </w:tc>
        <w:tc>
          <w:tcPr>
            <w:tcW w:w="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(0.32)</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bottom w:val="single" w:sz="8" w:color="auto"/>
            </w:tcBorders>
          </w:tcPr>
          <w:p>
            <w:pPr>
              <w:jc w:val="right"/>
              <w:ind w:right="8"/>
              <w:spacing w:after="0" w:line="143"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0.59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24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Net investment income per common share</w:t>
            </w:r>
          </w:p>
        </w:tc>
        <w:tc>
          <w:tcPr>
            <w:tcW w:w="190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rPr>
              <w:t>0.26</w:t>
            </w:r>
          </w:p>
        </w:tc>
        <w:tc>
          <w:tcPr>
            <w:tcW w:w="300" w:type="dxa"/>
            <w:vAlign w:val="bottom"/>
            <w:gridSpan w:val="2"/>
            <w:shd w:val="clear" w:color="auto" w:fill="CCEEFF"/>
          </w:tcPr>
          <w:p>
            <w:pPr>
              <w:jc w:val="right"/>
              <w:ind w:right="8"/>
              <w:spacing w:after="0" w:line="143"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0.27</w:t>
            </w: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40"/>
          </w:cols>
          <w:pgMar w:left="320" w:top="459"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STATEMENTS OF CHANGES IN NET ASSETS</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9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00" w:type="dxa"/>
            <w:vAlign w:val="bottom"/>
            <w:gridSpan w:val="6"/>
          </w:tcPr>
          <w:p>
            <w:pPr>
              <w:jc w:val="right"/>
              <w:ind w:right="108"/>
              <w:spacing w:after="0"/>
              <w:rPr>
                <w:sz w:val="20"/>
                <w:szCs w:val="20"/>
                <w:color w:val="auto"/>
              </w:rPr>
            </w:pPr>
            <w:r>
              <w:rPr>
                <w:rFonts w:ascii="Arial" w:cs="Arial" w:eastAsia="Arial" w:hAnsi="Arial"/>
                <w:sz w:val="13"/>
                <w:szCs w:val="13"/>
                <w:b w:val="1"/>
                <w:bCs w:val="1"/>
                <w:color w:val="auto"/>
                <w:w w:val="87"/>
              </w:rPr>
              <w:t>Three Months Ended December 31,</w:t>
            </w:r>
          </w:p>
        </w:tc>
        <w:tc>
          <w:tcPr>
            <w:tcW w:w="0" w:type="dxa"/>
            <w:vAlign w:val="bottom"/>
          </w:tcPr>
          <w:p>
            <w:pPr>
              <w:spacing w:after="0"/>
              <w:rPr>
                <w:sz w:val="1"/>
                <w:szCs w:val="1"/>
                <w:color w:val="auto"/>
              </w:rPr>
            </w:pPr>
          </w:p>
        </w:tc>
      </w:tr>
      <w:tr>
        <w:trPr>
          <w:trHeight w:val="142"/>
        </w:trPr>
        <w:tc>
          <w:tcPr>
            <w:tcW w:w="90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49"/>
              <w:spacing w:after="0" w:line="142" w:lineRule="exact"/>
              <w:rPr>
                <w:sz w:val="20"/>
                <w:szCs w:val="20"/>
                <w:color w:val="auto"/>
              </w:rPr>
            </w:pPr>
            <w:r>
              <w:rPr>
                <w:rFonts w:ascii="Arial" w:cs="Arial" w:eastAsia="Arial" w:hAnsi="Arial"/>
                <w:sz w:val="13"/>
                <w:szCs w:val="13"/>
                <w:b w:val="1"/>
                <w:bCs w:val="1"/>
                <w:color w:val="auto"/>
              </w:rPr>
              <w:t>2014</w:t>
            </w:r>
          </w:p>
        </w:tc>
        <w:tc>
          <w:tcPr>
            <w:tcW w:w="2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49"/>
              <w:spacing w:after="0" w:line="142" w:lineRule="exact"/>
              <w:rPr>
                <w:sz w:val="20"/>
                <w:szCs w:val="20"/>
                <w:color w:val="auto"/>
              </w:rPr>
            </w:pPr>
            <w:r>
              <w:rPr>
                <w:rFonts w:ascii="Arial" w:cs="Arial" w:eastAsia="Arial" w:hAnsi="Arial"/>
                <w:sz w:val="13"/>
                <w:szCs w:val="13"/>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906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Net (decrease) increase in net assets from operations:</w:t>
            </w: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9060" w:type="dxa"/>
            <w:vAlign w:val="bottom"/>
          </w:tcPr>
          <w:p>
            <w:pPr>
              <w:ind w:left="300"/>
              <w:spacing w:after="0" w:line="149" w:lineRule="exact"/>
              <w:rPr>
                <w:sz w:val="20"/>
                <w:szCs w:val="20"/>
                <w:color w:val="auto"/>
              </w:rPr>
            </w:pPr>
            <w:r>
              <w:rPr>
                <w:rFonts w:ascii="Arial" w:cs="Arial" w:eastAsia="Arial" w:hAnsi="Arial"/>
                <w:sz w:val="14"/>
                <w:szCs w:val="14"/>
                <w:color w:val="auto"/>
              </w:rPr>
              <w:t>Net investment income</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19,476,872</w:t>
            </w:r>
          </w:p>
        </w:tc>
        <w:tc>
          <w:tcPr>
            <w:tcW w:w="28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17,955,117</w:t>
            </w:r>
          </w:p>
        </w:tc>
        <w:tc>
          <w:tcPr>
            <w:tcW w:w="0" w:type="dxa"/>
            <w:vAlign w:val="bottom"/>
          </w:tcPr>
          <w:p>
            <w:pPr>
              <w:spacing w:after="0"/>
              <w:rPr>
                <w:sz w:val="1"/>
                <w:szCs w:val="1"/>
                <w:color w:val="auto"/>
              </w:rPr>
            </w:pPr>
          </w:p>
        </w:tc>
      </w:tr>
      <w:tr>
        <w:trPr>
          <w:trHeight w:val="148"/>
        </w:trPr>
        <w:tc>
          <w:tcPr>
            <w:tcW w:w="906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Net realized gain on investments</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8,626,139</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2,659,111</w:t>
            </w:r>
          </w:p>
        </w:tc>
        <w:tc>
          <w:tcPr>
            <w:tcW w:w="0" w:type="dxa"/>
            <w:vAlign w:val="bottom"/>
          </w:tcPr>
          <w:p>
            <w:pPr>
              <w:spacing w:after="0"/>
              <w:rPr>
                <w:sz w:val="1"/>
                <w:szCs w:val="1"/>
                <w:color w:val="auto"/>
              </w:rPr>
            </w:pPr>
          </w:p>
        </w:tc>
      </w:tr>
      <w:tr>
        <w:trPr>
          <w:trHeight w:val="148"/>
        </w:trPr>
        <w:tc>
          <w:tcPr>
            <w:tcW w:w="9060" w:type="dxa"/>
            <w:vAlign w:val="bottom"/>
          </w:tcPr>
          <w:p>
            <w:pPr>
              <w:ind w:left="300"/>
              <w:spacing w:after="0" w:line="149" w:lineRule="exact"/>
              <w:rPr>
                <w:sz w:val="20"/>
                <w:szCs w:val="20"/>
                <w:color w:val="auto"/>
              </w:rPr>
            </w:pPr>
            <w:r>
              <w:rPr>
                <w:rFonts w:ascii="Arial" w:cs="Arial" w:eastAsia="Arial" w:hAnsi="Arial"/>
                <w:sz w:val="14"/>
                <w:szCs w:val="14"/>
                <w:color w:val="auto"/>
              </w:rPr>
              <w:t>Net change in unrealized (depreciation) appreciation on investments</w:t>
            </w:r>
          </w:p>
        </w:tc>
        <w:tc>
          <w:tcPr>
            <w:tcW w:w="80" w:type="dxa"/>
            <w:vAlign w:val="bottom"/>
          </w:tcPr>
          <w:p>
            <w:pPr>
              <w:spacing w:after="0"/>
              <w:rPr>
                <w:sz w:val="12"/>
                <w:szCs w:val="12"/>
                <w:color w:val="auto"/>
              </w:rPr>
            </w:pPr>
          </w:p>
        </w:tc>
        <w:tc>
          <w:tcPr>
            <w:tcW w:w="110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(53,164,332)</w:t>
            </w:r>
          </w:p>
        </w:tc>
        <w:tc>
          <w:tcPr>
            <w:tcW w:w="120" w:type="dxa"/>
            <w:vAlign w:val="bottom"/>
          </w:tcPr>
          <w:p>
            <w:pPr>
              <w:spacing w:after="0"/>
              <w:rPr>
                <w:sz w:val="12"/>
                <w:szCs w:val="12"/>
                <w:color w:val="auto"/>
              </w:rPr>
            </w:pPr>
          </w:p>
        </w:tc>
        <w:tc>
          <w:tcPr>
            <w:tcW w:w="88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14,736,725</w:t>
            </w:r>
          </w:p>
        </w:tc>
        <w:tc>
          <w:tcPr>
            <w:tcW w:w="0" w:type="dxa"/>
            <w:vAlign w:val="bottom"/>
          </w:tcPr>
          <w:p>
            <w:pPr>
              <w:spacing w:after="0"/>
              <w:rPr>
                <w:sz w:val="1"/>
                <w:szCs w:val="1"/>
                <w:color w:val="auto"/>
              </w:rPr>
            </w:pPr>
          </w:p>
        </w:tc>
      </w:tr>
      <w:tr>
        <w:trPr>
          <w:trHeight w:val="148"/>
        </w:trPr>
        <w:tc>
          <w:tcPr>
            <w:tcW w:w="906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Net change in debt depreciation</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1,115,627</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4,104,000</w:t>
            </w:r>
          </w:p>
        </w:tc>
        <w:tc>
          <w:tcPr>
            <w:tcW w:w="0" w:type="dxa"/>
            <w:vAlign w:val="bottom"/>
          </w:tcPr>
          <w:p>
            <w:pPr>
              <w:spacing w:after="0"/>
              <w:rPr>
                <w:sz w:val="1"/>
                <w:szCs w:val="1"/>
                <w:color w:val="auto"/>
              </w:rPr>
            </w:pPr>
          </w:p>
        </w:tc>
      </w:tr>
      <w:tr>
        <w:trPr>
          <w:trHeight w:val="156"/>
        </w:trPr>
        <w:tc>
          <w:tcPr>
            <w:tcW w:w="9060" w:type="dxa"/>
            <w:vAlign w:val="bottom"/>
          </w:tcPr>
          <w:p>
            <w:pPr>
              <w:ind w:left="300"/>
              <w:spacing w:after="0" w:line="155" w:lineRule="exact"/>
              <w:rPr>
                <w:sz w:val="20"/>
                <w:szCs w:val="20"/>
                <w:color w:val="auto"/>
              </w:rPr>
            </w:pPr>
            <w:r>
              <w:rPr>
                <w:rFonts w:ascii="Arial" w:cs="Arial" w:eastAsia="Arial" w:hAnsi="Arial"/>
                <w:sz w:val="14"/>
                <w:szCs w:val="14"/>
                <w:b w:val="1"/>
                <w:bCs w:val="1"/>
                <w:color w:val="auto"/>
              </w:rPr>
              <w:t>Net (decrease) increase in net assets resulting from operations</w:t>
            </w:r>
          </w:p>
        </w:tc>
        <w:tc>
          <w:tcPr>
            <w:tcW w:w="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8"/>
              </w:rPr>
              <w:t>(23,945,694)</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39,454,953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90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Distributions to stockholders:</w:t>
            </w:r>
          </w:p>
        </w:tc>
        <w:tc>
          <w:tcPr>
            <w:tcW w:w="80" w:type="dxa"/>
            <w:vAlign w:val="bottom"/>
            <w:shd w:val="clear" w:color="auto" w:fill="CCEEFF"/>
          </w:tcPr>
          <w:p>
            <w:pPr>
              <w:spacing w:after="0"/>
              <w:rPr>
                <w:sz w:val="12"/>
                <w:szCs w:val="12"/>
                <w:color w:val="auto"/>
              </w:rPr>
            </w:pPr>
          </w:p>
        </w:tc>
        <w:tc>
          <w:tcPr>
            <w:tcW w:w="110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(21,026,015)</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(18,633,086)</w:t>
            </w:r>
          </w:p>
        </w:tc>
        <w:tc>
          <w:tcPr>
            <w:tcW w:w="0" w:type="dxa"/>
            <w:vAlign w:val="bottom"/>
          </w:tcPr>
          <w:p>
            <w:pPr>
              <w:spacing w:after="0"/>
              <w:rPr>
                <w:sz w:val="1"/>
                <w:szCs w:val="1"/>
                <w:color w:val="auto"/>
              </w:rPr>
            </w:pPr>
          </w:p>
        </w:tc>
      </w:tr>
      <w:tr>
        <w:trPr>
          <w:trHeight w:val="148"/>
        </w:trPr>
        <w:tc>
          <w:tcPr>
            <w:tcW w:w="9060" w:type="dxa"/>
            <w:vAlign w:val="bottom"/>
          </w:tcPr>
          <w:p>
            <w:pPr>
              <w:spacing w:after="0" w:line="149" w:lineRule="exact"/>
              <w:rPr>
                <w:sz w:val="20"/>
                <w:szCs w:val="20"/>
                <w:color w:val="auto"/>
              </w:rPr>
            </w:pPr>
            <w:r>
              <w:rPr>
                <w:rFonts w:ascii="Arial" w:cs="Arial" w:eastAsia="Arial" w:hAnsi="Arial"/>
                <w:sz w:val="14"/>
                <w:szCs w:val="14"/>
                <w:b w:val="1"/>
                <w:bCs w:val="1"/>
                <w:color w:val="auto"/>
              </w:rPr>
              <w:t>Capital transactions:</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06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Reinvestment of distributions</w:t>
            </w:r>
          </w:p>
        </w:tc>
        <w:tc>
          <w:tcPr>
            <w:tcW w:w="80" w:type="dxa"/>
            <w:vAlign w:val="bottom"/>
            <w:shd w:val="clear" w:color="auto" w:fill="CCEEFF"/>
          </w:tcPr>
          <w:p>
            <w:pPr>
              <w:spacing w:after="0"/>
              <w:rPr>
                <w:sz w:val="12"/>
                <w:szCs w:val="12"/>
                <w:color w:val="auto"/>
              </w:rPr>
            </w:pPr>
          </w:p>
        </w:tc>
        <w:tc>
          <w:tcPr>
            <w:tcW w:w="110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537,121</w:t>
            </w:r>
          </w:p>
        </w:tc>
        <w:tc>
          <w:tcPr>
            <w:tcW w:w="0" w:type="dxa"/>
            <w:vAlign w:val="bottom"/>
          </w:tcPr>
          <w:p>
            <w:pPr>
              <w:spacing w:after="0"/>
              <w:rPr>
                <w:sz w:val="1"/>
                <w:szCs w:val="1"/>
                <w:color w:val="auto"/>
              </w:rPr>
            </w:pPr>
          </w:p>
        </w:tc>
      </w:tr>
      <w:tr>
        <w:trPr>
          <w:trHeight w:val="162"/>
        </w:trPr>
        <w:tc>
          <w:tcPr>
            <w:tcW w:w="9060" w:type="dxa"/>
            <w:vAlign w:val="bottom"/>
          </w:tcPr>
          <w:p>
            <w:pPr>
              <w:spacing w:after="0" w:line="155" w:lineRule="exact"/>
              <w:rPr>
                <w:sz w:val="20"/>
                <w:szCs w:val="20"/>
                <w:color w:val="auto"/>
              </w:rPr>
            </w:pPr>
            <w:r>
              <w:rPr>
                <w:rFonts w:ascii="Arial" w:cs="Arial" w:eastAsia="Arial" w:hAnsi="Arial"/>
                <w:sz w:val="14"/>
                <w:szCs w:val="14"/>
                <w:b w:val="1"/>
                <w:bCs w:val="1"/>
                <w:color w:val="auto"/>
              </w:rPr>
              <w:t>Net (decrease) increase in net assets</w:t>
            </w:r>
          </w:p>
        </w:tc>
        <w:tc>
          <w:tcPr>
            <w:tcW w:w="8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8"/>
              </w:rPr>
              <w:t>(44,971,709)</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21,358,988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0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assets:</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060" w:type="dxa"/>
            <w:vAlign w:val="bottom"/>
          </w:tcPr>
          <w:p>
            <w:pPr>
              <w:ind w:left="300"/>
              <w:spacing w:after="0" w:line="149" w:lineRule="exact"/>
              <w:rPr>
                <w:sz w:val="20"/>
                <w:szCs w:val="20"/>
                <w:color w:val="auto"/>
              </w:rPr>
            </w:pPr>
            <w:r>
              <w:rPr>
                <w:rFonts w:ascii="Arial" w:cs="Arial" w:eastAsia="Arial" w:hAnsi="Arial"/>
                <w:sz w:val="14"/>
                <w:szCs w:val="14"/>
                <w:color w:val="auto"/>
              </w:rPr>
              <w:t>Beginning of period</w:t>
            </w: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828,009,949</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w w:val="97"/>
              </w:rPr>
              <w:t>697,506,199</w:t>
            </w:r>
          </w:p>
        </w:tc>
        <w:tc>
          <w:tcPr>
            <w:tcW w:w="0" w:type="dxa"/>
            <w:vAlign w:val="bottom"/>
          </w:tcPr>
          <w:p>
            <w:pPr>
              <w:spacing w:after="0"/>
              <w:rPr>
                <w:sz w:val="1"/>
                <w:szCs w:val="1"/>
                <w:color w:val="auto"/>
              </w:rPr>
            </w:pPr>
          </w:p>
        </w:tc>
      </w:tr>
      <w:tr>
        <w:trPr>
          <w:trHeight w:val="27"/>
        </w:trPr>
        <w:tc>
          <w:tcPr>
            <w:tcW w:w="90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906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783,038,240</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97"/>
              </w:rPr>
              <w:t>718,865,187</w:t>
            </w:r>
          </w:p>
        </w:tc>
        <w:tc>
          <w:tcPr>
            <w:tcW w:w="0" w:type="dxa"/>
            <w:vAlign w:val="bottom"/>
          </w:tcPr>
          <w:p>
            <w:pPr>
              <w:spacing w:after="0"/>
              <w:rPr>
                <w:sz w:val="1"/>
                <w:szCs w:val="1"/>
                <w:color w:val="auto"/>
              </w:rPr>
            </w:pPr>
          </w:p>
        </w:tc>
      </w:tr>
      <w:tr>
        <w:trPr>
          <w:trHeight w:val="20"/>
        </w:trPr>
        <w:tc>
          <w:tcPr>
            <w:tcW w:w="9060" w:type="dxa"/>
            <w:vAlign w:val="bottom"/>
            <w:vMerge w:val="restart"/>
          </w:tcPr>
          <w:p>
            <w:pPr>
              <w:ind w:left="300"/>
              <w:spacing w:after="0"/>
              <w:rPr>
                <w:sz w:val="20"/>
                <w:szCs w:val="20"/>
                <w:color w:val="auto"/>
              </w:rPr>
            </w:pPr>
            <w:r>
              <w:rPr>
                <w:rFonts w:ascii="Arial" w:cs="Arial" w:eastAsia="Arial" w:hAnsi="Arial"/>
                <w:sz w:val="14"/>
                <w:szCs w:val="14"/>
                <w:color w:val="auto"/>
              </w:rPr>
              <w:t>Distributions in excess of net investment income, at end of period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9060" w:type="dxa"/>
            <w:vAlign w:val="bottom"/>
            <w:vMerge w:val="continue"/>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(13,351,723</w:t>
            </w:r>
          </w:p>
        </w:tc>
        <w:tc>
          <w:tcPr>
            <w:tcW w:w="300" w:type="dxa"/>
            <w:vAlign w:val="bottom"/>
            <w:gridSpan w:val="2"/>
          </w:tcPr>
          <w:p>
            <w:pPr>
              <w:jc w:val="right"/>
              <w:ind w:right="260"/>
              <w:spacing w:after="0"/>
              <w:rPr>
                <w:sz w:val="20"/>
                <w:szCs w:val="20"/>
                <w:color w:val="auto"/>
              </w:rPr>
            </w:pPr>
            <w:r>
              <w:rPr>
                <w:rFonts w:ascii="Arial" w:cs="Arial" w:eastAsia="Arial" w:hAnsi="Arial"/>
                <w:sz w:val="8"/>
                <w:szCs w:val="8"/>
                <w:color w:val="auto"/>
                <w:w w:val="73"/>
              </w:rPr>
              <w:t>)</w:t>
            </w:r>
          </w:p>
        </w:tc>
        <w:tc>
          <w:tcPr>
            <w:tcW w:w="1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(5,353,186</w:t>
            </w:r>
          </w:p>
        </w:tc>
        <w:tc>
          <w:tcPr>
            <w:tcW w:w="100" w:type="dxa"/>
            <w:vAlign w:val="bottom"/>
          </w:tcPr>
          <w:p>
            <w:pPr>
              <w:jc w:val="right"/>
              <w:spacing w:after="0" w:line="143" w:lineRule="exact"/>
              <w:rPr>
                <w:sz w:val="20"/>
                <w:szCs w:val="20"/>
                <w:color w:val="auto"/>
              </w:rPr>
            </w:pPr>
            <w:r>
              <w:rPr>
                <w:rFonts w:ascii="Arial" w:cs="Arial" w:eastAsia="Arial" w:hAnsi="Arial"/>
                <w:sz w:val="14"/>
                <w:szCs w:val="14"/>
                <w:color w:val="auto"/>
                <w:w w:val="84"/>
              </w:rPr>
              <w:t>)</w:t>
            </w:r>
          </w:p>
        </w:tc>
        <w:tc>
          <w:tcPr>
            <w:tcW w:w="0" w:type="dxa"/>
            <w:vAlign w:val="bottom"/>
          </w:tcPr>
          <w:p>
            <w:pPr>
              <w:spacing w:after="0"/>
              <w:rPr>
                <w:sz w:val="1"/>
                <w:szCs w:val="1"/>
                <w:color w:val="auto"/>
              </w:rPr>
            </w:pPr>
          </w:p>
        </w:tc>
      </w:tr>
      <w:tr>
        <w:trPr>
          <w:trHeight w:val="20"/>
        </w:trPr>
        <w:tc>
          <w:tcPr>
            <w:tcW w:w="90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906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Capital share activity:</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060" w:type="dxa"/>
            <w:vAlign w:val="bottom"/>
          </w:tcPr>
          <w:p>
            <w:pPr>
              <w:ind w:left="300"/>
              <w:spacing w:after="0" w:line="149" w:lineRule="exact"/>
              <w:rPr>
                <w:sz w:val="20"/>
                <w:szCs w:val="20"/>
                <w:color w:val="auto"/>
              </w:rPr>
            </w:pPr>
            <w:r>
              <w:rPr>
                <w:rFonts w:ascii="Arial" w:cs="Arial" w:eastAsia="Arial" w:hAnsi="Arial"/>
                <w:sz w:val="14"/>
                <w:szCs w:val="14"/>
                <w:color w:val="auto"/>
              </w:rPr>
              <w:t>Shares issued from reinvestment of dividends</w:t>
            </w:r>
          </w:p>
        </w:tc>
        <w:tc>
          <w:tcPr>
            <w:tcW w:w="80" w:type="dxa"/>
            <w:vAlign w:val="bottom"/>
          </w:tcPr>
          <w:p>
            <w:pPr>
              <w:spacing w:after="0"/>
              <w:rPr>
                <w:sz w:val="12"/>
                <w:szCs w:val="12"/>
                <w:color w:val="auto"/>
              </w:rPr>
            </w:pPr>
          </w:p>
        </w:tc>
        <w:tc>
          <w:tcPr>
            <w:tcW w:w="110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8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47,407</w:t>
            </w:r>
          </w:p>
        </w:tc>
        <w:tc>
          <w:tcPr>
            <w:tcW w:w="0" w:type="dxa"/>
            <w:vAlign w:val="bottom"/>
          </w:tcPr>
          <w:p>
            <w:pPr>
              <w:spacing w:after="0"/>
              <w:rPr>
                <w:sz w:val="1"/>
                <w:szCs w:val="1"/>
                <w:color w:val="auto"/>
              </w:rPr>
            </w:pPr>
          </w:p>
        </w:tc>
      </w:tr>
      <w:tr>
        <w:trPr>
          <w:trHeight w:val="20"/>
        </w:trPr>
        <w:tc>
          <w:tcPr>
            <w:tcW w:w="90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240"/>
          </w:cols>
          <w:pgMar w:left="320" w:top="459"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36" w:lineRule="exact"/>
        <w:rPr>
          <w:sz w:val="20"/>
          <w:szCs w:val="20"/>
          <w:color w:val="auto"/>
        </w:rPr>
      </w:pPr>
    </w:p>
    <w:p>
      <w:pPr>
        <w:jc w:val="center"/>
        <w:ind w:right="-719"/>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ind w:right="-719"/>
        <w:spacing w:after="0" w:line="226" w:lineRule="auto"/>
        <w:rPr>
          <w:sz w:val="20"/>
          <w:szCs w:val="20"/>
          <w:color w:val="auto"/>
        </w:rPr>
      </w:pPr>
      <w:r>
        <w:rPr>
          <w:rFonts w:ascii="Arial" w:cs="Arial" w:eastAsia="Arial" w:hAnsi="Arial"/>
          <w:sz w:val="14"/>
          <w:szCs w:val="14"/>
          <w:b w:val="1"/>
          <w:bCs w:val="1"/>
          <w:color w:val="auto"/>
        </w:rPr>
        <w:t>CONSOLIDATED STATEMENTS OF CASH FLOWS</w:t>
      </w:r>
    </w:p>
    <w:p>
      <w:pPr>
        <w:jc w:val="center"/>
        <w:ind w:right="-719"/>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74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6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720" w:type="dxa"/>
            <w:vAlign w:val="bottom"/>
            <w:gridSpan w:val="6"/>
          </w:tcPr>
          <w:p>
            <w:pPr>
              <w:jc w:val="right"/>
              <w:ind w:right="600"/>
              <w:spacing w:after="0"/>
              <w:rPr>
                <w:sz w:val="20"/>
                <w:szCs w:val="20"/>
                <w:color w:val="auto"/>
              </w:rPr>
            </w:pPr>
            <w:r>
              <w:rPr>
                <w:rFonts w:ascii="Arial" w:cs="Arial" w:eastAsia="Arial" w:hAnsi="Arial"/>
                <w:sz w:val="13"/>
                <w:szCs w:val="13"/>
                <w:b w:val="1"/>
                <w:bCs w:val="1"/>
                <w:color w:val="auto"/>
                <w:w w:val="96"/>
              </w:rPr>
              <w:t>Three Months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49"/>
              <w:spacing w:after="0" w:line="142" w:lineRule="exact"/>
              <w:rPr>
                <w:sz w:val="20"/>
                <w:szCs w:val="20"/>
                <w:color w:val="auto"/>
              </w:rPr>
            </w:pPr>
            <w:r>
              <w:rPr>
                <w:rFonts w:ascii="Arial" w:cs="Arial" w:eastAsia="Arial" w:hAnsi="Arial"/>
                <w:sz w:val="13"/>
                <w:szCs w:val="13"/>
                <w:b w:val="1"/>
                <w:bCs w:val="1"/>
                <w:color w:val="auto"/>
              </w:rPr>
              <w:t>2014</w:t>
            </w:r>
          </w:p>
        </w:tc>
        <w:tc>
          <w:tcPr>
            <w:tcW w:w="18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48"/>
              <w:spacing w:after="0" w:line="142" w:lineRule="exact"/>
              <w:rPr>
                <w:sz w:val="20"/>
                <w:szCs w:val="20"/>
                <w:color w:val="auto"/>
              </w:rPr>
            </w:pPr>
            <w:r>
              <w:rPr>
                <w:rFonts w:ascii="Arial" w:cs="Arial" w:eastAsia="Arial" w:hAnsi="Arial"/>
                <w:sz w:val="13"/>
                <w:szCs w:val="13"/>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56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Cash flows from operating activities:</w:t>
            </w: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tcPr>
          <w:p>
            <w:pPr>
              <w:ind w:left="420"/>
              <w:spacing w:after="0" w:line="149" w:lineRule="exact"/>
              <w:rPr>
                <w:sz w:val="20"/>
                <w:szCs w:val="20"/>
                <w:color w:val="auto"/>
              </w:rPr>
            </w:pPr>
            <w:r>
              <w:rPr>
                <w:rFonts w:ascii="Arial" w:cs="Arial" w:eastAsia="Arial" w:hAnsi="Arial"/>
                <w:sz w:val="14"/>
                <w:szCs w:val="14"/>
                <w:color w:val="auto"/>
              </w:rPr>
              <w:t>Net (decrease) increase in net assets resulting from operations</w:t>
            </w:r>
          </w:p>
        </w:tc>
        <w:tc>
          <w:tcPr>
            <w:tcW w:w="48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(23,945,694)</w:t>
            </w:r>
          </w:p>
        </w:tc>
        <w:tc>
          <w:tcPr>
            <w:tcW w:w="44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39,454,953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560" w:type="dxa"/>
            <w:vAlign w:val="bottom"/>
            <w:shd w:val="clear" w:color="auto" w:fill="CCEEFF"/>
          </w:tcPr>
          <w:p>
            <w:pPr>
              <w:ind w:left="420"/>
              <w:spacing w:after="0" w:line="130" w:lineRule="exact"/>
              <w:rPr>
                <w:sz w:val="20"/>
                <w:szCs w:val="20"/>
                <w:color w:val="auto"/>
              </w:rPr>
            </w:pPr>
            <w:r>
              <w:rPr>
                <w:rFonts w:ascii="Arial" w:cs="Arial" w:eastAsia="Arial" w:hAnsi="Arial"/>
                <w:sz w:val="14"/>
                <w:szCs w:val="14"/>
                <w:color w:val="auto"/>
                <w:w w:val="94"/>
              </w:rPr>
              <w:t>Adjustments to reconcile net (decrease) increase in net assets resulting from operations to net cash used</w:t>
            </w: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560" w:type="dxa"/>
            <w:vAlign w:val="bottom"/>
            <w:shd w:val="clear" w:color="auto" w:fill="CCEEFF"/>
          </w:tcPr>
          <w:p>
            <w:pPr>
              <w:ind w:left="640"/>
              <w:spacing w:after="0"/>
              <w:rPr>
                <w:sz w:val="20"/>
                <w:szCs w:val="20"/>
                <w:color w:val="auto"/>
              </w:rPr>
            </w:pPr>
            <w:r>
              <w:rPr>
                <w:rFonts w:ascii="Arial" w:cs="Arial" w:eastAsia="Arial" w:hAnsi="Arial"/>
                <w:sz w:val="14"/>
                <w:szCs w:val="14"/>
                <w:color w:val="auto"/>
              </w:rPr>
              <w:t>by operating activities:</w:t>
            </w:r>
          </w:p>
        </w:tc>
        <w:tc>
          <w:tcPr>
            <w:tcW w:w="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60" w:type="dxa"/>
            <w:vAlign w:val="bottom"/>
          </w:tcPr>
          <w:p>
            <w:pPr>
              <w:ind w:left="840"/>
              <w:spacing w:after="0" w:line="149" w:lineRule="exact"/>
              <w:rPr>
                <w:sz w:val="20"/>
                <w:szCs w:val="20"/>
                <w:color w:val="auto"/>
              </w:rPr>
            </w:pPr>
            <w:r>
              <w:rPr>
                <w:rFonts w:ascii="Arial" w:cs="Arial" w:eastAsia="Arial" w:hAnsi="Arial"/>
                <w:sz w:val="14"/>
                <w:szCs w:val="14"/>
                <w:color w:val="auto"/>
              </w:rPr>
              <w:t>Net change in net unrealized depreciation (appreciation) on investments</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53,164,332</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(14,736,725)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60" w:type="dxa"/>
            <w:vAlign w:val="bottom"/>
            <w:shd w:val="clear" w:color="auto" w:fill="CCEEFF"/>
          </w:tcPr>
          <w:p>
            <w:pPr>
              <w:ind w:left="840"/>
              <w:spacing w:after="0" w:line="149" w:lineRule="exact"/>
              <w:rPr>
                <w:sz w:val="20"/>
                <w:szCs w:val="20"/>
                <w:color w:val="auto"/>
              </w:rPr>
            </w:pPr>
            <w:r>
              <w:rPr>
                <w:rFonts w:ascii="Arial" w:cs="Arial" w:eastAsia="Arial" w:hAnsi="Arial"/>
                <w:sz w:val="14"/>
                <w:szCs w:val="14"/>
                <w:color w:val="auto"/>
              </w:rPr>
              <w:t>Net change in unrealized depreciation on debt</w:t>
            </w: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(1,115,627)</w:t>
            </w: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(4,104,000)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tcPr>
          <w:p>
            <w:pPr>
              <w:ind w:left="840"/>
              <w:spacing w:after="0" w:line="149" w:lineRule="exact"/>
              <w:rPr>
                <w:sz w:val="20"/>
                <w:szCs w:val="20"/>
                <w:color w:val="auto"/>
              </w:rPr>
            </w:pPr>
            <w:r>
              <w:rPr>
                <w:rFonts w:ascii="Arial" w:cs="Arial" w:eastAsia="Arial" w:hAnsi="Arial"/>
                <w:sz w:val="14"/>
                <w:szCs w:val="14"/>
                <w:color w:val="auto"/>
              </w:rPr>
              <w:t>Net realized gain on investments</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(8,626,139)</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(2,659,111)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60" w:type="dxa"/>
            <w:vAlign w:val="bottom"/>
            <w:shd w:val="clear" w:color="auto" w:fill="CCEEFF"/>
          </w:tcPr>
          <w:p>
            <w:pPr>
              <w:ind w:left="840"/>
              <w:spacing w:after="0" w:line="149" w:lineRule="exact"/>
              <w:rPr>
                <w:sz w:val="20"/>
                <w:szCs w:val="20"/>
                <w:color w:val="auto"/>
              </w:rPr>
            </w:pPr>
            <w:r>
              <w:rPr>
                <w:rFonts w:ascii="Arial" w:cs="Arial" w:eastAsia="Arial" w:hAnsi="Arial"/>
                <w:sz w:val="14"/>
                <w:szCs w:val="14"/>
                <w:color w:val="auto"/>
              </w:rPr>
              <w:t>Net accretion of discount and amortization of premium</w:t>
            </w: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(1,673,625)</w:t>
            </w: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(2,254,165)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60" w:type="dxa"/>
            <w:vAlign w:val="bottom"/>
          </w:tcPr>
          <w:p>
            <w:pPr>
              <w:ind w:left="840"/>
              <w:spacing w:after="0" w:line="149" w:lineRule="exact"/>
              <w:rPr>
                <w:sz w:val="20"/>
                <w:szCs w:val="20"/>
                <w:color w:val="auto"/>
              </w:rPr>
            </w:pPr>
            <w:r>
              <w:rPr>
                <w:rFonts w:ascii="Arial" w:cs="Arial" w:eastAsia="Arial" w:hAnsi="Arial"/>
                <w:sz w:val="14"/>
                <w:szCs w:val="14"/>
                <w:color w:val="auto"/>
              </w:rPr>
              <w:t>Purchases of investments</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(158,912,670)</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(227,964,735)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60" w:type="dxa"/>
            <w:vAlign w:val="bottom"/>
            <w:shd w:val="clear" w:color="auto" w:fill="CCEEFF"/>
          </w:tcPr>
          <w:p>
            <w:pPr>
              <w:ind w:left="840"/>
              <w:spacing w:after="0" w:line="149" w:lineRule="exact"/>
              <w:rPr>
                <w:sz w:val="20"/>
                <w:szCs w:val="20"/>
                <w:color w:val="auto"/>
              </w:rPr>
            </w:pPr>
            <w:r>
              <w:rPr>
                <w:rFonts w:ascii="Arial" w:cs="Arial" w:eastAsia="Arial" w:hAnsi="Arial"/>
                <w:sz w:val="14"/>
                <w:szCs w:val="14"/>
                <w:color w:val="auto"/>
              </w:rPr>
              <w:t>Payment-in-kind income</w:t>
            </w: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(1,402,599)</w:t>
            </w: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(2,216,279)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60" w:type="dxa"/>
            <w:vAlign w:val="bottom"/>
          </w:tcPr>
          <w:p>
            <w:pPr>
              <w:ind w:left="840"/>
              <w:spacing w:after="0" w:line="149" w:lineRule="exact"/>
              <w:rPr>
                <w:sz w:val="20"/>
                <w:szCs w:val="20"/>
                <w:color w:val="auto"/>
              </w:rPr>
            </w:pPr>
            <w:r>
              <w:rPr>
                <w:rFonts w:ascii="Arial" w:cs="Arial" w:eastAsia="Arial" w:hAnsi="Arial"/>
                <w:sz w:val="14"/>
                <w:szCs w:val="14"/>
                <w:color w:val="auto"/>
              </w:rPr>
              <w:t>Proceeds from dispositions of investments</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79,285,499</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143,957,646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60" w:type="dxa"/>
            <w:vAlign w:val="bottom"/>
            <w:shd w:val="clear" w:color="auto" w:fill="CCEEFF"/>
          </w:tcPr>
          <w:p>
            <w:pPr>
              <w:ind w:left="840"/>
              <w:spacing w:after="0" w:line="149" w:lineRule="exact"/>
              <w:rPr>
                <w:sz w:val="20"/>
                <w:szCs w:val="20"/>
                <w:color w:val="auto"/>
              </w:rPr>
            </w:pPr>
            <w:r>
              <w:rPr>
                <w:rFonts w:ascii="Arial" w:cs="Arial" w:eastAsia="Arial" w:hAnsi="Arial"/>
                <w:sz w:val="14"/>
                <w:szCs w:val="14"/>
                <w:color w:val="auto"/>
              </w:rPr>
              <w:t>Decrease in interest receivable</w:t>
            </w: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1,109,032</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2,209,037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tcPr>
          <w:p>
            <w:pPr>
              <w:ind w:left="840"/>
              <w:spacing w:after="0" w:line="149" w:lineRule="exact"/>
              <w:rPr>
                <w:sz w:val="20"/>
                <w:szCs w:val="20"/>
                <w:color w:val="auto"/>
              </w:rPr>
            </w:pPr>
            <w:r>
              <w:rPr>
                <w:rFonts w:ascii="Arial" w:cs="Arial" w:eastAsia="Arial" w:hAnsi="Arial"/>
                <w:sz w:val="14"/>
                <w:szCs w:val="14"/>
                <w:color w:val="auto"/>
              </w:rPr>
              <w:t>Increase in deferred financing costs and other assets</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(95,984)</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(845,805)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60" w:type="dxa"/>
            <w:vAlign w:val="bottom"/>
            <w:shd w:val="clear" w:color="auto" w:fill="CCEEFF"/>
          </w:tcPr>
          <w:p>
            <w:pPr>
              <w:ind w:left="840"/>
              <w:spacing w:after="0" w:line="149" w:lineRule="exact"/>
              <w:rPr>
                <w:sz w:val="20"/>
                <w:szCs w:val="20"/>
                <w:color w:val="auto"/>
              </w:rPr>
            </w:pPr>
            <w:r>
              <w:rPr>
                <w:rFonts w:ascii="Arial" w:cs="Arial" w:eastAsia="Arial" w:hAnsi="Arial"/>
                <w:sz w:val="14"/>
                <w:szCs w:val="14"/>
                <w:color w:val="auto"/>
              </w:rPr>
              <w:t>Decrease in payable for investments purchased</w:t>
            </w: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(4,432,500)</w:t>
            </w: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(38,094,704)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60" w:type="dxa"/>
            <w:vAlign w:val="bottom"/>
          </w:tcPr>
          <w:p>
            <w:pPr>
              <w:ind w:left="840"/>
              <w:spacing w:after="0" w:line="149" w:lineRule="exact"/>
              <w:rPr>
                <w:sz w:val="20"/>
                <w:szCs w:val="20"/>
                <w:color w:val="auto"/>
              </w:rPr>
            </w:pPr>
            <w:r>
              <w:rPr>
                <w:rFonts w:ascii="Arial" w:cs="Arial" w:eastAsia="Arial" w:hAnsi="Arial"/>
                <w:sz w:val="14"/>
                <w:szCs w:val="14"/>
                <w:color w:val="auto"/>
              </w:rPr>
              <w:t>Increase in management fee payable</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411,648</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327,503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60" w:type="dxa"/>
            <w:vAlign w:val="bottom"/>
            <w:shd w:val="clear" w:color="auto" w:fill="CCEEFF"/>
          </w:tcPr>
          <w:p>
            <w:pPr>
              <w:ind w:left="840"/>
              <w:spacing w:after="0" w:line="149" w:lineRule="exact"/>
              <w:rPr>
                <w:sz w:val="20"/>
                <w:szCs w:val="20"/>
                <w:color w:val="auto"/>
              </w:rPr>
            </w:pPr>
            <w:r>
              <w:rPr>
                <w:rFonts w:ascii="Arial" w:cs="Arial" w:eastAsia="Arial" w:hAnsi="Arial"/>
                <w:sz w:val="14"/>
                <w:szCs w:val="14"/>
                <w:color w:val="auto"/>
              </w:rPr>
              <w:t>Increase in performance-based incentive fee payable</w:t>
            </w: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246,464</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213,898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60" w:type="dxa"/>
            <w:vAlign w:val="bottom"/>
          </w:tcPr>
          <w:p>
            <w:pPr>
              <w:ind w:left="840"/>
              <w:spacing w:after="0" w:line="149" w:lineRule="exact"/>
              <w:rPr>
                <w:sz w:val="20"/>
                <w:szCs w:val="20"/>
                <w:color w:val="auto"/>
              </w:rPr>
            </w:pPr>
            <w:r>
              <w:rPr>
                <w:rFonts w:ascii="Arial" w:cs="Arial" w:eastAsia="Arial" w:hAnsi="Arial"/>
                <w:sz w:val="14"/>
                <w:szCs w:val="14"/>
                <w:color w:val="auto"/>
              </w:rPr>
              <w:t>Increase in interest payable on debt</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4,542,813</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1,439,922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shd w:val="clear" w:color="auto" w:fill="CCEEFF"/>
          </w:tcPr>
          <w:p>
            <w:pPr>
              <w:ind w:left="840"/>
              <w:spacing w:after="0" w:line="149" w:lineRule="exact"/>
              <w:rPr>
                <w:sz w:val="20"/>
                <w:szCs w:val="20"/>
                <w:color w:val="auto"/>
              </w:rPr>
            </w:pPr>
            <w:r>
              <w:rPr>
                <w:rFonts w:ascii="Arial" w:cs="Arial" w:eastAsia="Arial" w:hAnsi="Arial"/>
                <w:sz w:val="14"/>
                <w:szCs w:val="14"/>
                <w:color w:val="auto"/>
              </w:rPr>
              <w:t>(Decrease) increase in accrued other expenses</w:t>
            </w: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(391,360)</w:t>
            </w: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1,218,062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560" w:type="dxa"/>
            <w:vAlign w:val="bottom"/>
          </w:tcPr>
          <w:p>
            <w:pPr>
              <w:ind w:left="1280"/>
              <w:spacing w:after="0" w:line="155" w:lineRule="exact"/>
              <w:rPr>
                <w:sz w:val="20"/>
                <w:szCs w:val="20"/>
                <w:color w:val="auto"/>
              </w:rPr>
            </w:pPr>
            <w:r>
              <w:rPr>
                <w:rFonts w:ascii="Arial" w:cs="Arial" w:eastAsia="Arial" w:hAnsi="Arial"/>
                <w:sz w:val="14"/>
                <w:szCs w:val="14"/>
                <w:color w:val="auto"/>
              </w:rPr>
              <w:t>Net cash used by operating activities</w:t>
            </w:r>
          </w:p>
        </w:tc>
        <w:tc>
          <w:tcPr>
            <w:tcW w:w="20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(61,836,410)</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(104,054,503)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financing activities:</w:t>
            </w: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60" w:type="dxa"/>
            <w:vAlign w:val="bottom"/>
          </w:tcPr>
          <w:p>
            <w:pPr>
              <w:ind w:left="840"/>
              <w:spacing w:after="0" w:line="149" w:lineRule="exact"/>
              <w:rPr>
                <w:sz w:val="20"/>
                <w:szCs w:val="20"/>
                <w:color w:val="auto"/>
              </w:rPr>
            </w:pPr>
            <w:r>
              <w:rPr>
                <w:rFonts w:ascii="Arial" w:cs="Arial" w:eastAsia="Arial" w:hAnsi="Arial"/>
                <w:sz w:val="14"/>
                <w:szCs w:val="14"/>
                <w:color w:val="auto"/>
              </w:rPr>
              <w:t>Distributions paid to stockholders</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(21,026,015)</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(18,082,691)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60" w:type="dxa"/>
            <w:vAlign w:val="bottom"/>
            <w:shd w:val="clear" w:color="auto" w:fill="CCEEFF"/>
          </w:tcPr>
          <w:p>
            <w:pPr>
              <w:ind w:left="840"/>
              <w:spacing w:after="0" w:line="149" w:lineRule="exact"/>
              <w:rPr>
                <w:sz w:val="20"/>
                <w:szCs w:val="20"/>
                <w:color w:val="auto"/>
              </w:rPr>
            </w:pPr>
            <w:r>
              <w:rPr>
                <w:rFonts w:ascii="Arial" w:cs="Arial" w:eastAsia="Arial" w:hAnsi="Arial"/>
                <w:sz w:val="14"/>
                <w:szCs w:val="14"/>
                <w:color w:val="auto"/>
              </w:rPr>
              <w:t>Borrowings under Credit Facility (See Note 10)</w:t>
            </w: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257,000,000</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400,000,000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560" w:type="dxa"/>
            <w:vAlign w:val="bottom"/>
          </w:tcPr>
          <w:p>
            <w:pPr>
              <w:ind w:left="840"/>
              <w:spacing w:after="0" w:line="149" w:lineRule="exact"/>
              <w:rPr>
                <w:sz w:val="20"/>
                <w:szCs w:val="20"/>
                <w:color w:val="auto"/>
              </w:rPr>
            </w:pPr>
            <w:r>
              <w:rPr>
                <w:rFonts w:ascii="Arial" w:cs="Arial" w:eastAsia="Arial" w:hAnsi="Arial"/>
                <w:sz w:val="14"/>
                <w:szCs w:val="14"/>
                <w:color w:val="auto"/>
              </w:rPr>
              <w:t>Repayments under Credit Facility (See Note 10)</w:t>
            </w: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(186,344,800)</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(305,500,000)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Net cash provided by financing activities</w:t>
            </w:r>
          </w:p>
        </w:tc>
        <w:tc>
          <w:tcPr>
            <w:tcW w:w="200" w:type="dxa"/>
            <w:vAlign w:val="bottom"/>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spacing w:after="0"/>
              <w:rPr>
                <w:sz w:val="12"/>
                <w:szCs w:val="12"/>
                <w:color w:val="auto"/>
              </w:rPr>
            </w:pPr>
          </w:p>
        </w:tc>
        <w:tc>
          <w:tcPr>
            <w:tcW w:w="10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49,629,185</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spacing w:after="0"/>
              <w:rPr>
                <w:sz w:val="12"/>
                <w:szCs w:val="12"/>
                <w:color w:val="auto"/>
              </w:rPr>
            </w:pPr>
          </w:p>
        </w:tc>
        <w:tc>
          <w:tcPr>
            <w:tcW w:w="10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76,417,309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65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Net decrease in cash equivalents</w:t>
            </w: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jc w:val="right"/>
              <w:spacing w:after="0" w:line="155" w:lineRule="exact"/>
              <w:rPr>
                <w:sz w:val="20"/>
                <w:szCs w:val="20"/>
                <w:color w:val="auto"/>
              </w:rPr>
            </w:pPr>
            <w:r>
              <w:rPr>
                <w:rFonts w:ascii="Arial" w:cs="Arial" w:eastAsia="Arial" w:hAnsi="Arial"/>
                <w:sz w:val="14"/>
                <w:szCs w:val="14"/>
                <w:color w:val="auto"/>
              </w:rPr>
              <w:t>(12,207,225)</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jc w:val="right"/>
              <w:spacing w:after="0" w:line="155" w:lineRule="exact"/>
              <w:rPr>
                <w:sz w:val="20"/>
                <w:szCs w:val="20"/>
                <w:color w:val="auto"/>
              </w:rPr>
            </w:pPr>
            <w:r>
              <w:rPr>
                <w:rFonts w:ascii="Arial" w:cs="Arial" w:eastAsia="Arial" w:hAnsi="Arial"/>
                <w:sz w:val="14"/>
                <w:szCs w:val="14"/>
                <w:color w:val="auto"/>
              </w:rPr>
              <w:t>(27,637,194)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Effect of exchange rate changes on cash</w:t>
            </w: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17,791</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560" w:type="dxa"/>
            <w:vAlign w:val="bottom"/>
          </w:tcPr>
          <w:p>
            <w:pPr>
              <w:spacing w:after="0" w:line="149" w:lineRule="exact"/>
              <w:rPr>
                <w:sz w:val="20"/>
                <w:szCs w:val="20"/>
                <w:color w:val="auto"/>
              </w:rPr>
            </w:pPr>
            <w:r>
              <w:rPr>
                <w:rFonts w:ascii="Arial" w:cs="Arial" w:eastAsia="Arial" w:hAnsi="Arial"/>
                <w:sz w:val="14"/>
                <w:szCs w:val="14"/>
                <w:b w:val="1"/>
                <w:bCs w:val="1"/>
                <w:color w:val="auto"/>
              </w:rPr>
              <w:t>Cash and cash equivalents, beginning of period</w:t>
            </w:r>
          </w:p>
        </w:tc>
        <w:tc>
          <w:tcPr>
            <w:tcW w:w="2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66,518,682</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58,440,829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and cash equivalents, end of period</w:t>
            </w:r>
          </w:p>
        </w:tc>
        <w:tc>
          <w:tcPr>
            <w:tcW w:w="480" w:type="dxa"/>
            <w:vAlign w:val="bottom"/>
            <w:gridSpan w:val="2"/>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54,329,248</w:t>
            </w:r>
          </w:p>
        </w:tc>
        <w:tc>
          <w:tcPr>
            <w:tcW w:w="1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30,803,635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5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Interest paid</w:t>
            </w:r>
          </w:p>
        </w:tc>
        <w:tc>
          <w:tcPr>
            <w:tcW w:w="20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1,834,305</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3,007,330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vMerge w:val="restart"/>
          </w:tcPr>
          <w:p>
            <w:pPr>
              <w:ind w:left="200"/>
              <w:spacing w:after="0"/>
              <w:rPr>
                <w:sz w:val="20"/>
                <w:szCs w:val="20"/>
                <w:color w:val="auto"/>
              </w:rPr>
            </w:pPr>
            <w:r>
              <w:rPr>
                <w:rFonts w:ascii="Arial" w:cs="Arial" w:eastAsia="Arial" w:hAnsi="Arial"/>
                <w:sz w:val="14"/>
                <w:szCs w:val="14"/>
                <w:color w:val="auto"/>
              </w:rPr>
              <w:t>Dividends reinvested</w:t>
            </w:r>
          </w:p>
        </w:tc>
        <w:tc>
          <w:tcPr>
            <w:tcW w:w="48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5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Borders>
              <w:top w:val="single" w:sz="8" w:color="auto"/>
              <w:bottom w:val="single" w:sz="8" w:color="auto"/>
            </w:tcBorders>
          </w:tcPr>
          <w:p>
            <w:pPr>
              <w:jc w:val="right"/>
              <w:ind w:right="128"/>
              <w:spacing w:after="0" w:line="143"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Borders>
              <w:top w:val="single" w:sz="8" w:color="auto"/>
              <w:bottom w:val="single" w:sz="8" w:color="auto"/>
            </w:tcBorders>
          </w:tcPr>
          <w:p>
            <w:pPr>
              <w:jc w:val="right"/>
              <w:ind w:right="128"/>
              <w:spacing w:after="0" w:line="143"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537,121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560" w:type="dxa"/>
            <w:vAlign w:val="bottom"/>
            <w:shd w:val="clear" w:color="auto" w:fill="CCEEFF"/>
          </w:tcPr>
          <w:p>
            <w:pPr>
              <w:ind w:left="200"/>
              <w:spacing w:after="0" w:line="143" w:lineRule="exact"/>
              <w:rPr>
                <w:sz w:val="20"/>
                <w:szCs w:val="20"/>
                <w:color w:val="auto"/>
              </w:rPr>
            </w:pPr>
            <w:r>
              <w:rPr>
                <w:rFonts w:ascii="Arial" w:cs="Arial" w:eastAsia="Arial" w:hAnsi="Arial"/>
                <w:sz w:val="14"/>
                <w:szCs w:val="14"/>
                <w:color w:val="auto"/>
              </w:rPr>
              <w:t>Conversions and non-cash exchanges</w:t>
            </w:r>
          </w:p>
        </w:tc>
        <w:tc>
          <w:tcPr>
            <w:tcW w:w="480" w:type="dxa"/>
            <w:vAlign w:val="bottom"/>
            <w:gridSpan w:val="2"/>
            <w:shd w:val="clear" w:color="auto" w:fill="CCEEFF"/>
          </w:tcPr>
          <w:p>
            <w:pPr>
              <w:jc w:val="right"/>
              <w:ind w:right="128"/>
              <w:spacing w:after="0" w:line="143"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128"/>
              <w:spacing w:after="0" w:line="143"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51,577,498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71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ind w:right="-71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0520"/>
          </w:cols>
          <w:pgMar w:left="320" w:top="459" w:right="10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w:t>
      </w:r>
    </w:p>
    <w:p>
      <w:pPr>
        <w:jc w:val="center"/>
        <w:spacing w:after="0" w:line="221" w:lineRule="auto"/>
        <w:rPr>
          <w:sz w:val="20"/>
          <w:szCs w:val="20"/>
          <w:color w:val="auto"/>
        </w:rPr>
      </w:pPr>
      <w:r>
        <w:rPr>
          <w:rFonts w:ascii="Arial" w:cs="Arial" w:eastAsia="Arial" w:hAnsi="Arial"/>
          <w:sz w:val="14"/>
          <w:szCs w:val="14"/>
          <w:b w:val="1"/>
          <w:bCs w:val="1"/>
          <w:color w:val="auto"/>
        </w:rPr>
        <w:t>DECEMBER 31, 2014</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60" w:type="dxa"/>
            <w:vAlign w:val="bottom"/>
          </w:tcPr>
          <w:p>
            <w:pPr>
              <w:jc w:val="center"/>
              <w:ind w:right="157"/>
              <w:spacing w:after="0"/>
              <w:rPr>
                <w:sz w:val="20"/>
                <w:szCs w:val="20"/>
                <w:color w:val="auto"/>
              </w:rPr>
            </w:pPr>
            <w:r>
              <w:rPr>
                <w:rFonts w:ascii="Arial" w:cs="Arial" w:eastAsia="Arial" w:hAnsi="Arial"/>
                <w:sz w:val="13"/>
                <w:szCs w:val="13"/>
                <w:b w:val="1"/>
                <w:bCs w:val="1"/>
                <w:color w:val="auto"/>
                <w:w w:val="84"/>
              </w:rPr>
              <w:t>Basis Point</w:t>
            </w: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4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60" w:type="dxa"/>
            <w:vAlign w:val="bottom"/>
          </w:tcPr>
          <w:p>
            <w:pPr>
              <w:jc w:val="center"/>
              <w:ind w:right="157"/>
              <w:spacing w:after="0" w:line="135" w:lineRule="exact"/>
              <w:rPr>
                <w:sz w:val="20"/>
                <w:szCs w:val="20"/>
                <w:color w:val="auto"/>
              </w:rPr>
            </w:pPr>
            <w:r>
              <w:rPr>
                <w:rFonts w:ascii="Arial" w:cs="Arial" w:eastAsia="Arial" w:hAnsi="Arial"/>
                <w:sz w:val="13"/>
                <w:szCs w:val="13"/>
                <w:b w:val="1"/>
                <w:bCs w:val="1"/>
                <w:color w:val="auto"/>
                <w:w w:val="90"/>
              </w:rPr>
              <w:t>Spread</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20" w:type="dxa"/>
            <w:vAlign w:val="bottom"/>
            <w:vMerge w:val="restart"/>
          </w:tcPr>
          <w:p>
            <w:pPr>
              <w:spacing w:after="0"/>
              <w:rPr>
                <w:sz w:val="20"/>
                <w:szCs w:val="20"/>
                <w:color w:val="auto"/>
              </w:rPr>
            </w:pPr>
            <w:r>
              <w:rPr>
                <w:rFonts w:ascii="Arial" w:cs="Arial" w:eastAsia="Arial" w:hAnsi="Arial"/>
                <w:sz w:val="13"/>
                <w:szCs w:val="13"/>
                <w:b w:val="1"/>
                <w:bCs w:val="1"/>
                <w:color w:val="auto"/>
              </w:rPr>
              <w:t>Issuer Name</w:t>
            </w:r>
          </w:p>
        </w:tc>
        <w:tc>
          <w:tcPr>
            <w:tcW w:w="1280" w:type="dxa"/>
            <w:vAlign w:val="bottom"/>
          </w:tcPr>
          <w:p>
            <w:pPr>
              <w:ind w:left="660"/>
              <w:spacing w:after="0" w:line="135" w:lineRule="exact"/>
              <w:rPr>
                <w:sz w:val="20"/>
                <w:szCs w:val="20"/>
                <w:color w:val="auto"/>
              </w:rPr>
            </w:pPr>
            <w:r>
              <w:rPr>
                <w:rFonts w:ascii="Arial" w:cs="Arial" w:eastAsia="Arial" w:hAnsi="Arial"/>
                <w:sz w:val="13"/>
                <w:szCs w:val="13"/>
                <w:b w:val="1"/>
                <w:bCs w:val="1"/>
                <w:color w:val="auto"/>
              </w:rPr>
              <w:t>Maturity /</w:t>
            </w:r>
          </w:p>
        </w:tc>
        <w:tc>
          <w:tcPr>
            <w:tcW w:w="1840" w:type="dxa"/>
            <w:vAlign w:val="bottom"/>
          </w:tcPr>
          <w:p>
            <w:pPr>
              <w:spacing w:after="0"/>
              <w:rPr>
                <w:sz w:val="11"/>
                <w:szCs w:val="11"/>
                <w:color w:val="auto"/>
              </w:rPr>
            </w:pPr>
          </w:p>
        </w:tc>
        <w:tc>
          <w:tcPr>
            <w:tcW w:w="940" w:type="dxa"/>
            <w:vAlign w:val="bottom"/>
          </w:tcPr>
          <w:p>
            <w:pPr>
              <w:jc w:val="right"/>
              <w:ind w:right="337"/>
              <w:spacing w:after="0" w:line="135" w:lineRule="exact"/>
              <w:rPr>
                <w:sz w:val="20"/>
                <w:szCs w:val="20"/>
                <w:color w:val="auto"/>
              </w:rPr>
            </w:pPr>
            <w:r>
              <w:rPr>
                <w:rFonts w:ascii="Arial" w:cs="Arial" w:eastAsia="Arial" w:hAnsi="Arial"/>
                <w:sz w:val="13"/>
                <w:szCs w:val="13"/>
                <w:b w:val="1"/>
                <w:bCs w:val="1"/>
                <w:color w:val="auto"/>
              </w:rPr>
              <w:t>Current</w:t>
            </w:r>
          </w:p>
        </w:tc>
        <w:tc>
          <w:tcPr>
            <w:tcW w:w="1060" w:type="dxa"/>
            <w:vAlign w:val="bottom"/>
          </w:tcPr>
          <w:p>
            <w:pPr>
              <w:jc w:val="center"/>
              <w:ind w:right="157"/>
              <w:spacing w:after="0" w:line="135" w:lineRule="exact"/>
              <w:rPr>
                <w:sz w:val="20"/>
                <w:szCs w:val="20"/>
                <w:color w:val="auto"/>
              </w:rPr>
            </w:pPr>
            <w:r>
              <w:rPr>
                <w:rFonts w:ascii="Arial" w:cs="Arial" w:eastAsia="Arial" w:hAnsi="Arial"/>
                <w:sz w:val="13"/>
                <w:szCs w:val="13"/>
                <w:b w:val="1"/>
                <w:bCs w:val="1"/>
                <w:color w:val="auto"/>
                <w:w w:val="90"/>
              </w:rPr>
              <w:t>Above</w:t>
            </w:r>
          </w:p>
        </w:tc>
        <w:tc>
          <w:tcPr>
            <w:tcW w:w="720" w:type="dxa"/>
            <w:vAlign w:val="bottom"/>
          </w:tcPr>
          <w:p>
            <w:pPr>
              <w:jc w:val="right"/>
              <w:ind w:right="197"/>
              <w:spacing w:after="0" w:line="135" w:lineRule="exact"/>
              <w:rPr>
                <w:sz w:val="20"/>
                <w:szCs w:val="20"/>
                <w:color w:val="auto"/>
              </w:rPr>
            </w:pPr>
            <w:r>
              <w:rPr>
                <w:rFonts w:ascii="Arial" w:cs="Arial" w:eastAsia="Arial" w:hAnsi="Arial"/>
                <w:sz w:val="13"/>
                <w:szCs w:val="13"/>
                <w:b w:val="1"/>
                <w:bCs w:val="1"/>
                <w:color w:val="auto"/>
              </w:rPr>
              <w:t>Par /</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420" w:type="dxa"/>
            <w:vAlign w:val="bottom"/>
            <w:vMerge w:val="continue"/>
          </w:tcPr>
          <w:p>
            <w:pPr>
              <w:spacing w:after="0"/>
              <w:rPr>
                <w:sz w:val="13"/>
                <w:szCs w:val="13"/>
                <w:color w:val="auto"/>
              </w:rPr>
            </w:pPr>
          </w:p>
        </w:tc>
        <w:tc>
          <w:tcPr>
            <w:tcW w:w="1280" w:type="dxa"/>
            <w:vAlign w:val="bottom"/>
          </w:tcPr>
          <w:p>
            <w:pPr>
              <w:ind w:left="640"/>
              <w:spacing w:after="0"/>
              <w:rPr>
                <w:sz w:val="20"/>
                <w:szCs w:val="20"/>
                <w:color w:val="auto"/>
              </w:rPr>
            </w:pPr>
            <w:r>
              <w:rPr>
                <w:rFonts w:ascii="Arial" w:cs="Arial" w:eastAsia="Arial" w:hAnsi="Arial"/>
                <w:sz w:val="13"/>
                <w:szCs w:val="13"/>
                <w:b w:val="1"/>
                <w:bCs w:val="1"/>
                <w:color w:val="auto"/>
                <w:w w:val="97"/>
              </w:rPr>
              <w:t>Expiration</w:t>
            </w:r>
          </w:p>
        </w:tc>
        <w:tc>
          <w:tcPr>
            <w:tcW w:w="1840" w:type="dxa"/>
            <w:vAlign w:val="bottom"/>
          </w:tcPr>
          <w:p>
            <w:pPr>
              <w:ind w:left="640"/>
              <w:spacing w:after="0"/>
              <w:rPr>
                <w:sz w:val="20"/>
                <w:szCs w:val="20"/>
                <w:color w:val="auto"/>
              </w:rPr>
            </w:pPr>
            <w:r>
              <w:rPr>
                <w:rFonts w:ascii="Arial" w:cs="Arial" w:eastAsia="Arial" w:hAnsi="Arial"/>
                <w:sz w:val="13"/>
                <w:szCs w:val="13"/>
                <w:b w:val="1"/>
                <w:bCs w:val="1"/>
                <w:color w:val="auto"/>
              </w:rPr>
              <w:t>Industry</w:t>
            </w:r>
          </w:p>
        </w:tc>
        <w:tc>
          <w:tcPr>
            <w:tcW w:w="940" w:type="dxa"/>
            <w:vAlign w:val="bottom"/>
          </w:tcPr>
          <w:p>
            <w:pPr>
              <w:jc w:val="right"/>
              <w:ind w:right="337"/>
              <w:spacing w:after="0"/>
              <w:rPr>
                <w:sz w:val="20"/>
                <w:szCs w:val="20"/>
                <w:color w:val="auto"/>
              </w:rPr>
            </w:pPr>
            <w:r>
              <w:rPr>
                <w:rFonts w:ascii="Arial" w:cs="Arial" w:eastAsia="Arial" w:hAnsi="Arial"/>
                <w:sz w:val="13"/>
                <w:szCs w:val="13"/>
                <w:b w:val="1"/>
                <w:bCs w:val="1"/>
                <w:color w:val="auto"/>
              </w:rPr>
              <w:t>Coupon</w:t>
            </w:r>
          </w:p>
        </w:tc>
        <w:tc>
          <w:tcPr>
            <w:tcW w:w="1060" w:type="dxa"/>
            <w:vAlign w:val="bottom"/>
          </w:tcPr>
          <w:p>
            <w:pPr>
              <w:jc w:val="center"/>
              <w:ind w:right="157"/>
              <w:spacing w:after="0"/>
              <w:rPr>
                <w:sz w:val="20"/>
                <w:szCs w:val="20"/>
                <w:color w:val="auto"/>
              </w:rPr>
            </w:pPr>
            <w:r>
              <w:rPr>
                <w:rFonts w:ascii="Arial" w:cs="Arial" w:eastAsia="Arial" w:hAnsi="Arial"/>
                <w:sz w:val="13"/>
                <w:szCs w:val="13"/>
                <w:b w:val="1"/>
                <w:bCs w:val="1"/>
                <w:color w:val="auto"/>
                <w:w w:val="96"/>
              </w:rPr>
              <w:t xml:space="preserve">Index </w:t>
            </w:r>
            <w:r>
              <w:rPr>
                <w:rFonts w:ascii="Arial" w:cs="Arial" w:eastAsia="Arial" w:hAnsi="Arial"/>
                <w:sz w:val="10"/>
                <w:szCs w:val="10"/>
                <w:b w:val="1"/>
                <w:bCs w:val="1"/>
                <w:color w:val="auto"/>
                <w:w w:val="96"/>
              </w:rPr>
              <w:t>(4)</w:t>
            </w:r>
          </w:p>
        </w:tc>
        <w:tc>
          <w:tcPr>
            <w:tcW w:w="720" w:type="dxa"/>
            <w:vAlign w:val="bottom"/>
          </w:tcPr>
          <w:p>
            <w:pPr>
              <w:jc w:val="right"/>
              <w:ind w:right="137"/>
              <w:spacing w:after="0"/>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3"/>
                <w:szCs w:val="13"/>
                <w:color w:val="auto"/>
              </w:rPr>
            </w:pPr>
          </w:p>
        </w:tc>
        <w:tc>
          <w:tcPr>
            <w:tcW w:w="840" w:type="dxa"/>
            <w:vAlign w:val="bottom"/>
            <w:gridSpan w:val="2"/>
          </w:tcPr>
          <w:p>
            <w:pPr>
              <w:ind w:left="220"/>
              <w:spacing w:after="0"/>
              <w:rPr>
                <w:sz w:val="20"/>
                <w:szCs w:val="20"/>
                <w:color w:val="auto"/>
              </w:rPr>
            </w:pPr>
            <w:r>
              <w:rPr>
                <w:rFonts w:ascii="Arial" w:cs="Arial" w:eastAsia="Arial" w:hAnsi="Arial"/>
                <w:sz w:val="13"/>
                <w:szCs w:val="13"/>
                <w:b w:val="1"/>
                <w:bCs w:val="1"/>
                <w:color w:val="auto"/>
              </w:rPr>
              <w:t>Cost</w:t>
            </w:r>
          </w:p>
        </w:tc>
        <w:tc>
          <w:tcPr>
            <w:tcW w:w="80" w:type="dxa"/>
            <w:vAlign w:val="bottom"/>
          </w:tcPr>
          <w:p>
            <w:pPr>
              <w:spacing w:after="0"/>
              <w:rPr>
                <w:sz w:val="13"/>
                <w:szCs w:val="13"/>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92"/>
              </w:rPr>
              <w:t xml:space="preserve">Fair Value </w:t>
            </w:r>
            <w:r>
              <w:rPr>
                <w:rFonts w:ascii="Arial" w:cs="Arial" w:eastAsia="Arial" w:hAnsi="Arial"/>
                <w:sz w:val="10"/>
                <w:szCs w:val="10"/>
                <w:b w:val="1"/>
                <w:bCs w:val="1"/>
                <w:color w:val="auto"/>
                <w:w w:val="92"/>
              </w:rPr>
              <w:t>(3)</w:t>
            </w:r>
          </w:p>
        </w:tc>
        <w:tc>
          <w:tcPr>
            <w:tcW w:w="0" w:type="dxa"/>
            <w:vAlign w:val="bottom"/>
          </w:tcPr>
          <w:p>
            <w:pPr>
              <w:spacing w:after="0"/>
              <w:rPr>
                <w:sz w:val="1"/>
                <w:szCs w:val="1"/>
                <w:color w:val="auto"/>
              </w:rPr>
            </w:pPr>
          </w:p>
        </w:tc>
      </w:tr>
      <w:tr>
        <w:trPr>
          <w:trHeight w:val="110"/>
        </w:trPr>
        <w:tc>
          <w:tcPr>
            <w:tcW w:w="4700" w:type="dxa"/>
            <w:vAlign w:val="bottom"/>
            <w:tcBorders>
              <w:top w:val="single" w:sz="8" w:color="auto"/>
            </w:tcBorders>
            <w:gridSpan w:val="2"/>
            <w:shd w:val="clear" w:color="auto" w:fill="CCEEFF"/>
          </w:tcPr>
          <w:p>
            <w:pPr>
              <w:spacing w:after="0" w:line="110" w:lineRule="exact"/>
              <w:rPr>
                <w:sz w:val="20"/>
                <w:szCs w:val="20"/>
                <w:color w:val="auto"/>
              </w:rPr>
            </w:pPr>
            <w:r>
              <w:rPr>
                <w:rFonts w:ascii="Arial" w:cs="Arial" w:eastAsia="Arial" w:hAnsi="Arial"/>
                <w:sz w:val="12"/>
                <w:szCs w:val="12"/>
                <w:b w:val="1"/>
                <w:bCs w:val="1"/>
                <w:color w:val="auto"/>
              </w:rPr>
              <w:t xml:space="preserve">Investments in Non-Controlled, Non-Affiliated Portfolio Companies—157.0% </w:t>
            </w:r>
            <w:r>
              <w:rPr>
                <w:rFonts w:ascii="Arial" w:cs="Arial" w:eastAsia="Arial" w:hAnsi="Arial"/>
                <w:sz w:val="9"/>
                <w:szCs w:val="9"/>
                <w:b w:val="1"/>
                <w:bCs w:val="1"/>
                <w:color w:val="auto"/>
              </w:rPr>
              <w:t>(1), (2)</w:t>
            </w:r>
          </w:p>
        </w:tc>
        <w:tc>
          <w:tcPr>
            <w:tcW w:w="1840" w:type="dxa"/>
            <w:vAlign w:val="bottom"/>
            <w:tcBorders>
              <w:top w:val="single" w:sz="8" w:color="auto"/>
            </w:tcBorders>
            <w:shd w:val="clear" w:color="auto" w:fill="CCEEFF"/>
          </w:tcPr>
          <w:p>
            <w:pPr>
              <w:spacing w:after="0"/>
              <w:rPr>
                <w:sz w:val="9"/>
                <w:szCs w:val="9"/>
                <w:color w:val="auto"/>
              </w:rPr>
            </w:pPr>
          </w:p>
        </w:tc>
        <w:tc>
          <w:tcPr>
            <w:tcW w:w="940" w:type="dxa"/>
            <w:vAlign w:val="bottom"/>
            <w:tcBorders>
              <w:top w:val="single" w:sz="8" w:color="auto"/>
            </w:tcBorders>
            <w:shd w:val="clear" w:color="auto" w:fill="CCEEFF"/>
          </w:tcPr>
          <w:p>
            <w:pPr>
              <w:spacing w:after="0"/>
              <w:rPr>
                <w:sz w:val="9"/>
                <w:szCs w:val="9"/>
                <w:color w:val="auto"/>
              </w:rPr>
            </w:pPr>
          </w:p>
        </w:tc>
        <w:tc>
          <w:tcPr>
            <w:tcW w:w="106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84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34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First Lien Secured Debt—50.3%</w:t>
            </w:r>
          </w:p>
        </w:tc>
        <w:tc>
          <w:tcPr>
            <w:tcW w:w="128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420" w:type="dxa"/>
            <w:vAlign w:val="bottom"/>
          </w:tcPr>
          <w:p>
            <w:pPr>
              <w:spacing w:after="0" w:line="135" w:lineRule="exact"/>
              <w:rPr>
                <w:sz w:val="20"/>
                <w:szCs w:val="20"/>
                <w:color w:val="auto"/>
              </w:rPr>
            </w:pPr>
            <w:r>
              <w:rPr>
                <w:rFonts w:ascii="Arial" w:cs="Arial" w:eastAsia="Arial" w:hAnsi="Arial"/>
                <w:sz w:val="13"/>
                <w:szCs w:val="13"/>
                <w:color w:val="auto"/>
              </w:rPr>
              <w:t>Aircell Business Aviation Services LLC</w:t>
            </w:r>
          </w:p>
        </w:tc>
        <w:tc>
          <w:tcPr>
            <w:tcW w:w="1280" w:type="dxa"/>
            <w:vAlign w:val="bottom"/>
          </w:tcPr>
          <w:p>
            <w:pPr>
              <w:ind w:left="640"/>
              <w:spacing w:after="0" w:line="135" w:lineRule="exact"/>
              <w:rPr>
                <w:sz w:val="20"/>
                <w:szCs w:val="20"/>
                <w:color w:val="auto"/>
              </w:rPr>
            </w:pPr>
            <w:r>
              <w:rPr>
                <w:rFonts w:ascii="Arial" w:cs="Arial" w:eastAsia="Arial" w:hAnsi="Arial"/>
                <w:sz w:val="13"/>
                <w:szCs w:val="13"/>
                <w:color w:val="auto"/>
                <w:w w:val="95"/>
              </w:rPr>
              <w:t>03/21/2018</w:t>
            </w:r>
          </w:p>
        </w:tc>
        <w:tc>
          <w:tcPr>
            <w:tcW w:w="1840" w:type="dxa"/>
            <w:vAlign w:val="bottom"/>
          </w:tcPr>
          <w:p>
            <w:pPr>
              <w:jc w:val="center"/>
              <w:spacing w:after="0" w:line="135" w:lineRule="exact"/>
              <w:rPr>
                <w:sz w:val="20"/>
                <w:szCs w:val="20"/>
                <w:color w:val="auto"/>
              </w:rPr>
            </w:pPr>
            <w:r>
              <w:rPr>
                <w:rFonts w:ascii="Arial" w:cs="Arial" w:eastAsia="Arial" w:hAnsi="Arial"/>
                <w:sz w:val="13"/>
                <w:szCs w:val="13"/>
                <w:color w:val="auto"/>
                <w:w w:val="88"/>
              </w:rPr>
              <w:t>Communications</w:t>
            </w:r>
          </w:p>
        </w:tc>
        <w:tc>
          <w:tcPr>
            <w:tcW w:w="94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11.25%</w:t>
            </w:r>
          </w:p>
        </w:tc>
        <w:tc>
          <w:tcPr>
            <w:tcW w:w="106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L+975</w:t>
            </w:r>
          </w:p>
        </w:tc>
        <w:tc>
          <w:tcPr>
            <w:tcW w:w="720" w:type="dxa"/>
            <w:vAlign w:val="bottom"/>
          </w:tcPr>
          <w:p>
            <w:pPr>
              <w:jc w:val="right"/>
              <w:ind w:right="17"/>
              <w:spacing w:after="0" w:line="135" w:lineRule="exact"/>
              <w:rPr>
                <w:sz w:val="20"/>
                <w:szCs w:val="20"/>
                <w:color w:val="auto"/>
              </w:rPr>
            </w:pPr>
            <w:r>
              <w:rPr>
                <w:rFonts w:ascii="Arial" w:cs="Arial" w:eastAsia="Arial" w:hAnsi="Arial"/>
                <w:sz w:val="13"/>
                <w:szCs w:val="13"/>
                <w:color w:val="auto"/>
                <w:w w:val="95"/>
              </w:rPr>
              <w:t>23,148,254</w:t>
            </w:r>
          </w:p>
        </w:tc>
        <w:tc>
          <w:tcPr>
            <w:tcW w:w="92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$ 22,444,409</w:t>
            </w:r>
          </w:p>
        </w:tc>
        <w:tc>
          <w:tcPr>
            <w:tcW w:w="80" w:type="dxa"/>
            <w:vAlign w:val="bottom"/>
          </w:tcPr>
          <w:p>
            <w:pPr>
              <w:jc w:val="right"/>
              <w:spacing w:after="0" w:line="135" w:lineRule="exact"/>
              <w:rPr>
                <w:sz w:val="20"/>
                <w:szCs w:val="20"/>
                <w:color w:val="auto"/>
              </w:rPr>
            </w:pPr>
            <w:r>
              <w:rPr>
                <w:rFonts w:ascii="Arial" w:cs="Arial" w:eastAsia="Arial" w:hAnsi="Arial"/>
                <w:sz w:val="13"/>
                <w:szCs w:val="13"/>
                <w:color w:val="auto"/>
                <w:w w:val="82"/>
              </w:rPr>
              <w:t>$</w:t>
            </w: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23,611,219</w:t>
            </w:r>
          </w:p>
        </w:tc>
        <w:tc>
          <w:tcPr>
            <w:tcW w:w="0" w:type="dxa"/>
            <w:vAlign w:val="bottom"/>
          </w:tcPr>
          <w:p>
            <w:pPr>
              <w:spacing w:after="0"/>
              <w:rPr>
                <w:sz w:val="1"/>
                <w:szCs w:val="1"/>
                <w:color w:val="auto"/>
              </w:rPr>
            </w:pPr>
          </w:p>
        </w:tc>
      </w:tr>
      <w:tr>
        <w:trPr>
          <w:trHeight w:val="135"/>
        </w:trPr>
        <w:tc>
          <w:tcPr>
            <w:tcW w:w="34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AKA Diversified Holdings, Inc.</w:t>
            </w:r>
          </w:p>
        </w:tc>
        <w:tc>
          <w:tcPr>
            <w:tcW w:w="1280" w:type="dxa"/>
            <w:vAlign w:val="bottom"/>
            <w:shd w:val="clear" w:color="auto" w:fill="CCEEFF"/>
          </w:tcPr>
          <w:p>
            <w:pPr>
              <w:ind w:left="640"/>
              <w:spacing w:after="0" w:line="135" w:lineRule="exact"/>
              <w:rPr>
                <w:sz w:val="20"/>
                <w:szCs w:val="20"/>
                <w:color w:val="auto"/>
              </w:rPr>
            </w:pPr>
            <w:r>
              <w:rPr>
                <w:rFonts w:ascii="Arial" w:cs="Arial" w:eastAsia="Arial" w:hAnsi="Arial"/>
                <w:sz w:val="13"/>
                <w:szCs w:val="13"/>
                <w:color w:val="auto"/>
                <w:w w:val="95"/>
              </w:rPr>
              <w:t>04/02/2018</w:t>
            </w:r>
          </w:p>
        </w:tc>
        <w:tc>
          <w:tcPr>
            <w:tcW w:w="18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Retail</w:t>
            </w:r>
          </w:p>
        </w:tc>
        <w:tc>
          <w:tcPr>
            <w:tcW w:w="94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11.92%</w:t>
            </w:r>
          </w:p>
        </w:tc>
        <w:tc>
          <w:tcPr>
            <w:tcW w:w="10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L+1,175</w:t>
            </w:r>
            <w:r>
              <w:rPr>
                <w:rFonts w:ascii="Arial" w:cs="Arial" w:eastAsia="Arial" w:hAnsi="Arial"/>
                <w:sz w:val="10"/>
                <w:szCs w:val="10"/>
                <w:color w:val="auto"/>
              </w:rPr>
              <w:t>(8)</w:t>
            </w:r>
          </w:p>
        </w:tc>
        <w:tc>
          <w:tcPr>
            <w:tcW w:w="72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w w:val="95"/>
              </w:rPr>
              <w:t>37,893,566</w:t>
            </w:r>
          </w:p>
        </w:tc>
        <w:tc>
          <w:tcPr>
            <w:tcW w:w="92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37,164,965</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38,279,179</w:t>
            </w:r>
          </w:p>
        </w:tc>
        <w:tc>
          <w:tcPr>
            <w:tcW w:w="0" w:type="dxa"/>
            <w:vAlign w:val="bottom"/>
          </w:tcPr>
          <w:p>
            <w:pPr>
              <w:spacing w:after="0"/>
              <w:rPr>
                <w:sz w:val="1"/>
                <w:szCs w:val="1"/>
                <w:color w:val="auto"/>
              </w:rPr>
            </w:pPr>
          </w:p>
        </w:tc>
      </w:tr>
      <w:tr>
        <w:trPr>
          <w:trHeight w:val="135"/>
        </w:trPr>
        <w:tc>
          <w:tcPr>
            <w:tcW w:w="3420" w:type="dxa"/>
            <w:vAlign w:val="bottom"/>
          </w:tcPr>
          <w:p>
            <w:pPr>
              <w:spacing w:after="0" w:line="135" w:lineRule="exact"/>
              <w:rPr>
                <w:sz w:val="20"/>
                <w:szCs w:val="20"/>
                <w:color w:val="auto"/>
              </w:rPr>
            </w:pPr>
            <w:r>
              <w:rPr>
                <w:rFonts w:ascii="Arial" w:cs="Arial" w:eastAsia="Arial" w:hAnsi="Arial"/>
                <w:sz w:val="13"/>
                <w:szCs w:val="13"/>
                <w:color w:val="auto"/>
              </w:rPr>
              <w:t xml:space="preserve">AKA Diversified Holdings, Inc. (Revolver) </w:t>
            </w:r>
            <w:r>
              <w:rPr>
                <w:rFonts w:ascii="Arial" w:cs="Arial" w:eastAsia="Arial" w:hAnsi="Arial"/>
                <w:sz w:val="10"/>
                <w:szCs w:val="10"/>
                <w:color w:val="auto"/>
              </w:rPr>
              <w:t>(9)</w:t>
            </w:r>
          </w:p>
        </w:tc>
        <w:tc>
          <w:tcPr>
            <w:tcW w:w="1280" w:type="dxa"/>
            <w:vAlign w:val="bottom"/>
          </w:tcPr>
          <w:p>
            <w:pPr>
              <w:ind w:left="640"/>
              <w:spacing w:after="0" w:line="135" w:lineRule="exact"/>
              <w:rPr>
                <w:sz w:val="20"/>
                <w:szCs w:val="20"/>
                <w:color w:val="auto"/>
              </w:rPr>
            </w:pPr>
            <w:r>
              <w:rPr>
                <w:rFonts w:ascii="Arial" w:cs="Arial" w:eastAsia="Arial" w:hAnsi="Arial"/>
                <w:sz w:val="13"/>
                <w:szCs w:val="13"/>
                <w:color w:val="auto"/>
                <w:w w:val="95"/>
              </w:rPr>
              <w:t>04/02/2018</w:t>
            </w:r>
          </w:p>
        </w:tc>
        <w:tc>
          <w:tcPr>
            <w:tcW w:w="1840" w:type="dxa"/>
            <w:vAlign w:val="bottom"/>
          </w:tcPr>
          <w:p>
            <w:pPr>
              <w:jc w:val="center"/>
              <w:spacing w:after="0" w:line="135" w:lineRule="exact"/>
              <w:rPr>
                <w:sz w:val="20"/>
                <w:szCs w:val="20"/>
                <w:color w:val="auto"/>
              </w:rPr>
            </w:pPr>
            <w:r>
              <w:rPr>
                <w:rFonts w:ascii="Arial" w:cs="Arial" w:eastAsia="Arial" w:hAnsi="Arial"/>
                <w:sz w:val="13"/>
                <w:szCs w:val="13"/>
                <w:color w:val="auto"/>
                <w:w w:val="90"/>
              </w:rPr>
              <w:t>Retail</w:t>
            </w:r>
          </w:p>
        </w:tc>
        <w:tc>
          <w:tcPr>
            <w:tcW w:w="940" w:type="dxa"/>
            <w:vAlign w:val="bottom"/>
          </w:tcPr>
          <w:p>
            <w:pPr>
              <w:jc w:val="right"/>
              <w:ind w:right="217"/>
              <w:spacing w:after="0" w:line="135" w:lineRule="exact"/>
              <w:rPr>
                <w:sz w:val="20"/>
                <w:szCs w:val="20"/>
                <w:color w:val="auto"/>
              </w:rPr>
            </w:pPr>
            <w:r>
              <w:rPr>
                <w:rFonts w:ascii="Arial" w:cs="Arial" w:eastAsia="Arial" w:hAnsi="Arial"/>
                <w:sz w:val="13"/>
                <w:szCs w:val="13"/>
                <w:color w:val="auto"/>
              </w:rPr>
              <w:t>—</w:t>
            </w:r>
          </w:p>
        </w:tc>
        <w:tc>
          <w:tcPr>
            <w:tcW w:w="106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720" w:type="dxa"/>
            <w:vAlign w:val="bottom"/>
          </w:tcPr>
          <w:p>
            <w:pPr>
              <w:jc w:val="right"/>
              <w:ind w:right="17"/>
              <w:spacing w:after="0" w:line="135" w:lineRule="exact"/>
              <w:rPr>
                <w:sz w:val="20"/>
                <w:szCs w:val="20"/>
                <w:color w:val="auto"/>
              </w:rPr>
            </w:pPr>
            <w:r>
              <w:rPr>
                <w:rFonts w:ascii="Arial" w:cs="Arial" w:eastAsia="Arial" w:hAnsi="Arial"/>
                <w:sz w:val="13"/>
                <w:szCs w:val="13"/>
                <w:color w:val="auto"/>
              </w:rPr>
              <w:t>7,500,000</w:t>
            </w:r>
          </w:p>
        </w:tc>
        <w:tc>
          <w:tcPr>
            <w:tcW w:w="80" w:type="dxa"/>
            <w:vAlign w:val="bottom"/>
          </w:tcPr>
          <w:p>
            <w:pPr>
              <w:spacing w:after="0"/>
              <w:rPr>
                <w:sz w:val="11"/>
                <w:szCs w:val="11"/>
                <w:color w:val="auto"/>
              </w:rPr>
            </w:pPr>
          </w:p>
        </w:tc>
        <w:tc>
          <w:tcPr>
            <w:tcW w:w="8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4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AP Gaming I, LLC</w:t>
            </w:r>
          </w:p>
        </w:tc>
        <w:tc>
          <w:tcPr>
            <w:tcW w:w="1280" w:type="dxa"/>
            <w:vAlign w:val="bottom"/>
            <w:shd w:val="clear" w:color="auto" w:fill="CCEEFF"/>
          </w:tcPr>
          <w:p>
            <w:pPr>
              <w:ind w:left="640"/>
              <w:spacing w:after="0" w:line="135" w:lineRule="exact"/>
              <w:rPr>
                <w:sz w:val="20"/>
                <w:szCs w:val="20"/>
                <w:color w:val="auto"/>
              </w:rPr>
            </w:pPr>
            <w:r>
              <w:rPr>
                <w:rFonts w:ascii="Arial" w:cs="Arial" w:eastAsia="Arial" w:hAnsi="Arial"/>
                <w:sz w:val="13"/>
                <w:szCs w:val="13"/>
                <w:color w:val="auto"/>
                <w:w w:val="95"/>
              </w:rPr>
              <w:t>12/21/2020</w:t>
            </w:r>
          </w:p>
        </w:tc>
        <w:tc>
          <w:tcPr>
            <w:tcW w:w="18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Hotels, Motels, Inns and Gaming</w:t>
            </w:r>
          </w:p>
        </w:tc>
        <w:tc>
          <w:tcPr>
            <w:tcW w:w="94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9.25%</w:t>
            </w:r>
          </w:p>
        </w:tc>
        <w:tc>
          <w:tcPr>
            <w:tcW w:w="106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L+825</w:t>
            </w:r>
          </w:p>
        </w:tc>
        <w:tc>
          <w:tcPr>
            <w:tcW w:w="72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5,197,500</w:t>
            </w:r>
          </w:p>
        </w:tc>
        <w:tc>
          <w:tcPr>
            <w:tcW w:w="92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5,056,973</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5,171,512</w:t>
            </w:r>
          </w:p>
        </w:tc>
        <w:tc>
          <w:tcPr>
            <w:tcW w:w="0" w:type="dxa"/>
            <w:vAlign w:val="bottom"/>
          </w:tcPr>
          <w:p>
            <w:pPr>
              <w:spacing w:after="0"/>
              <w:rPr>
                <w:sz w:val="1"/>
                <w:szCs w:val="1"/>
                <w:color w:val="auto"/>
              </w:rPr>
            </w:pPr>
          </w:p>
        </w:tc>
      </w:tr>
      <w:tr>
        <w:trPr>
          <w:trHeight w:val="135"/>
        </w:trPr>
        <w:tc>
          <w:tcPr>
            <w:tcW w:w="3420" w:type="dxa"/>
            <w:vAlign w:val="bottom"/>
          </w:tcPr>
          <w:p>
            <w:pPr>
              <w:spacing w:after="0" w:line="135" w:lineRule="exact"/>
              <w:rPr>
                <w:sz w:val="20"/>
                <w:szCs w:val="20"/>
                <w:color w:val="auto"/>
              </w:rPr>
            </w:pPr>
            <w:r>
              <w:rPr>
                <w:rFonts w:ascii="Arial" w:cs="Arial" w:eastAsia="Arial" w:hAnsi="Arial"/>
                <w:sz w:val="13"/>
                <w:szCs w:val="13"/>
                <w:color w:val="auto"/>
              </w:rPr>
              <w:t>Hollander Sleep Products, LLC</w:t>
            </w:r>
          </w:p>
        </w:tc>
        <w:tc>
          <w:tcPr>
            <w:tcW w:w="1280" w:type="dxa"/>
            <w:vAlign w:val="bottom"/>
          </w:tcPr>
          <w:p>
            <w:pPr>
              <w:ind w:left="640"/>
              <w:spacing w:after="0" w:line="135" w:lineRule="exact"/>
              <w:rPr>
                <w:sz w:val="20"/>
                <w:szCs w:val="20"/>
                <w:color w:val="auto"/>
              </w:rPr>
            </w:pPr>
            <w:r>
              <w:rPr>
                <w:rFonts w:ascii="Arial" w:cs="Arial" w:eastAsia="Arial" w:hAnsi="Arial"/>
                <w:sz w:val="13"/>
                <w:szCs w:val="13"/>
                <w:color w:val="auto"/>
                <w:w w:val="95"/>
              </w:rPr>
              <w:t>10/21/2020</w:t>
            </w:r>
          </w:p>
        </w:tc>
        <w:tc>
          <w:tcPr>
            <w:tcW w:w="1840" w:type="dxa"/>
            <w:vAlign w:val="bottom"/>
          </w:tcPr>
          <w:p>
            <w:pPr>
              <w:jc w:val="center"/>
              <w:spacing w:after="0" w:line="135" w:lineRule="exact"/>
              <w:rPr>
                <w:sz w:val="20"/>
                <w:szCs w:val="20"/>
                <w:color w:val="auto"/>
              </w:rPr>
            </w:pPr>
            <w:r>
              <w:rPr>
                <w:rFonts w:ascii="Arial" w:cs="Arial" w:eastAsia="Arial" w:hAnsi="Arial"/>
                <w:sz w:val="13"/>
                <w:szCs w:val="13"/>
                <w:color w:val="auto"/>
                <w:w w:val="87"/>
              </w:rPr>
              <w:t>Consumer Products</w:t>
            </w:r>
          </w:p>
        </w:tc>
        <w:tc>
          <w:tcPr>
            <w:tcW w:w="94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9.00%</w:t>
            </w:r>
          </w:p>
        </w:tc>
        <w:tc>
          <w:tcPr>
            <w:tcW w:w="106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L+800</w:t>
            </w:r>
          </w:p>
        </w:tc>
        <w:tc>
          <w:tcPr>
            <w:tcW w:w="720" w:type="dxa"/>
            <w:vAlign w:val="bottom"/>
          </w:tcPr>
          <w:p>
            <w:pPr>
              <w:jc w:val="right"/>
              <w:ind w:right="17"/>
              <w:spacing w:after="0" w:line="135" w:lineRule="exact"/>
              <w:rPr>
                <w:sz w:val="20"/>
                <w:szCs w:val="20"/>
                <w:color w:val="auto"/>
              </w:rPr>
            </w:pPr>
            <w:r>
              <w:rPr>
                <w:rFonts w:ascii="Arial" w:cs="Arial" w:eastAsia="Arial" w:hAnsi="Arial"/>
                <w:sz w:val="13"/>
                <w:szCs w:val="13"/>
                <w:color w:val="auto"/>
              </w:rPr>
              <w:t>4,500,000</w:t>
            </w:r>
          </w:p>
        </w:tc>
        <w:tc>
          <w:tcPr>
            <w:tcW w:w="92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4,433,385</w:t>
            </w: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4,455,000</w:t>
            </w:r>
          </w:p>
        </w:tc>
        <w:tc>
          <w:tcPr>
            <w:tcW w:w="0" w:type="dxa"/>
            <w:vAlign w:val="bottom"/>
          </w:tcPr>
          <w:p>
            <w:pPr>
              <w:spacing w:after="0"/>
              <w:rPr>
                <w:sz w:val="1"/>
                <w:szCs w:val="1"/>
                <w:color w:val="auto"/>
              </w:rPr>
            </w:pPr>
          </w:p>
        </w:tc>
      </w:tr>
      <w:tr>
        <w:trPr>
          <w:trHeight w:val="135"/>
        </w:trPr>
        <w:tc>
          <w:tcPr>
            <w:tcW w:w="34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IDQ Holdings, Inc. </w:t>
            </w:r>
            <w:r>
              <w:rPr>
                <w:rFonts w:ascii="Arial" w:cs="Arial" w:eastAsia="Arial" w:hAnsi="Arial"/>
                <w:sz w:val="10"/>
                <w:szCs w:val="10"/>
                <w:color w:val="auto"/>
              </w:rPr>
              <w:t>(5)</w:t>
            </w:r>
          </w:p>
        </w:tc>
        <w:tc>
          <w:tcPr>
            <w:tcW w:w="1280" w:type="dxa"/>
            <w:vAlign w:val="bottom"/>
            <w:shd w:val="clear" w:color="auto" w:fill="CCEEFF"/>
          </w:tcPr>
          <w:p>
            <w:pPr>
              <w:ind w:left="640"/>
              <w:spacing w:after="0" w:line="135" w:lineRule="exact"/>
              <w:rPr>
                <w:sz w:val="20"/>
                <w:szCs w:val="20"/>
                <w:color w:val="auto"/>
              </w:rPr>
            </w:pPr>
            <w:r>
              <w:rPr>
                <w:rFonts w:ascii="Arial" w:cs="Arial" w:eastAsia="Arial" w:hAnsi="Arial"/>
                <w:sz w:val="13"/>
                <w:szCs w:val="13"/>
                <w:color w:val="auto"/>
                <w:w w:val="95"/>
              </w:rPr>
              <w:t>03/30/2017</w:t>
            </w:r>
          </w:p>
        </w:tc>
        <w:tc>
          <w:tcPr>
            <w:tcW w:w="18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Auto Sector</w:t>
            </w:r>
          </w:p>
        </w:tc>
        <w:tc>
          <w:tcPr>
            <w:tcW w:w="94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11.50%</w:t>
            </w:r>
          </w:p>
        </w:tc>
        <w:tc>
          <w:tcPr>
            <w:tcW w:w="106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w w:val="95"/>
              </w:rPr>
              <w:t>11,500,000</w:t>
            </w:r>
          </w:p>
        </w:tc>
        <w:tc>
          <w:tcPr>
            <w:tcW w:w="92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11,381,650</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12,190,000</w:t>
            </w:r>
          </w:p>
        </w:tc>
        <w:tc>
          <w:tcPr>
            <w:tcW w:w="0" w:type="dxa"/>
            <w:vAlign w:val="bottom"/>
          </w:tcPr>
          <w:p>
            <w:pPr>
              <w:spacing w:after="0"/>
              <w:rPr>
                <w:sz w:val="1"/>
                <w:szCs w:val="1"/>
                <w:color w:val="auto"/>
              </w:rPr>
            </w:pPr>
          </w:p>
        </w:tc>
      </w:tr>
      <w:tr>
        <w:trPr>
          <w:trHeight w:val="121"/>
        </w:trPr>
        <w:tc>
          <w:tcPr>
            <w:tcW w:w="3420" w:type="dxa"/>
            <w:vAlign w:val="bottom"/>
          </w:tcPr>
          <w:p>
            <w:pPr>
              <w:spacing w:after="0" w:line="121" w:lineRule="exact"/>
              <w:rPr>
                <w:sz w:val="20"/>
                <w:szCs w:val="20"/>
                <w:color w:val="auto"/>
              </w:rPr>
            </w:pPr>
            <w:r>
              <w:rPr>
                <w:rFonts w:ascii="Arial" w:cs="Arial" w:eastAsia="Arial" w:hAnsi="Arial"/>
                <w:sz w:val="13"/>
                <w:szCs w:val="13"/>
                <w:color w:val="auto"/>
              </w:rPr>
              <w:t>InfuSystem Holdings, Inc.</w:t>
            </w:r>
          </w:p>
        </w:tc>
        <w:tc>
          <w:tcPr>
            <w:tcW w:w="1280" w:type="dxa"/>
            <w:vAlign w:val="bottom"/>
          </w:tcPr>
          <w:p>
            <w:pPr>
              <w:ind w:left="660"/>
              <w:spacing w:after="0" w:line="121" w:lineRule="exact"/>
              <w:rPr>
                <w:sz w:val="20"/>
                <w:szCs w:val="20"/>
                <w:color w:val="auto"/>
              </w:rPr>
            </w:pPr>
            <w:r>
              <w:rPr>
                <w:rFonts w:ascii="Arial" w:cs="Arial" w:eastAsia="Arial" w:hAnsi="Arial"/>
                <w:sz w:val="13"/>
                <w:szCs w:val="13"/>
                <w:color w:val="auto"/>
                <w:w w:val="92"/>
              </w:rPr>
              <w:t>11/30/2016</w:t>
            </w:r>
          </w:p>
        </w:tc>
        <w:tc>
          <w:tcPr>
            <w:tcW w:w="1840" w:type="dxa"/>
            <w:vAlign w:val="bottom"/>
          </w:tcPr>
          <w:p>
            <w:pPr>
              <w:jc w:val="center"/>
              <w:spacing w:after="0" w:line="121" w:lineRule="exact"/>
              <w:rPr>
                <w:sz w:val="20"/>
                <w:szCs w:val="20"/>
                <w:color w:val="auto"/>
              </w:rPr>
            </w:pPr>
            <w:r>
              <w:rPr>
                <w:rFonts w:ascii="Arial" w:cs="Arial" w:eastAsia="Arial" w:hAnsi="Arial"/>
                <w:sz w:val="13"/>
                <w:szCs w:val="13"/>
                <w:color w:val="auto"/>
                <w:w w:val="86"/>
              </w:rPr>
              <w:t>Healthcare, Education and</w:t>
            </w:r>
          </w:p>
        </w:tc>
        <w:tc>
          <w:tcPr>
            <w:tcW w:w="940" w:type="dxa"/>
            <w:vAlign w:val="bottom"/>
          </w:tcPr>
          <w:p>
            <w:pPr>
              <w:jc w:val="right"/>
              <w:ind w:right="117"/>
              <w:spacing w:after="0" w:line="121" w:lineRule="exact"/>
              <w:rPr>
                <w:sz w:val="20"/>
                <w:szCs w:val="20"/>
                <w:color w:val="auto"/>
              </w:rPr>
            </w:pPr>
            <w:r>
              <w:rPr>
                <w:rFonts w:ascii="Arial" w:cs="Arial" w:eastAsia="Arial" w:hAnsi="Arial"/>
                <w:sz w:val="13"/>
                <w:szCs w:val="13"/>
                <w:color w:val="auto"/>
              </w:rPr>
              <w:t>12.56%</w:t>
            </w:r>
          </w:p>
        </w:tc>
        <w:tc>
          <w:tcPr>
            <w:tcW w:w="1060" w:type="dxa"/>
            <w:vAlign w:val="bottom"/>
          </w:tcPr>
          <w:p>
            <w:pPr>
              <w:jc w:val="right"/>
              <w:ind w:right="157"/>
              <w:spacing w:after="0" w:line="121" w:lineRule="exact"/>
              <w:rPr>
                <w:sz w:val="20"/>
                <w:szCs w:val="20"/>
                <w:color w:val="auto"/>
              </w:rPr>
            </w:pPr>
            <w:r>
              <w:rPr>
                <w:rFonts w:ascii="Arial" w:cs="Arial" w:eastAsia="Arial" w:hAnsi="Arial"/>
                <w:sz w:val="13"/>
                <w:szCs w:val="13"/>
                <w:color w:val="auto"/>
              </w:rPr>
              <w:t>P+931</w:t>
            </w:r>
          </w:p>
        </w:tc>
        <w:tc>
          <w:tcPr>
            <w:tcW w:w="720" w:type="dxa"/>
            <w:vAlign w:val="bottom"/>
          </w:tcPr>
          <w:p>
            <w:pPr>
              <w:jc w:val="right"/>
              <w:ind w:right="17"/>
              <w:spacing w:after="0" w:line="121" w:lineRule="exact"/>
              <w:rPr>
                <w:sz w:val="20"/>
                <w:szCs w:val="20"/>
                <w:color w:val="auto"/>
              </w:rPr>
            </w:pPr>
            <w:r>
              <w:rPr>
                <w:rFonts w:ascii="Arial" w:cs="Arial" w:eastAsia="Arial" w:hAnsi="Arial"/>
                <w:sz w:val="13"/>
                <w:szCs w:val="13"/>
                <w:color w:val="auto"/>
              </w:rPr>
              <w:t>8,000,000</w:t>
            </w:r>
          </w:p>
        </w:tc>
        <w:tc>
          <w:tcPr>
            <w:tcW w:w="920" w:type="dxa"/>
            <w:vAlign w:val="bottom"/>
            <w:gridSpan w:val="3"/>
          </w:tcPr>
          <w:p>
            <w:pPr>
              <w:jc w:val="right"/>
              <w:ind w:right="140"/>
              <w:spacing w:after="0" w:line="121" w:lineRule="exact"/>
              <w:rPr>
                <w:sz w:val="20"/>
                <w:szCs w:val="20"/>
                <w:color w:val="auto"/>
              </w:rPr>
            </w:pPr>
            <w:r>
              <w:rPr>
                <w:rFonts w:ascii="Arial" w:cs="Arial" w:eastAsia="Arial" w:hAnsi="Arial"/>
                <w:sz w:val="13"/>
                <w:szCs w:val="13"/>
                <w:color w:val="auto"/>
              </w:rPr>
              <w:t>8,000,000</w:t>
            </w:r>
          </w:p>
        </w:tc>
        <w:tc>
          <w:tcPr>
            <w:tcW w:w="80" w:type="dxa"/>
            <w:vAlign w:val="bottom"/>
          </w:tcPr>
          <w:p>
            <w:pPr>
              <w:spacing w:after="0"/>
              <w:rPr>
                <w:sz w:val="10"/>
                <w:szCs w:val="10"/>
                <w:color w:val="auto"/>
              </w:rPr>
            </w:pPr>
          </w:p>
        </w:tc>
        <w:tc>
          <w:tcPr>
            <w:tcW w:w="98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8,170,594</w:t>
            </w: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40" w:type="dxa"/>
            <w:vAlign w:val="bottom"/>
          </w:tcPr>
          <w:p>
            <w:pPr>
              <w:jc w:val="center"/>
              <w:spacing w:after="0"/>
              <w:rPr>
                <w:sz w:val="20"/>
                <w:szCs w:val="20"/>
                <w:color w:val="auto"/>
              </w:rPr>
            </w:pPr>
            <w:r>
              <w:rPr>
                <w:rFonts w:ascii="Arial" w:cs="Arial" w:eastAsia="Arial" w:hAnsi="Arial"/>
                <w:sz w:val="13"/>
                <w:szCs w:val="13"/>
                <w:color w:val="auto"/>
                <w:w w:val="87"/>
              </w:rPr>
              <w:t>Childcare</w:t>
            </w:r>
          </w:p>
        </w:tc>
        <w:tc>
          <w:tcPr>
            <w:tcW w:w="9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42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Jackson Hewitt Tax Service Inc.</w:t>
            </w:r>
          </w:p>
        </w:tc>
        <w:tc>
          <w:tcPr>
            <w:tcW w:w="1280" w:type="dxa"/>
            <w:vAlign w:val="bottom"/>
            <w:shd w:val="clear" w:color="auto" w:fill="CCEEFF"/>
          </w:tcPr>
          <w:p>
            <w:pPr>
              <w:ind w:left="640"/>
              <w:spacing w:after="0" w:line="121" w:lineRule="exact"/>
              <w:rPr>
                <w:sz w:val="20"/>
                <w:szCs w:val="20"/>
                <w:color w:val="auto"/>
              </w:rPr>
            </w:pPr>
            <w:r>
              <w:rPr>
                <w:rFonts w:ascii="Arial" w:cs="Arial" w:eastAsia="Arial" w:hAnsi="Arial"/>
                <w:sz w:val="13"/>
                <w:szCs w:val="13"/>
                <w:color w:val="auto"/>
                <w:w w:val="95"/>
              </w:rPr>
              <w:t>10/16/2017</w:t>
            </w:r>
          </w:p>
        </w:tc>
        <w:tc>
          <w:tcPr>
            <w:tcW w:w="184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4"/>
              </w:rPr>
              <w:t>Personal, Food and</w:t>
            </w:r>
          </w:p>
        </w:tc>
        <w:tc>
          <w:tcPr>
            <w:tcW w:w="940" w:type="dxa"/>
            <w:vAlign w:val="bottom"/>
            <w:shd w:val="clear" w:color="auto" w:fill="CCEEFF"/>
          </w:tcPr>
          <w:p>
            <w:pPr>
              <w:jc w:val="right"/>
              <w:ind w:right="117"/>
              <w:spacing w:after="0" w:line="121" w:lineRule="exact"/>
              <w:rPr>
                <w:sz w:val="20"/>
                <w:szCs w:val="20"/>
                <w:color w:val="auto"/>
              </w:rPr>
            </w:pPr>
            <w:r>
              <w:rPr>
                <w:rFonts w:ascii="Arial" w:cs="Arial" w:eastAsia="Arial" w:hAnsi="Arial"/>
                <w:sz w:val="13"/>
                <w:szCs w:val="13"/>
                <w:color w:val="auto"/>
              </w:rPr>
              <w:t>10.00%</w:t>
            </w:r>
          </w:p>
        </w:tc>
        <w:tc>
          <w:tcPr>
            <w:tcW w:w="1060" w:type="dxa"/>
            <w:vAlign w:val="bottom"/>
            <w:shd w:val="clear" w:color="auto" w:fill="CCEEFF"/>
          </w:tcPr>
          <w:p>
            <w:pPr>
              <w:jc w:val="right"/>
              <w:ind w:right="157"/>
              <w:spacing w:after="0" w:line="121" w:lineRule="exact"/>
              <w:rPr>
                <w:sz w:val="20"/>
                <w:szCs w:val="20"/>
                <w:color w:val="auto"/>
              </w:rPr>
            </w:pPr>
            <w:r>
              <w:rPr>
                <w:rFonts w:ascii="Arial" w:cs="Arial" w:eastAsia="Arial" w:hAnsi="Arial"/>
                <w:sz w:val="13"/>
                <w:szCs w:val="13"/>
                <w:color w:val="auto"/>
              </w:rPr>
              <w:t>L+850</w:t>
            </w:r>
          </w:p>
        </w:tc>
        <w:tc>
          <w:tcPr>
            <w:tcW w:w="72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rPr>
              <w:t>7,777,902</w:t>
            </w:r>
          </w:p>
        </w:tc>
        <w:tc>
          <w:tcPr>
            <w:tcW w:w="920" w:type="dxa"/>
            <w:vAlign w:val="bottom"/>
            <w:gridSpan w:val="3"/>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7,773,854</w:t>
            </w:r>
          </w:p>
        </w:tc>
        <w:tc>
          <w:tcPr>
            <w:tcW w:w="8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7,739,012</w:t>
            </w:r>
          </w:p>
        </w:tc>
        <w:tc>
          <w:tcPr>
            <w:tcW w:w="0" w:type="dxa"/>
            <w:vAlign w:val="bottom"/>
          </w:tcPr>
          <w:p>
            <w:pPr>
              <w:spacing w:after="0"/>
              <w:rPr>
                <w:sz w:val="1"/>
                <w:szCs w:val="1"/>
                <w:color w:val="auto"/>
              </w:rPr>
            </w:pPr>
          </w:p>
        </w:tc>
      </w:tr>
      <w:tr>
        <w:trPr>
          <w:trHeight w:val="149"/>
        </w:trPr>
        <w:tc>
          <w:tcPr>
            <w:tcW w:w="34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Miscellaneous Services</w:t>
            </w:r>
          </w:p>
        </w:tc>
        <w:tc>
          <w:tcPr>
            <w:tcW w:w="9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420" w:type="dxa"/>
            <w:vAlign w:val="bottom"/>
          </w:tcPr>
          <w:p>
            <w:pPr>
              <w:spacing w:after="0" w:line="135" w:lineRule="exact"/>
              <w:rPr>
                <w:sz w:val="20"/>
                <w:szCs w:val="20"/>
                <w:color w:val="auto"/>
              </w:rPr>
            </w:pPr>
            <w:r>
              <w:rPr>
                <w:rFonts w:ascii="Arial" w:cs="Arial" w:eastAsia="Arial" w:hAnsi="Arial"/>
                <w:sz w:val="13"/>
                <w:szCs w:val="13"/>
                <w:color w:val="auto"/>
              </w:rPr>
              <w:t>K2 Pure Solutions NoCal, L.P.</w:t>
            </w:r>
          </w:p>
        </w:tc>
        <w:tc>
          <w:tcPr>
            <w:tcW w:w="1280" w:type="dxa"/>
            <w:vAlign w:val="bottom"/>
          </w:tcPr>
          <w:p>
            <w:pPr>
              <w:ind w:left="640"/>
              <w:spacing w:after="0" w:line="135" w:lineRule="exact"/>
              <w:rPr>
                <w:sz w:val="20"/>
                <w:szCs w:val="20"/>
                <w:color w:val="auto"/>
              </w:rPr>
            </w:pPr>
            <w:r>
              <w:rPr>
                <w:rFonts w:ascii="Arial" w:cs="Arial" w:eastAsia="Arial" w:hAnsi="Arial"/>
                <w:sz w:val="13"/>
                <w:szCs w:val="13"/>
                <w:color w:val="auto"/>
                <w:w w:val="95"/>
              </w:rPr>
              <w:t>08/19/2019</w:t>
            </w:r>
          </w:p>
        </w:tc>
        <w:tc>
          <w:tcPr>
            <w:tcW w:w="1840" w:type="dxa"/>
            <w:vAlign w:val="bottom"/>
          </w:tcPr>
          <w:p>
            <w:pPr>
              <w:jc w:val="center"/>
              <w:spacing w:after="0" w:line="135" w:lineRule="exact"/>
              <w:rPr>
                <w:sz w:val="20"/>
                <w:szCs w:val="20"/>
                <w:color w:val="auto"/>
              </w:rPr>
            </w:pPr>
            <w:r>
              <w:rPr>
                <w:rFonts w:ascii="Arial" w:cs="Arial" w:eastAsia="Arial" w:hAnsi="Arial"/>
                <w:sz w:val="13"/>
                <w:szCs w:val="13"/>
                <w:color w:val="auto"/>
                <w:w w:val="86"/>
              </w:rPr>
              <w:t>Chemicals, Plastics and Rubber</w:t>
            </w:r>
          </w:p>
        </w:tc>
        <w:tc>
          <w:tcPr>
            <w:tcW w:w="94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10.00%</w:t>
            </w:r>
          </w:p>
        </w:tc>
        <w:tc>
          <w:tcPr>
            <w:tcW w:w="106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L+900</w:t>
            </w:r>
          </w:p>
        </w:tc>
        <w:tc>
          <w:tcPr>
            <w:tcW w:w="720" w:type="dxa"/>
            <w:vAlign w:val="bottom"/>
          </w:tcPr>
          <w:p>
            <w:pPr>
              <w:jc w:val="right"/>
              <w:ind w:right="17"/>
              <w:spacing w:after="0" w:line="135" w:lineRule="exact"/>
              <w:rPr>
                <w:sz w:val="20"/>
                <w:szCs w:val="20"/>
                <w:color w:val="auto"/>
              </w:rPr>
            </w:pPr>
            <w:r>
              <w:rPr>
                <w:rFonts w:ascii="Arial" w:cs="Arial" w:eastAsia="Arial" w:hAnsi="Arial"/>
                <w:sz w:val="13"/>
                <w:szCs w:val="13"/>
                <w:color w:val="auto"/>
                <w:w w:val="95"/>
              </w:rPr>
              <w:t>22,063,073</w:t>
            </w:r>
          </w:p>
        </w:tc>
        <w:tc>
          <w:tcPr>
            <w:tcW w:w="92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21,699,947</w:t>
            </w: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21,156,283</w:t>
            </w:r>
          </w:p>
        </w:tc>
        <w:tc>
          <w:tcPr>
            <w:tcW w:w="0" w:type="dxa"/>
            <w:vAlign w:val="bottom"/>
          </w:tcPr>
          <w:p>
            <w:pPr>
              <w:spacing w:after="0"/>
              <w:rPr>
                <w:sz w:val="1"/>
                <w:szCs w:val="1"/>
                <w:color w:val="auto"/>
              </w:rPr>
            </w:pPr>
          </w:p>
        </w:tc>
      </w:tr>
      <w:tr>
        <w:trPr>
          <w:trHeight w:val="135"/>
        </w:trPr>
        <w:tc>
          <w:tcPr>
            <w:tcW w:w="34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Linc USA GP and Linc Energy Finance (USA), Inc. </w:t>
            </w:r>
            <w:r>
              <w:rPr>
                <w:rFonts w:ascii="Arial" w:cs="Arial" w:eastAsia="Arial" w:hAnsi="Arial"/>
                <w:sz w:val="10"/>
                <w:szCs w:val="10"/>
                <w:color w:val="auto"/>
              </w:rPr>
              <w:t>(5)</w:t>
            </w:r>
          </w:p>
        </w:tc>
        <w:tc>
          <w:tcPr>
            <w:tcW w:w="1280" w:type="dxa"/>
            <w:vAlign w:val="bottom"/>
            <w:shd w:val="clear" w:color="auto" w:fill="CCEEFF"/>
          </w:tcPr>
          <w:p>
            <w:pPr>
              <w:ind w:left="640"/>
              <w:spacing w:after="0" w:line="135" w:lineRule="exact"/>
              <w:rPr>
                <w:sz w:val="20"/>
                <w:szCs w:val="20"/>
                <w:color w:val="auto"/>
              </w:rPr>
            </w:pPr>
            <w:r>
              <w:rPr>
                <w:rFonts w:ascii="Arial" w:cs="Arial" w:eastAsia="Arial" w:hAnsi="Arial"/>
                <w:sz w:val="13"/>
                <w:szCs w:val="13"/>
                <w:color w:val="auto"/>
                <w:w w:val="95"/>
              </w:rPr>
              <w:t>10/31/2017</w:t>
            </w:r>
          </w:p>
        </w:tc>
        <w:tc>
          <w:tcPr>
            <w:tcW w:w="18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Oil and Gas</w:t>
            </w:r>
          </w:p>
        </w:tc>
        <w:tc>
          <w:tcPr>
            <w:tcW w:w="94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9.63%</w:t>
            </w:r>
          </w:p>
        </w:tc>
        <w:tc>
          <w:tcPr>
            <w:tcW w:w="106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5,626,850</w:t>
            </w:r>
          </w:p>
        </w:tc>
        <w:tc>
          <w:tcPr>
            <w:tcW w:w="92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5,626,850</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5,317,373</w:t>
            </w:r>
          </w:p>
        </w:tc>
        <w:tc>
          <w:tcPr>
            <w:tcW w:w="0" w:type="dxa"/>
            <w:vAlign w:val="bottom"/>
          </w:tcPr>
          <w:p>
            <w:pPr>
              <w:spacing w:after="0"/>
              <w:rPr>
                <w:sz w:val="1"/>
                <w:szCs w:val="1"/>
                <w:color w:val="auto"/>
              </w:rPr>
            </w:pPr>
          </w:p>
        </w:tc>
      </w:tr>
      <w:tr>
        <w:trPr>
          <w:trHeight w:val="135"/>
        </w:trPr>
        <w:tc>
          <w:tcPr>
            <w:tcW w:w="3420" w:type="dxa"/>
            <w:vAlign w:val="bottom"/>
          </w:tcPr>
          <w:p>
            <w:pPr>
              <w:spacing w:after="0" w:line="135" w:lineRule="exact"/>
              <w:rPr>
                <w:sz w:val="20"/>
                <w:szCs w:val="20"/>
                <w:color w:val="auto"/>
              </w:rPr>
            </w:pPr>
            <w:r>
              <w:rPr>
                <w:rFonts w:ascii="Arial" w:cs="Arial" w:eastAsia="Arial" w:hAnsi="Arial"/>
                <w:sz w:val="13"/>
                <w:szCs w:val="13"/>
                <w:color w:val="auto"/>
              </w:rPr>
              <w:t>Patriot National, Inc.</w:t>
            </w:r>
          </w:p>
        </w:tc>
        <w:tc>
          <w:tcPr>
            <w:tcW w:w="1280" w:type="dxa"/>
            <w:vAlign w:val="bottom"/>
          </w:tcPr>
          <w:p>
            <w:pPr>
              <w:ind w:left="660"/>
              <w:spacing w:after="0" w:line="135" w:lineRule="exact"/>
              <w:rPr>
                <w:sz w:val="20"/>
                <w:szCs w:val="20"/>
                <w:color w:val="auto"/>
              </w:rPr>
            </w:pPr>
            <w:r>
              <w:rPr>
                <w:rFonts w:ascii="Arial" w:cs="Arial" w:eastAsia="Arial" w:hAnsi="Arial"/>
                <w:sz w:val="13"/>
                <w:szCs w:val="13"/>
                <w:color w:val="auto"/>
                <w:w w:val="92"/>
              </w:rPr>
              <w:t>11/27/2018</w:t>
            </w:r>
          </w:p>
        </w:tc>
        <w:tc>
          <w:tcPr>
            <w:tcW w:w="1840" w:type="dxa"/>
            <w:vAlign w:val="bottom"/>
          </w:tcPr>
          <w:p>
            <w:pPr>
              <w:jc w:val="center"/>
              <w:spacing w:after="0" w:line="135" w:lineRule="exact"/>
              <w:rPr>
                <w:sz w:val="20"/>
                <w:szCs w:val="20"/>
                <w:color w:val="auto"/>
              </w:rPr>
            </w:pPr>
            <w:r>
              <w:rPr>
                <w:rFonts w:ascii="Arial" w:cs="Arial" w:eastAsia="Arial" w:hAnsi="Arial"/>
                <w:sz w:val="13"/>
                <w:szCs w:val="13"/>
                <w:color w:val="auto"/>
                <w:w w:val="84"/>
              </w:rPr>
              <w:t>Insurance</w:t>
            </w:r>
          </w:p>
        </w:tc>
        <w:tc>
          <w:tcPr>
            <w:tcW w:w="94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12.50%</w:t>
            </w:r>
          </w:p>
        </w:tc>
        <w:tc>
          <w:tcPr>
            <w:tcW w:w="106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L+1,150</w:t>
            </w:r>
          </w:p>
        </w:tc>
        <w:tc>
          <w:tcPr>
            <w:tcW w:w="720" w:type="dxa"/>
            <w:vAlign w:val="bottom"/>
          </w:tcPr>
          <w:p>
            <w:pPr>
              <w:jc w:val="right"/>
              <w:ind w:right="17"/>
              <w:spacing w:after="0" w:line="135" w:lineRule="exact"/>
              <w:rPr>
                <w:sz w:val="20"/>
                <w:szCs w:val="20"/>
                <w:color w:val="auto"/>
              </w:rPr>
            </w:pPr>
            <w:r>
              <w:rPr>
                <w:rFonts w:ascii="Arial" w:cs="Arial" w:eastAsia="Arial" w:hAnsi="Arial"/>
                <w:sz w:val="13"/>
                <w:szCs w:val="13"/>
                <w:color w:val="auto"/>
                <w:w w:val="95"/>
              </w:rPr>
              <w:t>47,464,183</w:t>
            </w:r>
          </w:p>
        </w:tc>
        <w:tc>
          <w:tcPr>
            <w:tcW w:w="92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45,474,363</w:t>
            </w: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48,888,108</w:t>
            </w:r>
          </w:p>
        </w:tc>
        <w:tc>
          <w:tcPr>
            <w:tcW w:w="0" w:type="dxa"/>
            <w:vAlign w:val="bottom"/>
          </w:tcPr>
          <w:p>
            <w:pPr>
              <w:spacing w:after="0"/>
              <w:rPr>
                <w:sz w:val="1"/>
                <w:szCs w:val="1"/>
                <w:color w:val="auto"/>
              </w:rPr>
            </w:pPr>
          </w:p>
        </w:tc>
      </w:tr>
      <w:tr>
        <w:trPr>
          <w:trHeight w:val="121"/>
        </w:trPr>
        <w:tc>
          <w:tcPr>
            <w:tcW w:w="342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 xml:space="preserve">Prince Mineral Holding Corp. </w:t>
            </w:r>
            <w:r>
              <w:rPr>
                <w:rFonts w:ascii="Arial" w:cs="Arial" w:eastAsia="Arial" w:hAnsi="Arial"/>
                <w:sz w:val="10"/>
                <w:szCs w:val="10"/>
                <w:color w:val="auto"/>
              </w:rPr>
              <w:t>(5)</w:t>
            </w:r>
          </w:p>
        </w:tc>
        <w:tc>
          <w:tcPr>
            <w:tcW w:w="1280" w:type="dxa"/>
            <w:vAlign w:val="bottom"/>
            <w:shd w:val="clear" w:color="auto" w:fill="CCEEFF"/>
          </w:tcPr>
          <w:p>
            <w:pPr>
              <w:ind w:left="640"/>
              <w:spacing w:after="0" w:line="121" w:lineRule="exact"/>
              <w:rPr>
                <w:sz w:val="20"/>
                <w:szCs w:val="20"/>
                <w:color w:val="auto"/>
              </w:rPr>
            </w:pPr>
            <w:r>
              <w:rPr>
                <w:rFonts w:ascii="Arial" w:cs="Arial" w:eastAsia="Arial" w:hAnsi="Arial"/>
                <w:sz w:val="13"/>
                <w:szCs w:val="13"/>
                <w:color w:val="auto"/>
                <w:w w:val="95"/>
              </w:rPr>
              <w:t>12/16/2019</w:t>
            </w:r>
          </w:p>
        </w:tc>
        <w:tc>
          <w:tcPr>
            <w:tcW w:w="184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90"/>
              </w:rPr>
              <w:t>Mining, Steel, Iron and Non-</w:t>
            </w:r>
          </w:p>
        </w:tc>
        <w:tc>
          <w:tcPr>
            <w:tcW w:w="940" w:type="dxa"/>
            <w:vAlign w:val="bottom"/>
            <w:shd w:val="clear" w:color="auto" w:fill="CCEEFF"/>
          </w:tcPr>
          <w:p>
            <w:pPr>
              <w:jc w:val="right"/>
              <w:ind w:right="117"/>
              <w:spacing w:after="0" w:line="121" w:lineRule="exact"/>
              <w:rPr>
                <w:sz w:val="20"/>
                <w:szCs w:val="20"/>
                <w:color w:val="auto"/>
              </w:rPr>
            </w:pPr>
            <w:r>
              <w:rPr>
                <w:rFonts w:ascii="Arial" w:cs="Arial" w:eastAsia="Arial" w:hAnsi="Arial"/>
                <w:sz w:val="13"/>
                <w:szCs w:val="13"/>
                <w:color w:val="auto"/>
              </w:rPr>
              <w:t>11.50%</w:t>
            </w:r>
          </w:p>
        </w:tc>
        <w:tc>
          <w:tcPr>
            <w:tcW w:w="1060" w:type="dxa"/>
            <w:vAlign w:val="bottom"/>
            <w:shd w:val="clear" w:color="auto" w:fill="CCEEFF"/>
          </w:tcPr>
          <w:p>
            <w:pPr>
              <w:jc w:val="right"/>
              <w:ind w:right="157"/>
              <w:spacing w:after="0" w:line="121" w:lineRule="exact"/>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w w:val="95"/>
              </w:rPr>
              <w:t>14,250,000</w:t>
            </w:r>
          </w:p>
        </w:tc>
        <w:tc>
          <w:tcPr>
            <w:tcW w:w="920" w:type="dxa"/>
            <w:vAlign w:val="bottom"/>
            <w:gridSpan w:val="3"/>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14,121,049</w:t>
            </w:r>
          </w:p>
        </w:tc>
        <w:tc>
          <w:tcPr>
            <w:tcW w:w="8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14,535,000</w:t>
            </w:r>
          </w:p>
        </w:tc>
        <w:tc>
          <w:tcPr>
            <w:tcW w:w="0" w:type="dxa"/>
            <w:vAlign w:val="bottom"/>
          </w:tcPr>
          <w:p>
            <w:pPr>
              <w:spacing w:after="0"/>
              <w:rPr>
                <w:sz w:val="1"/>
                <w:szCs w:val="1"/>
                <w:color w:val="auto"/>
              </w:rPr>
            </w:pPr>
          </w:p>
        </w:tc>
      </w:tr>
      <w:tr>
        <w:trPr>
          <w:trHeight w:val="149"/>
        </w:trPr>
        <w:tc>
          <w:tcPr>
            <w:tcW w:w="34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Precious Metals</w:t>
            </w:r>
          </w:p>
        </w:tc>
        <w:tc>
          <w:tcPr>
            <w:tcW w:w="9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420" w:type="dxa"/>
            <w:vAlign w:val="bottom"/>
          </w:tcPr>
          <w:p>
            <w:pPr>
              <w:spacing w:after="0" w:line="135" w:lineRule="exact"/>
              <w:rPr>
                <w:sz w:val="20"/>
                <w:szCs w:val="20"/>
                <w:color w:val="auto"/>
              </w:rPr>
            </w:pPr>
            <w:r>
              <w:rPr>
                <w:rFonts w:ascii="Arial" w:cs="Arial" w:eastAsia="Arial" w:hAnsi="Arial"/>
                <w:sz w:val="13"/>
                <w:szCs w:val="13"/>
                <w:color w:val="auto"/>
              </w:rPr>
              <w:t>RAM Energy LLC, Tranche A</w:t>
            </w:r>
          </w:p>
        </w:tc>
        <w:tc>
          <w:tcPr>
            <w:tcW w:w="1280" w:type="dxa"/>
            <w:vAlign w:val="bottom"/>
          </w:tcPr>
          <w:p>
            <w:pPr>
              <w:ind w:left="640"/>
              <w:spacing w:after="0" w:line="135" w:lineRule="exact"/>
              <w:rPr>
                <w:sz w:val="20"/>
                <w:szCs w:val="20"/>
                <w:color w:val="auto"/>
              </w:rPr>
            </w:pPr>
            <w:r>
              <w:rPr>
                <w:rFonts w:ascii="Arial" w:cs="Arial" w:eastAsia="Arial" w:hAnsi="Arial"/>
                <w:sz w:val="13"/>
                <w:szCs w:val="13"/>
                <w:color w:val="auto"/>
                <w:w w:val="95"/>
              </w:rPr>
              <w:t>07/18/2019</w:t>
            </w:r>
          </w:p>
        </w:tc>
        <w:tc>
          <w:tcPr>
            <w:tcW w:w="1840" w:type="dxa"/>
            <w:vAlign w:val="bottom"/>
          </w:tcPr>
          <w:p>
            <w:pPr>
              <w:jc w:val="center"/>
              <w:spacing w:after="0" w:line="135" w:lineRule="exact"/>
              <w:rPr>
                <w:sz w:val="20"/>
                <w:szCs w:val="20"/>
                <w:color w:val="auto"/>
              </w:rPr>
            </w:pPr>
            <w:r>
              <w:rPr>
                <w:rFonts w:ascii="Arial" w:cs="Arial" w:eastAsia="Arial" w:hAnsi="Arial"/>
                <w:sz w:val="13"/>
                <w:szCs w:val="13"/>
                <w:color w:val="auto"/>
                <w:w w:val="89"/>
              </w:rPr>
              <w:t>Energy and Utilities</w:t>
            </w:r>
          </w:p>
        </w:tc>
        <w:tc>
          <w:tcPr>
            <w:tcW w:w="94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12.00%</w:t>
            </w:r>
          </w:p>
        </w:tc>
        <w:tc>
          <w:tcPr>
            <w:tcW w:w="106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L+1,000</w:t>
            </w:r>
          </w:p>
        </w:tc>
        <w:tc>
          <w:tcPr>
            <w:tcW w:w="720" w:type="dxa"/>
            <w:vAlign w:val="bottom"/>
          </w:tcPr>
          <w:p>
            <w:pPr>
              <w:jc w:val="right"/>
              <w:ind w:right="17"/>
              <w:spacing w:after="0" w:line="135" w:lineRule="exact"/>
              <w:rPr>
                <w:sz w:val="20"/>
                <w:szCs w:val="20"/>
                <w:color w:val="auto"/>
              </w:rPr>
            </w:pPr>
            <w:r>
              <w:rPr>
                <w:rFonts w:ascii="Arial" w:cs="Arial" w:eastAsia="Arial" w:hAnsi="Arial"/>
                <w:sz w:val="13"/>
                <w:szCs w:val="13"/>
                <w:color w:val="auto"/>
                <w:w w:val="95"/>
              </w:rPr>
              <w:t>75,000,000</w:t>
            </w:r>
          </w:p>
        </w:tc>
        <w:tc>
          <w:tcPr>
            <w:tcW w:w="92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73,517,020</w:t>
            </w: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67,500,000</w:t>
            </w:r>
          </w:p>
        </w:tc>
        <w:tc>
          <w:tcPr>
            <w:tcW w:w="0" w:type="dxa"/>
            <w:vAlign w:val="bottom"/>
          </w:tcPr>
          <w:p>
            <w:pPr>
              <w:spacing w:after="0"/>
              <w:rPr>
                <w:sz w:val="1"/>
                <w:szCs w:val="1"/>
                <w:color w:val="auto"/>
              </w:rPr>
            </w:pPr>
          </w:p>
        </w:tc>
      </w:tr>
      <w:tr>
        <w:trPr>
          <w:trHeight w:val="135"/>
        </w:trPr>
        <w:tc>
          <w:tcPr>
            <w:tcW w:w="34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RAM Energy LLC, Tranche B</w:t>
            </w:r>
          </w:p>
        </w:tc>
        <w:tc>
          <w:tcPr>
            <w:tcW w:w="1280" w:type="dxa"/>
            <w:vAlign w:val="bottom"/>
            <w:shd w:val="clear" w:color="auto" w:fill="CCEEFF"/>
          </w:tcPr>
          <w:p>
            <w:pPr>
              <w:ind w:left="640"/>
              <w:spacing w:after="0" w:line="135" w:lineRule="exact"/>
              <w:rPr>
                <w:sz w:val="20"/>
                <w:szCs w:val="20"/>
                <w:color w:val="auto"/>
              </w:rPr>
            </w:pPr>
            <w:r>
              <w:rPr>
                <w:rFonts w:ascii="Arial" w:cs="Arial" w:eastAsia="Arial" w:hAnsi="Arial"/>
                <w:sz w:val="13"/>
                <w:szCs w:val="13"/>
                <w:color w:val="auto"/>
                <w:w w:val="95"/>
              </w:rPr>
              <w:t>07/20/2015</w:t>
            </w:r>
          </w:p>
        </w:tc>
        <w:tc>
          <w:tcPr>
            <w:tcW w:w="18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Energy and Utilities</w:t>
            </w:r>
          </w:p>
        </w:tc>
        <w:tc>
          <w:tcPr>
            <w:tcW w:w="94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15.00%</w:t>
            </w:r>
          </w:p>
        </w:tc>
        <w:tc>
          <w:tcPr>
            <w:tcW w:w="106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L+1,300</w:t>
            </w:r>
          </w:p>
        </w:tc>
        <w:tc>
          <w:tcPr>
            <w:tcW w:w="72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w w:val="95"/>
              </w:rPr>
              <w:t>27,500,000</w:t>
            </w:r>
          </w:p>
        </w:tc>
        <w:tc>
          <w:tcPr>
            <w:tcW w:w="92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26,963,217</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24,860,000</w:t>
            </w:r>
          </w:p>
        </w:tc>
        <w:tc>
          <w:tcPr>
            <w:tcW w:w="0" w:type="dxa"/>
            <w:vAlign w:val="bottom"/>
          </w:tcPr>
          <w:p>
            <w:pPr>
              <w:spacing w:after="0"/>
              <w:rPr>
                <w:sz w:val="1"/>
                <w:szCs w:val="1"/>
                <w:color w:val="auto"/>
              </w:rPr>
            </w:pPr>
          </w:p>
        </w:tc>
      </w:tr>
      <w:tr>
        <w:trPr>
          <w:trHeight w:val="135"/>
        </w:trPr>
        <w:tc>
          <w:tcPr>
            <w:tcW w:w="3420" w:type="dxa"/>
            <w:vAlign w:val="bottom"/>
          </w:tcPr>
          <w:p>
            <w:pPr>
              <w:spacing w:after="0" w:line="135" w:lineRule="exact"/>
              <w:rPr>
                <w:sz w:val="20"/>
                <w:szCs w:val="20"/>
                <w:color w:val="auto"/>
              </w:rPr>
            </w:pPr>
            <w:r>
              <w:rPr>
                <w:rFonts w:ascii="Arial" w:cs="Arial" w:eastAsia="Arial" w:hAnsi="Arial"/>
                <w:sz w:val="13"/>
                <w:szCs w:val="13"/>
                <w:color w:val="auto"/>
              </w:rPr>
              <w:t>Robertshaw US Holding Corp.</w:t>
            </w:r>
          </w:p>
        </w:tc>
        <w:tc>
          <w:tcPr>
            <w:tcW w:w="1280" w:type="dxa"/>
            <w:vAlign w:val="bottom"/>
          </w:tcPr>
          <w:p>
            <w:pPr>
              <w:ind w:left="640"/>
              <w:spacing w:after="0" w:line="135" w:lineRule="exact"/>
              <w:rPr>
                <w:sz w:val="20"/>
                <w:szCs w:val="20"/>
                <w:color w:val="auto"/>
              </w:rPr>
            </w:pPr>
            <w:r>
              <w:rPr>
                <w:rFonts w:ascii="Arial" w:cs="Arial" w:eastAsia="Arial" w:hAnsi="Arial"/>
                <w:sz w:val="13"/>
                <w:szCs w:val="13"/>
                <w:color w:val="auto"/>
                <w:w w:val="95"/>
              </w:rPr>
              <w:t>06/18/2019</w:t>
            </w:r>
          </w:p>
        </w:tc>
        <w:tc>
          <w:tcPr>
            <w:tcW w:w="1840" w:type="dxa"/>
            <w:vAlign w:val="bottom"/>
          </w:tcPr>
          <w:p>
            <w:pPr>
              <w:jc w:val="center"/>
              <w:spacing w:after="0" w:line="135" w:lineRule="exact"/>
              <w:rPr>
                <w:sz w:val="20"/>
                <w:szCs w:val="20"/>
                <w:color w:val="auto"/>
              </w:rPr>
            </w:pPr>
            <w:r>
              <w:rPr>
                <w:rFonts w:ascii="Arial" w:cs="Arial" w:eastAsia="Arial" w:hAnsi="Arial"/>
                <w:sz w:val="13"/>
                <w:szCs w:val="13"/>
                <w:color w:val="auto"/>
                <w:w w:val="88"/>
              </w:rPr>
              <w:t>Electronics</w:t>
            </w:r>
          </w:p>
        </w:tc>
        <w:tc>
          <w:tcPr>
            <w:tcW w:w="94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9.00%</w:t>
            </w:r>
          </w:p>
        </w:tc>
        <w:tc>
          <w:tcPr>
            <w:tcW w:w="106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L+750</w:t>
            </w:r>
          </w:p>
        </w:tc>
        <w:tc>
          <w:tcPr>
            <w:tcW w:w="720" w:type="dxa"/>
            <w:vAlign w:val="bottom"/>
          </w:tcPr>
          <w:p>
            <w:pPr>
              <w:jc w:val="right"/>
              <w:ind w:right="17"/>
              <w:spacing w:after="0" w:line="135" w:lineRule="exact"/>
              <w:rPr>
                <w:sz w:val="20"/>
                <w:szCs w:val="20"/>
                <w:color w:val="auto"/>
              </w:rPr>
            </w:pPr>
            <w:r>
              <w:rPr>
                <w:rFonts w:ascii="Arial" w:cs="Arial" w:eastAsia="Arial" w:hAnsi="Arial"/>
                <w:sz w:val="13"/>
                <w:szCs w:val="13"/>
                <w:color w:val="auto"/>
                <w:w w:val="95"/>
              </w:rPr>
              <w:t>13,616,050</w:t>
            </w:r>
          </w:p>
        </w:tc>
        <w:tc>
          <w:tcPr>
            <w:tcW w:w="92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13,503,752</w:t>
            </w: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13,545,460</w:t>
            </w:r>
          </w:p>
        </w:tc>
        <w:tc>
          <w:tcPr>
            <w:tcW w:w="0" w:type="dxa"/>
            <w:vAlign w:val="bottom"/>
          </w:tcPr>
          <w:p>
            <w:pPr>
              <w:spacing w:after="0"/>
              <w:rPr>
                <w:sz w:val="1"/>
                <w:szCs w:val="1"/>
                <w:color w:val="auto"/>
              </w:rPr>
            </w:pPr>
          </w:p>
        </w:tc>
      </w:tr>
      <w:tr>
        <w:trPr>
          <w:trHeight w:val="135"/>
        </w:trPr>
        <w:tc>
          <w:tcPr>
            <w:tcW w:w="34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Robertshaw US Holding Corp. (Revolver)</w:t>
            </w:r>
          </w:p>
        </w:tc>
        <w:tc>
          <w:tcPr>
            <w:tcW w:w="1280" w:type="dxa"/>
            <w:vAlign w:val="bottom"/>
            <w:shd w:val="clear" w:color="auto" w:fill="CCEEFF"/>
          </w:tcPr>
          <w:p>
            <w:pPr>
              <w:ind w:left="640"/>
              <w:spacing w:after="0" w:line="135" w:lineRule="exact"/>
              <w:rPr>
                <w:sz w:val="20"/>
                <w:szCs w:val="20"/>
                <w:color w:val="auto"/>
              </w:rPr>
            </w:pPr>
            <w:r>
              <w:rPr>
                <w:rFonts w:ascii="Arial" w:cs="Arial" w:eastAsia="Arial" w:hAnsi="Arial"/>
                <w:sz w:val="13"/>
                <w:szCs w:val="13"/>
                <w:color w:val="auto"/>
                <w:w w:val="95"/>
              </w:rPr>
              <w:t>06/18/2019</w:t>
            </w:r>
          </w:p>
        </w:tc>
        <w:tc>
          <w:tcPr>
            <w:tcW w:w="18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Electronics</w:t>
            </w:r>
          </w:p>
        </w:tc>
        <w:tc>
          <w:tcPr>
            <w:tcW w:w="94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9.00%</w:t>
            </w:r>
          </w:p>
        </w:tc>
        <w:tc>
          <w:tcPr>
            <w:tcW w:w="106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L+750</w:t>
            </w:r>
          </w:p>
        </w:tc>
        <w:tc>
          <w:tcPr>
            <w:tcW w:w="72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423,529</w:t>
            </w:r>
          </w:p>
        </w:tc>
        <w:tc>
          <w:tcPr>
            <w:tcW w:w="92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423,529</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421,315</w:t>
            </w:r>
          </w:p>
        </w:tc>
        <w:tc>
          <w:tcPr>
            <w:tcW w:w="0" w:type="dxa"/>
            <w:vAlign w:val="bottom"/>
          </w:tcPr>
          <w:p>
            <w:pPr>
              <w:spacing w:after="0"/>
              <w:rPr>
                <w:sz w:val="1"/>
                <w:szCs w:val="1"/>
                <w:color w:val="auto"/>
              </w:rPr>
            </w:pPr>
          </w:p>
        </w:tc>
      </w:tr>
      <w:tr>
        <w:trPr>
          <w:trHeight w:val="135"/>
        </w:trPr>
        <w:tc>
          <w:tcPr>
            <w:tcW w:w="3420" w:type="dxa"/>
            <w:vAlign w:val="bottom"/>
          </w:tcPr>
          <w:p>
            <w:pPr>
              <w:spacing w:after="0" w:line="135" w:lineRule="exact"/>
              <w:rPr>
                <w:sz w:val="20"/>
                <w:szCs w:val="20"/>
                <w:color w:val="auto"/>
              </w:rPr>
            </w:pPr>
            <w:r>
              <w:rPr>
                <w:rFonts w:ascii="Arial" w:cs="Arial" w:eastAsia="Arial" w:hAnsi="Arial"/>
                <w:sz w:val="13"/>
                <w:szCs w:val="13"/>
                <w:color w:val="auto"/>
              </w:rPr>
              <w:t xml:space="preserve">Robertshaw US Holding Corp. (Revolver) </w:t>
            </w:r>
            <w:r>
              <w:rPr>
                <w:rFonts w:ascii="Arial" w:cs="Arial" w:eastAsia="Arial" w:hAnsi="Arial"/>
                <w:sz w:val="10"/>
                <w:szCs w:val="10"/>
                <w:color w:val="auto"/>
              </w:rPr>
              <w:t>(9)</w:t>
            </w:r>
          </w:p>
        </w:tc>
        <w:tc>
          <w:tcPr>
            <w:tcW w:w="1280" w:type="dxa"/>
            <w:vAlign w:val="bottom"/>
          </w:tcPr>
          <w:p>
            <w:pPr>
              <w:ind w:left="640"/>
              <w:spacing w:after="0" w:line="135" w:lineRule="exact"/>
              <w:rPr>
                <w:sz w:val="20"/>
                <w:szCs w:val="20"/>
                <w:color w:val="auto"/>
              </w:rPr>
            </w:pPr>
            <w:r>
              <w:rPr>
                <w:rFonts w:ascii="Arial" w:cs="Arial" w:eastAsia="Arial" w:hAnsi="Arial"/>
                <w:sz w:val="13"/>
                <w:szCs w:val="13"/>
                <w:color w:val="auto"/>
                <w:w w:val="95"/>
              </w:rPr>
              <w:t>06/18/2019</w:t>
            </w:r>
          </w:p>
        </w:tc>
        <w:tc>
          <w:tcPr>
            <w:tcW w:w="1840" w:type="dxa"/>
            <w:vAlign w:val="bottom"/>
          </w:tcPr>
          <w:p>
            <w:pPr>
              <w:jc w:val="center"/>
              <w:spacing w:after="0" w:line="135" w:lineRule="exact"/>
              <w:rPr>
                <w:sz w:val="20"/>
                <w:szCs w:val="20"/>
                <w:color w:val="auto"/>
              </w:rPr>
            </w:pPr>
            <w:r>
              <w:rPr>
                <w:rFonts w:ascii="Arial" w:cs="Arial" w:eastAsia="Arial" w:hAnsi="Arial"/>
                <w:sz w:val="13"/>
                <w:szCs w:val="13"/>
                <w:color w:val="auto"/>
                <w:w w:val="88"/>
              </w:rPr>
              <w:t>Electronics</w:t>
            </w:r>
          </w:p>
        </w:tc>
        <w:tc>
          <w:tcPr>
            <w:tcW w:w="940" w:type="dxa"/>
            <w:vAlign w:val="bottom"/>
          </w:tcPr>
          <w:p>
            <w:pPr>
              <w:jc w:val="right"/>
              <w:ind w:right="217"/>
              <w:spacing w:after="0" w:line="135" w:lineRule="exact"/>
              <w:rPr>
                <w:sz w:val="20"/>
                <w:szCs w:val="20"/>
                <w:color w:val="auto"/>
              </w:rPr>
            </w:pPr>
            <w:r>
              <w:rPr>
                <w:rFonts w:ascii="Arial" w:cs="Arial" w:eastAsia="Arial" w:hAnsi="Arial"/>
                <w:sz w:val="13"/>
                <w:szCs w:val="13"/>
                <w:color w:val="auto"/>
              </w:rPr>
              <w:t>—</w:t>
            </w:r>
          </w:p>
        </w:tc>
        <w:tc>
          <w:tcPr>
            <w:tcW w:w="106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720" w:type="dxa"/>
            <w:vAlign w:val="bottom"/>
          </w:tcPr>
          <w:p>
            <w:pPr>
              <w:jc w:val="right"/>
              <w:ind w:right="17"/>
              <w:spacing w:after="0" w:line="135" w:lineRule="exact"/>
              <w:rPr>
                <w:sz w:val="20"/>
                <w:szCs w:val="20"/>
                <w:color w:val="auto"/>
              </w:rPr>
            </w:pPr>
            <w:r>
              <w:rPr>
                <w:rFonts w:ascii="Arial" w:cs="Arial" w:eastAsia="Arial" w:hAnsi="Arial"/>
                <w:sz w:val="13"/>
                <w:szCs w:val="13"/>
                <w:color w:val="auto"/>
              </w:rPr>
              <w:t>2,223,529</w:t>
            </w:r>
          </w:p>
        </w:tc>
        <w:tc>
          <w:tcPr>
            <w:tcW w:w="80" w:type="dxa"/>
            <w:vAlign w:val="bottom"/>
          </w:tcPr>
          <w:p>
            <w:pPr>
              <w:spacing w:after="0"/>
              <w:rPr>
                <w:sz w:val="11"/>
                <w:szCs w:val="11"/>
                <w:color w:val="auto"/>
              </w:rPr>
            </w:pPr>
          </w:p>
        </w:tc>
        <w:tc>
          <w:tcPr>
            <w:tcW w:w="8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9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(11,628)</w:t>
            </w:r>
          </w:p>
        </w:tc>
        <w:tc>
          <w:tcPr>
            <w:tcW w:w="0" w:type="dxa"/>
            <w:vAlign w:val="bottom"/>
          </w:tcPr>
          <w:p>
            <w:pPr>
              <w:spacing w:after="0"/>
              <w:rPr>
                <w:sz w:val="1"/>
                <w:szCs w:val="1"/>
                <w:color w:val="auto"/>
              </w:rPr>
            </w:pPr>
          </w:p>
        </w:tc>
      </w:tr>
      <w:tr>
        <w:trPr>
          <w:trHeight w:val="135"/>
        </w:trPr>
        <w:tc>
          <w:tcPr>
            <w:tcW w:w="34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Sotera Defense Solutions, Inc.</w:t>
            </w:r>
          </w:p>
        </w:tc>
        <w:tc>
          <w:tcPr>
            <w:tcW w:w="1280" w:type="dxa"/>
            <w:vAlign w:val="bottom"/>
            <w:shd w:val="clear" w:color="auto" w:fill="CCEEFF"/>
          </w:tcPr>
          <w:p>
            <w:pPr>
              <w:ind w:left="640"/>
              <w:spacing w:after="0" w:line="135" w:lineRule="exact"/>
              <w:rPr>
                <w:sz w:val="20"/>
                <w:szCs w:val="20"/>
                <w:color w:val="auto"/>
              </w:rPr>
            </w:pPr>
            <w:r>
              <w:rPr>
                <w:rFonts w:ascii="Arial" w:cs="Arial" w:eastAsia="Arial" w:hAnsi="Arial"/>
                <w:sz w:val="13"/>
                <w:szCs w:val="13"/>
                <w:color w:val="auto"/>
                <w:w w:val="95"/>
              </w:rPr>
              <w:t>04/21/2017</w:t>
            </w:r>
          </w:p>
        </w:tc>
        <w:tc>
          <w:tcPr>
            <w:tcW w:w="18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Aerospace and Defense</w:t>
            </w:r>
          </w:p>
        </w:tc>
        <w:tc>
          <w:tcPr>
            <w:tcW w:w="94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9.00%</w:t>
            </w:r>
          </w:p>
        </w:tc>
        <w:tc>
          <w:tcPr>
            <w:tcW w:w="106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L+750</w:t>
            </w:r>
          </w:p>
        </w:tc>
        <w:tc>
          <w:tcPr>
            <w:tcW w:w="72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w w:val="95"/>
              </w:rPr>
              <w:t>19,704,549</w:t>
            </w:r>
          </w:p>
        </w:tc>
        <w:tc>
          <w:tcPr>
            <w:tcW w:w="92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18,788,691</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17,734,094</w:t>
            </w:r>
          </w:p>
        </w:tc>
        <w:tc>
          <w:tcPr>
            <w:tcW w:w="0" w:type="dxa"/>
            <w:vAlign w:val="bottom"/>
          </w:tcPr>
          <w:p>
            <w:pPr>
              <w:spacing w:after="0"/>
              <w:rPr>
                <w:sz w:val="1"/>
                <w:szCs w:val="1"/>
                <w:color w:val="auto"/>
              </w:rPr>
            </w:pPr>
          </w:p>
        </w:tc>
      </w:tr>
      <w:tr>
        <w:trPr>
          <w:trHeight w:val="135"/>
        </w:trPr>
        <w:tc>
          <w:tcPr>
            <w:tcW w:w="3420" w:type="dxa"/>
            <w:vAlign w:val="bottom"/>
          </w:tcPr>
          <w:p>
            <w:pPr>
              <w:spacing w:after="0" w:line="135" w:lineRule="exact"/>
              <w:rPr>
                <w:sz w:val="20"/>
                <w:szCs w:val="20"/>
                <w:color w:val="auto"/>
              </w:rPr>
            </w:pPr>
            <w:r>
              <w:rPr>
                <w:rFonts w:ascii="Arial" w:cs="Arial" w:eastAsia="Arial" w:hAnsi="Arial"/>
                <w:sz w:val="13"/>
                <w:szCs w:val="13"/>
                <w:color w:val="auto"/>
              </w:rPr>
              <w:t>TRAK Acquisition Corp.</w:t>
            </w:r>
          </w:p>
        </w:tc>
        <w:tc>
          <w:tcPr>
            <w:tcW w:w="1280" w:type="dxa"/>
            <w:vAlign w:val="bottom"/>
          </w:tcPr>
          <w:p>
            <w:pPr>
              <w:ind w:left="640"/>
              <w:spacing w:after="0" w:line="135" w:lineRule="exact"/>
              <w:rPr>
                <w:sz w:val="20"/>
                <w:szCs w:val="20"/>
                <w:color w:val="auto"/>
              </w:rPr>
            </w:pPr>
            <w:r>
              <w:rPr>
                <w:rFonts w:ascii="Arial" w:cs="Arial" w:eastAsia="Arial" w:hAnsi="Arial"/>
                <w:sz w:val="13"/>
                <w:szCs w:val="13"/>
                <w:color w:val="auto"/>
                <w:w w:val="95"/>
              </w:rPr>
              <w:t>04/30/2018</w:t>
            </w:r>
          </w:p>
        </w:tc>
        <w:tc>
          <w:tcPr>
            <w:tcW w:w="1840" w:type="dxa"/>
            <w:vAlign w:val="bottom"/>
          </w:tcPr>
          <w:p>
            <w:pPr>
              <w:jc w:val="center"/>
              <w:spacing w:after="0" w:line="135" w:lineRule="exact"/>
              <w:rPr>
                <w:sz w:val="20"/>
                <w:szCs w:val="20"/>
                <w:color w:val="auto"/>
              </w:rPr>
            </w:pPr>
            <w:r>
              <w:rPr>
                <w:rFonts w:ascii="Arial" w:cs="Arial" w:eastAsia="Arial" w:hAnsi="Arial"/>
                <w:sz w:val="13"/>
                <w:szCs w:val="13"/>
                <w:color w:val="auto"/>
                <w:w w:val="86"/>
              </w:rPr>
              <w:t>Business Services</w:t>
            </w:r>
          </w:p>
        </w:tc>
        <w:tc>
          <w:tcPr>
            <w:tcW w:w="94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12.00%</w:t>
            </w:r>
          </w:p>
        </w:tc>
        <w:tc>
          <w:tcPr>
            <w:tcW w:w="106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L+1,050</w:t>
            </w:r>
          </w:p>
        </w:tc>
        <w:tc>
          <w:tcPr>
            <w:tcW w:w="720" w:type="dxa"/>
            <w:vAlign w:val="bottom"/>
          </w:tcPr>
          <w:p>
            <w:pPr>
              <w:jc w:val="right"/>
              <w:ind w:right="17"/>
              <w:spacing w:after="0" w:line="135" w:lineRule="exact"/>
              <w:rPr>
                <w:sz w:val="20"/>
                <w:szCs w:val="20"/>
                <w:color w:val="auto"/>
              </w:rPr>
            </w:pPr>
            <w:r>
              <w:rPr>
                <w:rFonts w:ascii="Arial" w:cs="Arial" w:eastAsia="Arial" w:hAnsi="Arial"/>
                <w:sz w:val="13"/>
                <w:szCs w:val="13"/>
                <w:color w:val="auto"/>
                <w:w w:val="95"/>
              </w:rPr>
              <w:t>23,514,911</w:t>
            </w:r>
          </w:p>
        </w:tc>
        <w:tc>
          <w:tcPr>
            <w:tcW w:w="92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23,249,652</w:t>
            </w: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23,514,911</w:t>
            </w:r>
          </w:p>
        </w:tc>
        <w:tc>
          <w:tcPr>
            <w:tcW w:w="0" w:type="dxa"/>
            <w:vAlign w:val="bottom"/>
          </w:tcPr>
          <w:p>
            <w:pPr>
              <w:spacing w:after="0"/>
              <w:rPr>
                <w:sz w:val="1"/>
                <w:szCs w:val="1"/>
                <w:color w:val="auto"/>
              </w:rPr>
            </w:pPr>
          </w:p>
        </w:tc>
      </w:tr>
      <w:tr>
        <w:trPr>
          <w:trHeight w:val="135"/>
        </w:trPr>
        <w:tc>
          <w:tcPr>
            <w:tcW w:w="34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TRAK Acquisition Corp. </w:t>
            </w:r>
            <w:r>
              <w:rPr>
                <w:rFonts w:ascii="Arial" w:cs="Arial" w:eastAsia="Arial" w:hAnsi="Arial"/>
                <w:sz w:val="10"/>
                <w:szCs w:val="10"/>
                <w:color w:val="auto"/>
              </w:rPr>
              <w:t>(9)</w:t>
            </w:r>
          </w:p>
        </w:tc>
        <w:tc>
          <w:tcPr>
            <w:tcW w:w="1280" w:type="dxa"/>
            <w:vAlign w:val="bottom"/>
            <w:shd w:val="clear" w:color="auto" w:fill="CCEEFF"/>
          </w:tcPr>
          <w:p>
            <w:pPr>
              <w:ind w:left="640"/>
              <w:spacing w:after="0" w:line="135" w:lineRule="exact"/>
              <w:rPr>
                <w:sz w:val="20"/>
                <w:szCs w:val="20"/>
                <w:color w:val="auto"/>
              </w:rPr>
            </w:pPr>
            <w:r>
              <w:rPr>
                <w:rFonts w:ascii="Arial" w:cs="Arial" w:eastAsia="Arial" w:hAnsi="Arial"/>
                <w:sz w:val="13"/>
                <w:szCs w:val="13"/>
                <w:color w:val="auto"/>
                <w:w w:val="95"/>
              </w:rPr>
              <w:t>10/31/2017</w:t>
            </w:r>
          </w:p>
        </w:tc>
        <w:tc>
          <w:tcPr>
            <w:tcW w:w="18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Business Services</w:t>
            </w:r>
          </w:p>
        </w:tc>
        <w:tc>
          <w:tcPr>
            <w:tcW w:w="94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1,000,000</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15,000</w:t>
            </w:r>
          </w:p>
        </w:tc>
        <w:tc>
          <w:tcPr>
            <w:tcW w:w="0" w:type="dxa"/>
            <w:vAlign w:val="bottom"/>
          </w:tcPr>
          <w:p>
            <w:pPr>
              <w:spacing w:after="0"/>
              <w:rPr>
                <w:sz w:val="1"/>
                <w:szCs w:val="1"/>
                <w:color w:val="auto"/>
              </w:rPr>
            </w:pPr>
          </w:p>
        </w:tc>
      </w:tr>
      <w:tr>
        <w:trPr>
          <w:trHeight w:val="135"/>
        </w:trPr>
        <w:tc>
          <w:tcPr>
            <w:tcW w:w="3420" w:type="dxa"/>
            <w:vAlign w:val="bottom"/>
          </w:tcPr>
          <w:p>
            <w:pPr>
              <w:spacing w:after="0" w:line="135" w:lineRule="exact"/>
              <w:rPr>
                <w:sz w:val="20"/>
                <w:szCs w:val="20"/>
                <w:color w:val="auto"/>
              </w:rPr>
            </w:pPr>
            <w:r>
              <w:rPr>
                <w:rFonts w:ascii="Arial" w:cs="Arial" w:eastAsia="Arial" w:hAnsi="Arial"/>
                <w:sz w:val="13"/>
                <w:szCs w:val="13"/>
                <w:color w:val="auto"/>
              </w:rPr>
              <w:t xml:space="preserve">Trust Inns Limited </w:t>
            </w:r>
            <w:r>
              <w:rPr>
                <w:rFonts w:ascii="Arial" w:cs="Arial" w:eastAsia="Arial" w:hAnsi="Arial"/>
                <w:sz w:val="10"/>
                <w:szCs w:val="10"/>
                <w:color w:val="auto"/>
              </w:rPr>
              <w:t>(10), (12), (13)</w:t>
            </w:r>
          </w:p>
        </w:tc>
        <w:tc>
          <w:tcPr>
            <w:tcW w:w="1280" w:type="dxa"/>
            <w:vAlign w:val="bottom"/>
          </w:tcPr>
          <w:p>
            <w:pPr>
              <w:ind w:left="640"/>
              <w:spacing w:after="0" w:line="135" w:lineRule="exact"/>
              <w:rPr>
                <w:sz w:val="20"/>
                <w:szCs w:val="20"/>
                <w:color w:val="auto"/>
              </w:rPr>
            </w:pPr>
            <w:r>
              <w:rPr>
                <w:rFonts w:ascii="Arial" w:cs="Arial" w:eastAsia="Arial" w:hAnsi="Arial"/>
                <w:sz w:val="13"/>
                <w:szCs w:val="13"/>
                <w:color w:val="auto"/>
                <w:w w:val="95"/>
              </w:rPr>
              <w:t>02/12/2020</w:t>
            </w:r>
          </w:p>
        </w:tc>
        <w:tc>
          <w:tcPr>
            <w:tcW w:w="1840" w:type="dxa"/>
            <w:vAlign w:val="bottom"/>
          </w:tcPr>
          <w:p>
            <w:pPr>
              <w:jc w:val="center"/>
              <w:spacing w:after="0" w:line="135" w:lineRule="exact"/>
              <w:rPr>
                <w:sz w:val="20"/>
                <w:szCs w:val="20"/>
                <w:color w:val="auto"/>
              </w:rPr>
            </w:pPr>
            <w:r>
              <w:rPr>
                <w:rFonts w:ascii="Arial" w:cs="Arial" w:eastAsia="Arial" w:hAnsi="Arial"/>
                <w:sz w:val="13"/>
                <w:szCs w:val="13"/>
                <w:color w:val="auto"/>
                <w:w w:val="87"/>
              </w:rPr>
              <w:t>Buildings and Real Estate</w:t>
            </w:r>
          </w:p>
        </w:tc>
        <w:tc>
          <w:tcPr>
            <w:tcW w:w="94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11.06%</w:t>
            </w:r>
          </w:p>
        </w:tc>
        <w:tc>
          <w:tcPr>
            <w:tcW w:w="10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L+1,050</w:t>
            </w:r>
            <w:r>
              <w:rPr>
                <w:rFonts w:ascii="Arial" w:cs="Arial" w:eastAsia="Arial" w:hAnsi="Arial"/>
                <w:sz w:val="10"/>
                <w:szCs w:val="10"/>
                <w:color w:val="auto"/>
              </w:rPr>
              <w:t>(8)</w:t>
            </w:r>
          </w:p>
        </w:tc>
        <w:tc>
          <w:tcPr>
            <w:tcW w:w="720" w:type="dxa"/>
            <w:vAlign w:val="bottom"/>
          </w:tcPr>
          <w:p>
            <w:pPr>
              <w:jc w:val="right"/>
              <w:ind w:right="17"/>
              <w:spacing w:after="0" w:line="135" w:lineRule="exact"/>
              <w:rPr>
                <w:sz w:val="20"/>
                <w:szCs w:val="20"/>
                <w:color w:val="auto"/>
              </w:rPr>
            </w:pPr>
            <w:r>
              <w:rPr>
                <w:rFonts w:ascii="Arial" w:cs="Arial" w:eastAsia="Arial" w:hAnsi="Arial"/>
                <w:sz w:val="13"/>
                <w:szCs w:val="13"/>
                <w:color w:val="auto"/>
                <w:w w:val="95"/>
              </w:rPr>
              <w:t>26,280,221</w:t>
            </w:r>
          </w:p>
        </w:tc>
        <w:tc>
          <w:tcPr>
            <w:tcW w:w="92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41,543,437</w:t>
            </w: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40,630,608</w:t>
            </w:r>
          </w:p>
        </w:tc>
        <w:tc>
          <w:tcPr>
            <w:tcW w:w="0" w:type="dxa"/>
            <w:vAlign w:val="bottom"/>
          </w:tcPr>
          <w:p>
            <w:pPr>
              <w:spacing w:after="0"/>
              <w:rPr>
                <w:sz w:val="1"/>
                <w:szCs w:val="1"/>
                <w:color w:val="auto"/>
              </w:rPr>
            </w:pPr>
          </w:p>
        </w:tc>
      </w:tr>
      <w:tr>
        <w:trPr>
          <w:trHeight w:val="135"/>
        </w:trPr>
        <w:tc>
          <w:tcPr>
            <w:tcW w:w="34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U.S. Well Services, LLC</w:t>
            </w:r>
          </w:p>
        </w:tc>
        <w:tc>
          <w:tcPr>
            <w:tcW w:w="1280" w:type="dxa"/>
            <w:vAlign w:val="bottom"/>
            <w:shd w:val="clear" w:color="auto" w:fill="CCEEFF"/>
          </w:tcPr>
          <w:p>
            <w:pPr>
              <w:ind w:left="640"/>
              <w:spacing w:after="0" w:line="135" w:lineRule="exact"/>
              <w:rPr>
                <w:sz w:val="20"/>
                <w:szCs w:val="20"/>
                <w:color w:val="auto"/>
              </w:rPr>
            </w:pPr>
            <w:r>
              <w:rPr>
                <w:rFonts w:ascii="Arial" w:cs="Arial" w:eastAsia="Arial" w:hAnsi="Arial"/>
                <w:sz w:val="13"/>
                <w:szCs w:val="13"/>
                <w:color w:val="auto"/>
                <w:w w:val="95"/>
              </w:rPr>
              <w:t>05/02/2019</w:t>
            </w:r>
          </w:p>
        </w:tc>
        <w:tc>
          <w:tcPr>
            <w:tcW w:w="18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Oil and Gas</w:t>
            </w:r>
          </w:p>
        </w:tc>
        <w:tc>
          <w:tcPr>
            <w:tcW w:w="94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12.00%</w:t>
            </w:r>
          </w:p>
        </w:tc>
        <w:tc>
          <w:tcPr>
            <w:tcW w:w="106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L+1,150</w:t>
            </w:r>
          </w:p>
        </w:tc>
        <w:tc>
          <w:tcPr>
            <w:tcW w:w="72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w w:val="95"/>
              </w:rPr>
              <w:t>16,032,351</w:t>
            </w:r>
          </w:p>
        </w:tc>
        <w:tc>
          <w:tcPr>
            <w:tcW w:w="92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15,717,508</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15,873,695</w:t>
            </w:r>
          </w:p>
        </w:tc>
        <w:tc>
          <w:tcPr>
            <w:tcW w:w="0" w:type="dxa"/>
            <w:vAlign w:val="bottom"/>
          </w:tcPr>
          <w:p>
            <w:pPr>
              <w:spacing w:after="0"/>
              <w:rPr>
                <w:sz w:val="1"/>
                <w:szCs w:val="1"/>
                <w:color w:val="auto"/>
              </w:rPr>
            </w:pPr>
          </w:p>
        </w:tc>
      </w:tr>
      <w:tr>
        <w:trPr>
          <w:trHeight w:val="149"/>
        </w:trPr>
        <w:tc>
          <w:tcPr>
            <w:tcW w:w="3420" w:type="dxa"/>
            <w:vAlign w:val="bottom"/>
          </w:tcPr>
          <w:p>
            <w:pPr>
              <w:spacing w:after="0" w:line="142" w:lineRule="exact"/>
              <w:rPr>
                <w:sz w:val="20"/>
                <w:szCs w:val="20"/>
                <w:color w:val="auto"/>
              </w:rPr>
            </w:pPr>
            <w:r>
              <w:rPr>
                <w:rFonts w:ascii="Arial" w:cs="Arial" w:eastAsia="Arial" w:hAnsi="Arial"/>
                <w:sz w:val="13"/>
                <w:szCs w:val="13"/>
                <w:b w:val="1"/>
                <w:bCs w:val="1"/>
                <w:color w:val="auto"/>
              </w:rPr>
              <w:t>Total First Lien Secured Debt</w:t>
            </w:r>
          </w:p>
        </w:tc>
        <w:tc>
          <w:tcPr>
            <w:tcW w:w="12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4"/>
              </w:rPr>
              <w:t>396,884,251</w:t>
            </w:r>
          </w:p>
        </w:tc>
        <w:tc>
          <w:tcPr>
            <w:tcW w:w="1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393,596,735</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42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Second Lien Secured Debt—73.9%</w:t>
            </w:r>
          </w:p>
        </w:tc>
        <w:tc>
          <w:tcPr>
            <w:tcW w:w="128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420" w:type="dxa"/>
            <w:vAlign w:val="bottom"/>
          </w:tcPr>
          <w:p>
            <w:pPr>
              <w:spacing w:after="0" w:line="121" w:lineRule="exact"/>
              <w:rPr>
                <w:sz w:val="20"/>
                <w:szCs w:val="20"/>
                <w:color w:val="auto"/>
              </w:rPr>
            </w:pPr>
            <w:r>
              <w:rPr>
                <w:rFonts w:ascii="Arial" w:cs="Arial" w:eastAsia="Arial" w:hAnsi="Arial"/>
                <w:sz w:val="13"/>
                <w:szCs w:val="13"/>
                <w:color w:val="auto"/>
              </w:rPr>
              <w:t xml:space="preserve">American Gilsonite Company </w:t>
            </w:r>
            <w:r>
              <w:rPr>
                <w:rFonts w:ascii="Arial" w:cs="Arial" w:eastAsia="Arial" w:hAnsi="Arial"/>
                <w:sz w:val="10"/>
                <w:szCs w:val="10"/>
                <w:color w:val="auto"/>
              </w:rPr>
              <w:t>(5)</w:t>
            </w:r>
          </w:p>
        </w:tc>
        <w:tc>
          <w:tcPr>
            <w:tcW w:w="1280" w:type="dxa"/>
            <w:vAlign w:val="bottom"/>
          </w:tcPr>
          <w:p>
            <w:pPr>
              <w:ind w:left="640"/>
              <w:spacing w:after="0" w:line="121" w:lineRule="exact"/>
              <w:rPr>
                <w:sz w:val="20"/>
                <w:szCs w:val="20"/>
                <w:color w:val="auto"/>
              </w:rPr>
            </w:pPr>
            <w:r>
              <w:rPr>
                <w:rFonts w:ascii="Arial" w:cs="Arial" w:eastAsia="Arial" w:hAnsi="Arial"/>
                <w:sz w:val="13"/>
                <w:szCs w:val="13"/>
                <w:color w:val="auto"/>
                <w:w w:val="95"/>
              </w:rPr>
              <w:t>09/01/2017</w:t>
            </w:r>
          </w:p>
        </w:tc>
        <w:tc>
          <w:tcPr>
            <w:tcW w:w="1840" w:type="dxa"/>
            <w:vAlign w:val="bottom"/>
          </w:tcPr>
          <w:p>
            <w:pPr>
              <w:jc w:val="center"/>
              <w:spacing w:after="0" w:line="121" w:lineRule="exact"/>
              <w:rPr>
                <w:sz w:val="20"/>
                <w:szCs w:val="20"/>
                <w:color w:val="auto"/>
              </w:rPr>
            </w:pPr>
            <w:r>
              <w:rPr>
                <w:rFonts w:ascii="Arial" w:cs="Arial" w:eastAsia="Arial" w:hAnsi="Arial"/>
                <w:sz w:val="13"/>
                <w:szCs w:val="13"/>
                <w:color w:val="auto"/>
                <w:w w:val="88"/>
              </w:rPr>
              <w:t>Diversified Natural Resources,</w:t>
            </w:r>
          </w:p>
        </w:tc>
        <w:tc>
          <w:tcPr>
            <w:tcW w:w="940" w:type="dxa"/>
            <w:vAlign w:val="bottom"/>
          </w:tcPr>
          <w:p>
            <w:pPr>
              <w:jc w:val="right"/>
              <w:ind w:right="117"/>
              <w:spacing w:after="0" w:line="121" w:lineRule="exact"/>
              <w:rPr>
                <w:sz w:val="20"/>
                <w:szCs w:val="20"/>
                <w:color w:val="auto"/>
              </w:rPr>
            </w:pPr>
            <w:r>
              <w:rPr>
                <w:rFonts w:ascii="Arial" w:cs="Arial" w:eastAsia="Arial" w:hAnsi="Arial"/>
                <w:sz w:val="13"/>
                <w:szCs w:val="13"/>
                <w:color w:val="auto"/>
              </w:rPr>
              <w:t>11.50%</w:t>
            </w:r>
          </w:p>
        </w:tc>
        <w:tc>
          <w:tcPr>
            <w:tcW w:w="1060" w:type="dxa"/>
            <w:vAlign w:val="bottom"/>
          </w:tcPr>
          <w:p>
            <w:pPr>
              <w:jc w:val="right"/>
              <w:ind w:right="157"/>
              <w:spacing w:after="0" w:line="121" w:lineRule="exact"/>
              <w:rPr>
                <w:sz w:val="20"/>
                <w:szCs w:val="20"/>
                <w:color w:val="auto"/>
              </w:rPr>
            </w:pPr>
            <w:r>
              <w:rPr>
                <w:rFonts w:ascii="Arial" w:cs="Arial" w:eastAsia="Arial" w:hAnsi="Arial"/>
                <w:sz w:val="13"/>
                <w:szCs w:val="13"/>
                <w:color w:val="auto"/>
              </w:rPr>
              <w:t>—</w:t>
            </w:r>
          </w:p>
        </w:tc>
        <w:tc>
          <w:tcPr>
            <w:tcW w:w="720" w:type="dxa"/>
            <w:vAlign w:val="bottom"/>
          </w:tcPr>
          <w:p>
            <w:pPr>
              <w:jc w:val="right"/>
              <w:ind w:right="17"/>
              <w:spacing w:after="0" w:line="121" w:lineRule="exact"/>
              <w:rPr>
                <w:sz w:val="20"/>
                <w:szCs w:val="20"/>
                <w:color w:val="auto"/>
              </w:rPr>
            </w:pPr>
            <w:r>
              <w:rPr>
                <w:rFonts w:ascii="Arial" w:cs="Arial" w:eastAsia="Arial" w:hAnsi="Arial"/>
                <w:sz w:val="13"/>
                <w:szCs w:val="13"/>
                <w:color w:val="auto"/>
                <w:w w:val="95"/>
              </w:rPr>
              <w:t>25,400,000</w:t>
            </w:r>
          </w:p>
        </w:tc>
        <w:tc>
          <w:tcPr>
            <w:tcW w:w="920" w:type="dxa"/>
            <w:vAlign w:val="bottom"/>
            <w:gridSpan w:val="3"/>
          </w:tcPr>
          <w:p>
            <w:pPr>
              <w:jc w:val="right"/>
              <w:ind w:right="140"/>
              <w:spacing w:after="0" w:line="121" w:lineRule="exact"/>
              <w:rPr>
                <w:sz w:val="20"/>
                <w:szCs w:val="20"/>
                <w:color w:val="auto"/>
              </w:rPr>
            </w:pPr>
            <w:r>
              <w:rPr>
                <w:rFonts w:ascii="Arial" w:cs="Arial" w:eastAsia="Arial" w:hAnsi="Arial"/>
                <w:sz w:val="13"/>
                <w:szCs w:val="13"/>
                <w:color w:val="auto"/>
              </w:rPr>
              <w:t>25,400,000</w:t>
            </w:r>
          </w:p>
        </w:tc>
        <w:tc>
          <w:tcPr>
            <w:tcW w:w="80" w:type="dxa"/>
            <w:vAlign w:val="bottom"/>
          </w:tcPr>
          <w:p>
            <w:pPr>
              <w:spacing w:after="0"/>
              <w:rPr>
                <w:sz w:val="10"/>
                <w:szCs w:val="10"/>
                <w:color w:val="auto"/>
              </w:rPr>
            </w:pPr>
          </w:p>
        </w:tc>
        <w:tc>
          <w:tcPr>
            <w:tcW w:w="98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25,019,000</w:t>
            </w: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40" w:type="dxa"/>
            <w:vAlign w:val="bottom"/>
          </w:tcPr>
          <w:p>
            <w:pPr>
              <w:jc w:val="center"/>
              <w:spacing w:after="0"/>
              <w:rPr>
                <w:sz w:val="20"/>
                <w:szCs w:val="20"/>
                <w:color w:val="auto"/>
              </w:rPr>
            </w:pPr>
            <w:r>
              <w:rPr>
                <w:rFonts w:ascii="Arial" w:cs="Arial" w:eastAsia="Arial" w:hAnsi="Arial"/>
                <w:sz w:val="13"/>
                <w:szCs w:val="13"/>
                <w:color w:val="auto"/>
                <w:w w:val="87"/>
              </w:rPr>
              <w:t>Precious Metals and Minerals</w:t>
            </w:r>
          </w:p>
        </w:tc>
        <w:tc>
          <w:tcPr>
            <w:tcW w:w="9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4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Ascensus, Inc.</w:t>
            </w:r>
          </w:p>
        </w:tc>
        <w:tc>
          <w:tcPr>
            <w:tcW w:w="1280" w:type="dxa"/>
            <w:vAlign w:val="bottom"/>
            <w:shd w:val="clear" w:color="auto" w:fill="CCEEFF"/>
          </w:tcPr>
          <w:p>
            <w:pPr>
              <w:ind w:left="640"/>
              <w:spacing w:after="0" w:line="135" w:lineRule="exact"/>
              <w:rPr>
                <w:sz w:val="20"/>
                <w:szCs w:val="20"/>
                <w:color w:val="auto"/>
              </w:rPr>
            </w:pPr>
            <w:r>
              <w:rPr>
                <w:rFonts w:ascii="Arial" w:cs="Arial" w:eastAsia="Arial" w:hAnsi="Arial"/>
                <w:sz w:val="13"/>
                <w:szCs w:val="13"/>
                <w:color w:val="auto"/>
                <w:w w:val="95"/>
              </w:rPr>
              <w:t>12/02/2020</w:t>
            </w:r>
          </w:p>
        </w:tc>
        <w:tc>
          <w:tcPr>
            <w:tcW w:w="18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Financial Services</w:t>
            </w:r>
          </w:p>
        </w:tc>
        <w:tc>
          <w:tcPr>
            <w:tcW w:w="94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9.00%</w:t>
            </w:r>
          </w:p>
        </w:tc>
        <w:tc>
          <w:tcPr>
            <w:tcW w:w="106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L+800</w:t>
            </w:r>
          </w:p>
        </w:tc>
        <w:tc>
          <w:tcPr>
            <w:tcW w:w="72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w w:val="95"/>
              </w:rPr>
              <w:t>15,500,000</w:t>
            </w:r>
          </w:p>
        </w:tc>
        <w:tc>
          <w:tcPr>
            <w:tcW w:w="92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15,295,139</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15,316,015</w:t>
            </w:r>
          </w:p>
        </w:tc>
        <w:tc>
          <w:tcPr>
            <w:tcW w:w="0" w:type="dxa"/>
            <w:vAlign w:val="bottom"/>
          </w:tcPr>
          <w:p>
            <w:pPr>
              <w:spacing w:after="0"/>
              <w:rPr>
                <w:sz w:val="1"/>
                <w:szCs w:val="1"/>
                <w:color w:val="auto"/>
              </w:rPr>
            </w:pPr>
          </w:p>
        </w:tc>
      </w:tr>
      <w:tr>
        <w:trPr>
          <w:trHeight w:val="135"/>
        </w:trPr>
        <w:tc>
          <w:tcPr>
            <w:tcW w:w="3420" w:type="dxa"/>
            <w:vAlign w:val="bottom"/>
          </w:tcPr>
          <w:p>
            <w:pPr>
              <w:spacing w:after="0" w:line="135" w:lineRule="exact"/>
              <w:rPr>
                <w:sz w:val="20"/>
                <w:szCs w:val="20"/>
                <w:color w:val="auto"/>
              </w:rPr>
            </w:pPr>
            <w:r>
              <w:rPr>
                <w:rFonts w:ascii="Arial" w:cs="Arial" w:eastAsia="Arial" w:hAnsi="Arial"/>
                <w:sz w:val="13"/>
                <w:szCs w:val="13"/>
                <w:color w:val="auto"/>
              </w:rPr>
              <w:t>Bennu Oil &amp; Gas, LLC</w:t>
            </w:r>
          </w:p>
        </w:tc>
        <w:tc>
          <w:tcPr>
            <w:tcW w:w="1280" w:type="dxa"/>
            <w:vAlign w:val="bottom"/>
          </w:tcPr>
          <w:p>
            <w:pPr>
              <w:ind w:left="660"/>
              <w:spacing w:after="0" w:line="135" w:lineRule="exact"/>
              <w:rPr>
                <w:sz w:val="20"/>
                <w:szCs w:val="20"/>
                <w:color w:val="auto"/>
              </w:rPr>
            </w:pPr>
            <w:r>
              <w:rPr>
                <w:rFonts w:ascii="Arial" w:cs="Arial" w:eastAsia="Arial" w:hAnsi="Arial"/>
                <w:sz w:val="13"/>
                <w:szCs w:val="13"/>
                <w:color w:val="auto"/>
                <w:w w:val="92"/>
              </w:rPr>
              <w:t>11/01/2018</w:t>
            </w:r>
          </w:p>
        </w:tc>
        <w:tc>
          <w:tcPr>
            <w:tcW w:w="1840" w:type="dxa"/>
            <w:vAlign w:val="bottom"/>
          </w:tcPr>
          <w:p>
            <w:pPr>
              <w:jc w:val="center"/>
              <w:spacing w:after="0" w:line="135" w:lineRule="exact"/>
              <w:rPr>
                <w:sz w:val="20"/>
                <w:szCs w:val="20"/>
                <w:color w:val="auto"/>
              </w:rPr>
            </w:pPr>
            <w:r>
              <w:rPr>
                <w:rFonts w:ascii="Arial" w:cs="Arial" w:eastAsia="Arial" w:hAnsi="Arial"/>
                <w:sz w:val="13"/>
                <w:szCs w:val="13"/>
                <w:color w:val="auto"/>
                <w:w w:val="87"/>
              </w:rPr>
              <w:t>Oil and Gas</w:t>
            </w:r>
          </w:p>
        </w:tc>
        <w:tc>
          <w:tcPr>
            <w:tcW w:w="94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8.75%</w:t>
            </w:r>
          </w:p>
        </w:tc>
        <w:tc>
          <w:tcPr>
            <w:tcW w:w="106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L+750</w:t>
            </w:r>
          </w:p>
        </w:tc>
        <w:tc>
          <w:tcPr>
            <w:tcW w:w="720" w:type="dxa"/>
            <w:vAlign w:val="bottom"/>
          </w:tcPr>
          <w:p>
            <w:pPr>
              <w:jc w:val="right"/>
              <w:ind w:right="17"/>
              <w:spacing w:after="0" w:line="135" w:lineRule="exact"/>
              <w:rPr>
                <w:sz w:val="20"/>
                <w:szCs w:val="20"/>
                <w:color w:val="auto"/>
              </w:rPr>
            </w:pPr>
            <w:r>
              <w:rPr>
                <w:rFonts w:ascii="Arial" w:cs="Arial" w:eastAsia="Arial" w:hAnsi="Arial"/>
                <w:sz w:val="13"/>
                <w:szCs w:val="13"/>
                <w:color w:val="auto"/>
                <w:w w:val="95"/>
              </w:rPr>
              <w:t>19,700,736</w:t>
            </w:r>
          </w:p>
        </w:tc>
        <w:tc>
          <w:tcPr>
            <w:tcW w:w="92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19,616,521</w:t>
            </w: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14,652,423</w:t>
            </w:r>
          </w:p>
        </w:tc>
        <w:tc>
          <w:tcPr>
            <w:tcW w:w="0" w:type="dxa"/>
            <w:vAlign w:val="bottom"/>
          </w:tcPr>
          <w:p>
            <w:pPr>
              <w:spacing w:after="0"/>
              <w:rPr>
                <w:sz w:val="1"/>
                <w:szCs w:val="1"/>
                <w:color w:val="auto"/>
              </w:rPr>
            </w:pPr>
          </w:p>
        </w:tc>
      </w:tr>
      <w:tr>
        <w:trPr>
          <w:trHeight w:val="135"/>
        </w:trPr>
        <w:tc>
          <w:tcPr>
            <w:tcW w:w="34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Carolina Beverage Group, LLC</w:t>
            </w:r>
          </w:p>
        </w:tc>
        <w:tc>
          <w:tcPr>
            <w:tcW w:w="1280" w:type="dxa"/>
            <w:vAlign w:val="bottom"/>
            <w:shd w:val="clear" w:color="auto" w:fill="CCEEFF"/>
          </w:tcPr>
          <w:p>
            <w:pPr>
              <w:ind w:left="640"/>
              <w:spacing w:after="0" w:line="135" w:lineRule="exact"/>
              <w:rPr>
                <w:sz w:val="20"/>
                <w:szCs w:val="20"/>
                <w:color w:val="auto"/>
              </w:rPr>
            </w:pPr>
            <w:r>
              <w:rPr>
                <w:rFonts w:ascii="Arial" w:cs="Arial" w:eastAsia="Arial" w:hAnsi="Arial"/>
                <w:sz w:val="13"/>
                <w:szCs w:val="13"/>
                <w:color w:val="auto"/>
                <w:w w:val="95"/>
              </w:rPr>
              <w:t>08/01/2018</w:t>
            </w:r>
          </w:p>
        </w:tc>
        <w:tc>
          <w:tcPr>
            <w:tcW w:w="18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Beverage, Food and Tobacco</w:t>
            </w:r>
          </w:p>
        </w:tc>
        <w:tc>
          <w:tcPr>
            <w:tcW w:w="94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10.63%</w:t>
            </w:r>
          </w:p>
        </w:tc>
        <w:tc>
          <w:tcPr>
            <w:tcW w:w="106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w w:val="95"/>
              </w:rPr>
              <w:t>13,125,000</w:t>
            </w:r>
          </w:p>
        </w:tc>
        <w:tc>
          <w:tcPr>
            <w:tcW w:w="92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13,125,000</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12,993,750</w:t>
            </w:r>
          </w:p>
        </w:tc>
        <w:tc>
          <w:tcPr>
            <w:tcW w:w="0" w:type="dxa"/>
            <w:vAlign w:val="bottom"/>
          </w:tcPr>
          <w:p>
            <w:pPr>
              <w:spacing w:after="0"/>
              <w:rPr>
                <w:sz w:val="1"/>
                <w:szCs w:val="1"/>
                <w:color w:val="auto"/>
              </w:rPr>
            </w:pPr>
          </w:p>
        </w:tc>
      </w:tr>
      <w:tr>
        <w:trPr>
          <w:trHeight w:val="121"/>
        </w:trPr>
        <w:tc>
          <w:tcPr>
            <w:tcW w:w="3420" w:type="dxa"/>
            <w:vAlign w:val="bottom"/>
          </w:tcPr>
          <w:p>
            <w:pPr>
              <w:spacing w:after="0" w:line="121" w:lineRule="exact"/>
              <w:rPr>
                <w:sz w:val="20"/>
                <w:szCs w:val="20"/>
                <w:color w:val="auto"/>
              </w:rPr>
            </w:pPr>
            <w:r>
              <w:rPr>
                <w:rFonts w:ascii="Arial" w:cs="Arial" w:eastAsia="Arial" w:hAnsi="Arial"/>
                <w:sz w:val="13"/>
                <w:szCs w:val="13"/>
                <w:color w:val="auto"/>
              </w:rPr>
              <w:t>Envision Acquisition Company, LLC</w:t>
            </w:r>
          </w:p>
        </w:tc>
        <w:tc>
          <w:tcPr>
            <w:tcW w:w="1280" w:type="dxa"/>
            <w:vAlign w:val="bottom"/>
          </w:tcPr>
          <w:p>
            <w:pPr>
              <w:ind w:left="660"/>
              <w:spacing w:after="0" w:line="121" w:lineRule="exact"/>
              <w:rPr>
                <w:sz w:val="20"/>
                <w:szCs w:val="20"/>
                <w:color w:val="auto"/>
              </w:rPr>
            </w:pPr>
            <w:r>
              <w:rPr>
                <w:rFonts w:ascii="Arial" w:cs="Arial" w:eastAsia="Arial" w:hAnsi="Arial"/>
                <w:sz w:val="13"/>
                <w:szCs w:val="13"/>
                <w:color w:val="auto"/>
                <w:w w:val="92"/>
              </w:rPr>
              <w:t>11/04/2021</w:t>
            </w:r>
          </w:p>
        </w:tc>
        <w:tc>
          <w:tcPr>
            <w:tcW w:w="1840" w:type="dxa"/>
            <w:vAlign w:val="bottom"/>
          </w:tcPr>
          <w:p>
            <w:pPr>
              <w:jc w:val="center"/>
              <w:spacing w:after="0" w:line="121" w:lineRule="exact"/>
              <w:rPr>
                <w:sz w:val="20"/>
                <w:szCs w:val="20"/>
                <w:color w:val="auto"/>
              </w:rPr>
            </w:pPr>
            <w:r>
              <w:rPr>
                <w:rFonts w:ascii="Arial" w:cs="Arial" w:eastAsia="Arial" w:hAnsi="Arial"/>
                <w:sz w:val="13"/>
                <w:szCs w:val="13"/>
                <w:color w:val="auto"/>
                <w:w w:val="86"/>
              </w:rPr>
              <w:t>Healthcare, Education and</w:t>
            </w:r>
          </w:p>
        </w:tc>
        <w:tc>
          <w:tcPr>
            <w:tcW w:w="940" w:type="dxa"/>
            <w:vAlign w:val="bottom"/>
          </w:tcPr>
          <w:p>
            <w:pPr>
              <w:jc w:val="right"/>
              <w:ind w:right="117"/>
              <w:spacing w:after="0" w:line="121" w:lineRule="exact"/>
              <w:rPr>
                <w:sz w:val="20"/>
                <w:szCs w:val="20"/>
                <w:color w:val="auto"/>
              </w:rPr>
            </w:pPr>
            <w:r>
              <w:rPr>
                <w:rFonts w:ascii="Arial" w:cs="Arial" w:eastAsia="Arial" w:hAnsi="Arial"/>
                <w:sz w:val="13"/>
                <w:szCs w:val="13"/>
                <w:color w:val="auto"/>
              </w:rPr>
              <w:t>9.75%</w:t>
            </w:r>
          </w:p>
        </w:tc>
        <w:tc>
          <w:tcPr>
            <w:tcW w:w="1060" w:type="dxa"/>
            <w:vAlign w:val="bottom"/>
          </w:tcPr>
          <w:p>
            <w:pPr>
              <w:jc w:val="right"/>
              <w:ind w:right="157"/>
              <w:spacing w:after="0" w:line="121" w:lineRule="exact"/>
              <w:rPr>
                <w:sz w:val="20"/>
                <w:szCs w:val="20"/>
                <w:color w:val="auto"/>
              </w:rPr>
            </w:pPr>
            <w:r>
              <w:rPr>
                <w:rFonts w:ascii="Arial" w:cs="Arial" w:eastAsia="Arial" w:hAnsi="Arial"/>
                <w:sz w:val="13"/>
                <w:szCs w:val="13"/>
                <w:color w:val="auto"/>
              </w:rPr>
              <w:t>L+875</w:t>
            </w:r>
          </w:p>
        </w:tc>
        <w:tc>
          <w:tcPr>
            <w:tcW w:w="720" w:type="dxa"/>
            <w:vAlign w:val="bottom"/>
          </w:tcPr>
          <w:p>
            <w:pPr>
              <w:jc w:val="right"/>
              <w:ind w:right="17"/>
              <w:spacing w:after="0" w:line="121" w:lineRule="exact"/>
              <w:rPr>
                <w:sz w:val="20"/>
                <w:szCs w:val="20"/>
                <w:color w:val="auto"/>
              </w:rPr>
            </w:pPr>
            <w:r>
              <w:rPr>
                <w:rFonts w:ascii="Arial" w:cs="Arial" w:eastAsia="Arial" w:hAnsi="Arial"/>
                <w:sz w:val="13"/>
                <w:szCs w:val="13"/>
                <w:color w:val="auto"/>
                <w:w w:val="95"/>
              </w:rPr>
              <w:t>24,700,000</w:t>
            </w:r>
          </w:p>
        </w:tc>
        <w:tc>
          <w:tcPr>
            <w:tcW w:w="920" w:type="dxa"/>
            <w:vAlign w:val="bottom"/>
            <w:gridSpan w:val="3"/>
          </w:tcPr>
          <w:p>
            <w:pPr>
              <w:jc w:val="right"/>
              <w:ind w:right="140"/>
              <w:spacing w:after="0" w:line="121" w:lineRule="exact"/>
              <w:rPr>
                <w:sz w:val="20"/>
                <w:szCs w:val="20"/>
                <w:color w:val="auto"/>
              </w:rPr>
            </w:pPr>
            <w:r>
              <w:rPr>
                <w:rFonts w:ascii="Arial" w:cs="Arial" w:eastAsia="Arial" w:hAnsi="Arial"/>
                <w:sz w:val="13"/>
                <w:szCs w:val="13"/>
                <w:color w:val="auto"/>
              </w:rPr>
              <w:t>24,323,952</w:t>
            </w:r>
          </w:p>
        </w:tc>
        <w:tc>
          <w:tcPr>
            <w:tcW w:w="80" w:type="dxa"/>
            <w:vAlign w:val="bottom"/>
          </w:tcPr>
          <w:p>
            <w:pPr>
              <w:spacing w:after="0"/>
              <w:rPr>
                <w:sz w:val="10"/>
                <w:szCs w:val="10"/>
                <w:color w:val="auto"/>
              </w:rPr>
            </w:pPr>
          </w:p>
        </w:tc>
        <w:tc>
          <w:tcPr>
            <w:tcW w:w="98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24,483,875</w:t>
            </w: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40" w:type="dxa"/>
            <w:vAlign w:val="bottom"/>
          </w:tcPr>
          <w:p>
            <w:pPr>
              <w:jc w:val="center"/>
              <w:spacing w:after="0"/>
              <w:rPr>
                <w:sz w:val="20"/>
                <w:szCs w:val="20"/>
                <w:color w:val="auto"/>
              </w:rPr>
            </w:pPr>
            <w:r>
              <w:rPr>
                <w:rFonts w:ascii="Arial" w:cs="Arial" w:eastAsia="Arial" w:hAnsi="Arial"/>
                <w:sz w:val="13"/>
                <w:szCs w:val="13"/>
                <w:color w:val="auto"/>
                <w:w w:val="87"/>
              </w:rPr>
              <w:t>Childcare</w:t>
            </w:r>
          </w:p>
        </w:tc>
        <w:tc>
          <w:tcPr>
            <w:tcW w:w="9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4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Foundation Building Materials, LLC</w:t>
            </w:r>
          </w:p>
        </w:tc>
        <w:tc>
          <w:tcPr>
            <w:tcW w:w="1280" w:type="dxa"/>
            <w:vAlign w:val="bottom"/>
            <w:shd w:val="clear" w:color="auto" w:fill="CCEEFF"/>
          </w:tcPr>
          <w:p>
            <w:pPr>
              <w:ind w:left="640"/>
              <w:spacing w:after="0" w:line="135" w:lineRule="exact"/>
              <w:rPr>
                <w:sz w:val="20"/>
                <w:szCs w:val="20"/>
                <w:color w:val="auto"/>
              </w:rPr>
            </w:pPr>
            <w:r>
              <w:rPr>
                <w:rFonts w:ascii="Arial" w:cs="Arial" w:eastAsia="Arial" w:hAnsi="Arial"/>
                <w:sz w:val="13"/>
                <w:szCs w:val="13"/>
                <w:color w:val="auto"/>
                <w:w w:val="95"/>
              </w:rPr>
              <w:t>04/30/2019</w:t>
            </w:r>
          </w:p>
        </w:tc>
        <w:tc>
          <w:tcPr>
            <w:tcW w:w="18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3"/>
              </w:rPr>
              <w:t>Building Materials</w:t>
            </w:r>
          </w:p>
        </w:tc>
        <w:tc>
          <w:tcPr>
            <w:tcW w:w="94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12.00%</w:t>
            </w:r>
          </w:p>
        </w:tc>
        <w:tc>
          <w:tcPr>
            <w:tcW w:w="106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L+1,100</w:t>
            </w:r>
          </w:p>
        </w:tc>
        <w:tc>
          <w:tcPr>
            <w:tcW w:w="72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w w:val="95"/>
              </w:rPr>
              <w:t>55,000,000</w:t>
            </w:r>
          </w:p>
        </w:tc>
        <w:tc>
          <w:tcPr>
            <w:tcW w:w="92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54,464,495</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54,238,104</w:t>
            </w:r>
          </w:p>
        </w:tc>
        <w:tc>
          <w:tcPr>
            <w:tcW w:w="0" w:type="dxa"/>
            <w:vAlign w:val="bottom"/>
          </w:tcPr>
          <w:p>
            <w:pPr>
              <w:spacing w:after="0"/>
              <w:rPr>
                <w:sz w:val="1"/>
                <w:szCs w:val="1"/>
                <w:color w:val="auto"/>
              </w:rPr>
            </w:pPr>
          </w:p>
        </w:tc>
      </w:tr>
      <w:tr>
        <w:trPr>
          <w:trHeight w:val="121"/>
        </w:trPr>
        <w:tc>
          <w:tcPr>
            <w:tcW w:w="3420" w:type="dxa"/>
            <w:vAlign w:val="bottom"/>
          </w:tcPr>
          <w:p>
            <w:pPr>
              <w:spacing w:after="0" w:line="121" w:lineRule="exact"/>
              <w:rPr>
                <w:sz w:val="20"/>
                <w:szCs w:val="20"/>
                <w:color w:val="auto"/>
              </w:rPr>
            </w:pPr>
            <w:r>
              <w:rPr>
                <w:rFonts w:ascii="Arial" w:cs="Arial" w:eastAsia="Arial" w:hAnsi="Arial"/>
                <w:sz w:val="13"/>
                <w:szCs w:val="13"/>
                <w:color w:val="auto"/>
              </w:rPr>
              <w:t>Foundation Building Materials, LLC</w:t>
            </w:r>
          </w:p>
        </w:tc>
        <w:tc>
          <w:tcPr>
            <w:tcW w:w="1280" w:type="dxa"/>
            <w:vAlign w:val="bottom"/>
          </w:tcPr>
          <w:p>
            <w:pPr>
              <w:ind w:left="640"/>
              <w:spacing w:after="0" w:line="121" w:lineRule="exact"/>
              <w:rPr>
                <w:sz w:val="20"/>
                <w:szCs w:val="20"/>
                <w:color w:val="auto"/>
              </w:rPr>
            </w:pPr>
            <w:r>
              <w:rPr>
                <w:rFonts w:ascii="Arial" w:cs="Arial" w:eastAsia="Arial" w:hAnsi="Arial"/>
                <w:sz w:val="13"/>
                <w:szCs w:val="13"/>
                <w:color w:val="auto"/>
                <w:w w:val="95"/>
              </w:rPr>
              <w:t>04/30/2019</w:t>
            </w:r>
          </w:p>
        </w:tc>
        <w:tc>
          <w:tcPr>
            <w:tcW w:w="1840" w:type="dxa"/>
            <w:vAlign w:val="bottom"/>
          </w:tcPr>
          <w:p>
            <w:pPr>
              <w:jc w:val="center"/>
              <w:spacing w:after="0" w:line="121" w:lineRule="exact"/>
              <w:rPr>
                <w:sz w:val="20"/>
                <w:szCs w:val="20"/>
                <w:color w:val="auto"/>
              </w:rPr>
            </w:pPr>
            <w:r>
              <w:rPr>
                <w:rFonts w:ascii="Arial" w:cs="Arial" w:eastAsia="Arial" w:hAnsi="Arial"/>
                <w:sz w:val="13"/>
                <w:szCs w:val="13"/>
                <w:color w:val="auto"/>
                <w:w w:val="93"/>
              </w:rPr>
              <w:t>Building Materials</w:t>
            </w:r>
          </w:p>
        </w:tc>
        <w:tc>
          <w:tcPr>
            <w:tcW w:w="940" w:type="dxa"/>
            <w:vAlign w:val="bottom"/>
          </w:tcPr>
          <w:p>
            <w:pPr>
              <w:jc w:val="right"/>
              <w:ind w:right="217"/>
              <w:spacing w:after="0" w:line="121" w:lineRule="exact"/>
              <w:rPr>
                <w:sz w:val="20"/>
                <w:szCs w:val="20"/>
                <w:color w:val="auto"/>
              </w:rPr>
            </w:pPr>
            <w:r>
              <w:rPr>
                <w:rFonts w:ascii="Arial" w:cs="Arial" w:eastAsia="Arial" w:hAnsi="Arial"/>
                <w:sz w:val="13"/>
                <w:szCs w:val="13"/>
                <w:color w:val="auto"/>
              </w:rPr>
              <w:t>13.00</w:t>
            </w:r>
          </w:p>
        </w:tc>
        <w:tc>
          <w:tcPr>
            <w:tcW w:w="1060" w:type="dxa"/>
            <w:vAlign w:val="bottom"/>
          </w:tcPr>
          <w:p>
            <w:pPr>
              <w:jc w:val="right"/>
              <w:ind w:right="157"/>
              <w:spacing w:after="0" w:line="121" w:lineRule="exact"/>
              <w:rPr>
                <w:sz w:val="20"/>
                <w:szCs w:val="20"/>
                <w:color w:val="auto"/>
              </w:rPr>
            </w:pPr>
            <w:r>
              <w:rPr>
                <w:rFonts w:ascii="Arial" w:cs="Arial" w:eastAsia="Arial" w:hAnsi="Arial"/>
                <w:sz w:val="13"/>
                <w:szCs w:val="13"/>
                <w:color w:val="auto"/>
              </w:rPr>
              <w:t>L+1,200</w:t>
            </w:r>
          </w:p>
        </w:tc>
        <w:tc>
          <w:tcPr>
            <w:tcW w:w="720" w:type="dxa"/>
            <w:vAlign w:val="bottom"/>
          </w:tcPr>
          <w:p>
            <w:pPr>
              <w:jc w:val="right"/>
              <w:ind w:right="17"/>
              <w:spacing w:after="0" w:line="121" w:lineRule="exact"/>
              <w:rPr>
                <w:sz w:val="20"/>
                <w:szCs w:val="20"/>
                <w:color w:val="auto"/>
              </w:rPr>
            </w:pPr>
            <w:r>
              <w:rPr>
                <w:rFonts w:ascii="Arial" w:cs="Arial" w:eastAsia="Arial" w:hAnsi="Arial"/>
                <w:sz w:val="13"/>
                <w:szCs w:val="13"/>
                <w:color w:val="auto"/>
                <w:w w:val="95"/>
              </w:rPr>
              <w:t>32,859,973</w:t>
            </w:r>
          </w:p>
        </w:tc>
        <w:tc>
          <w:tcPr>
            <w:tcW w:w="920" w:type="dxa"/>
            <w:vAlign w:val="bottom"/>
            <w:gridSpan w:val="3"/>
          </w:tcPr>
          <w:p>
            <w:pPr>
              <w:jc w:val="right"/>
              <w:ind w:right="140"/>
              <w:spacing w:after="0" w:line="121" w:lineRule="exact"/>
              <w:rPr>
                <w:sz w:val="20"/>
                <w:szCs w:val="20"/>
                <w:color w:val="auto"/>
              </w:rPr>
            </w:pPr>
            <w:r>
              <w:rPr>
                <w:rFonts w:ascii="Arial" w:cs="Arial" w:eastAsia="Arial" w:hAnsi="Arial"/>
                <w:sz w:val="13"/>
                <w:szCs w:val="13"/>
                <w:color w:val="auto"/>
              </w:rPr>
              <w:t>32,280,689</w:t>
            </w:r>
          </w:p>
        </w:tc>
        <w:tc>
          <w:tcPr>
            <w:tcW w:w="80" w:type="dxa"/>
            <w:vAlign w:val="bottom"/>
          </w:tcPr>
          <w:p>
            <w:pPr>
              <w:spacing w:after="0"/>
              <w:rPr>
                <w:sz w:val="10"/>
                <w:szCs w:val="10"/>
                <w:color w:val="auto"/>
              </w:rPr>
            </w:pPr>
          </w:p>
        </w:tc>
        <w:tc>
          <w:tcPr>
            <w:tcW w:w="98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32,878,792</w:t>
            </w:r>
          </w:p>
        </w:tc>
        <w:tc>
          <w:tcPr>
            <w:tcW w:w="0" w:type="dxa"/>
            <w:vAlign w:val="bottom"/>
          </w:tcPr>
          <w:p>
            <w:pPr>
              <w:spacing w:after="0"/>
              <w:rPr>
                <w:sz w:val="1"/>
                <w:szCs w:val="1"/>
                <w:color w:val="auto"/>
              </w:rPr>
            </w:pPr>
          </w:p>
        </w:tc>
      </w:tr>
      <w:tr>
        <w:trPr>
          <w:trHeight w:val="161"/>
        </w:trPr>
        <w:tc>
          <w:tcPr>
            <w:tcW w:w="34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(PIK 1.00%)</w:t>
            </w:r>
          </w:p>
        </w:tc>
        <w:tc>
          <w:tcPr>
            <w:tcW w:w="10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42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Howard Berger Co. LLC</w:t>
            </w:r>
          </w:p>
        </w:tc>
        <w:tc>
          <w:tcPr>
            <w:tcW w:w="1280" w:type="dxa"/>
            <w:vAlign w:val="bottom"/>
            <w:shd w:val="clear" w:color="auto" w:fill="CCEEFF"/>
          </w:tcPr>
          <w:p>
            <w:pPr>
              <w:ind w:left="640"/>
              <w:spacing w:after="0" w:line="136" w:lineRule="exact"/>
              <w:rPr>
                <w:sz w:val="20"/>
                <w:szCs w:val="20"/>
                <w:color w:val="auto"/>
              </w:rPr>
            </w:pPr>
            <w:r>
              <w:rPr>
                <w:rFonts w:ascii="Arial" w:cs="Arial" w:eastAsia="Arial" w:hAnsi="Arial"/>
                <w:sz w:val="13"/>
                <w:szCs w:val="13"/>
                <w:color w:val="auto"/>
                <w:w w:val="95"/>
              </w:rPr>
              <w:t>09/30/2020</w:t>
            </w:r>
          </w:p>
        </w:tc>
        <w:tc>
          <w:tcPr>
            <w:tcW w:w="1840" w:type="dxa"/>
            <w:vAlign w:val="bottom"/>
            <w:shd w:val="clear" w:color="auto" w:fill="CCEEFF"/>
          </w:tcPr>
          <w:p>
            <w:pPr>
              <w:jc w:val="center"/>
              <w:spacing w:after="0" w:line="136" w:lineRule="exact"/>
              <w:rPr>
                <w:sz w:val="20"/>
                <w:szCs w:val="20"/>
                <w:color w:val="auto"/>
              </w:rPr>
            </w:pPr>
            <w:r>
              <w:rPr>
                <w:rFonts w:ascii="Arial" w:cs="Arial" w:eastAsia="Arial" w:hAnsi="Arial"/>
                <w:sz w:val="13"/>
                <w:szCs w:val="13"/>
                <w:color w:val="auto"/>
                <w:w w:val="92"/>
              </w:rPr>
              <w:t>Distribution</w:t>
            </w:r>
          </w:p>
        </w:tc>
        <w:tc>
          <w:tcPr>
            <w:tcW w:w="940" w:type="dxa"/>
            <w:vAlign w:val="bottom"/>
            <w:shd w:val="clear" w:color="auto" w:fill="CCEEFF"/>
          </w:tcPr>
          <w:p>
            <w:pPr>
              <w:jc w:val="right"/>
              <w:ind w:right="117"/>
              <w:spacing w:after="0" w:line="136" w:lineRule="exact"/>
              <w:rPr>
                <w:sz w:val="20"/>
                <w:szCs w:val="20"/>
                <w:color w:val="auto"/>
              </w:rPr>
            </w:pPr>
            <w:r>
              <w:rPr>
                <w:rFonts w:ascii="Arial" w:cs="Arial" w:eastAsia="Arial" w:hAnsi="Arial"/>
                <w:sz w:val="13"/>
                <w:szCs w:val="13"/>
                <w:color w:val="auto"/>
              </w:rPr>
              <w:t>11.00%</w:t>
            </w:r>
          </w:p>
        </w:tc>
        <w:tc>
          <w:tcPr>
            <w:tcW w:w="1060" w:type="dxa"/>
            <w:vAlign w:val="bottom"/>
            <w:shd w:val="clear" w:color="auto" w:fill="CCEEFF"/>
          </w:tcPr>
          <w:p>
            <w:pPr>
              <w:jc w:val="right"/>
              <w:ind w:right="157"/>
              <w:spacing w:after="0" w:line="136" w:lineRule="exact"/>
              <w:rPr>
                <w:sz w:val="20"/>
                <w:szCs w:val="20"/>
                <w:color w:val="auto"/>
              </w:rPr>
            </w:pPr>
            <w:r>
              <w:rPr>
                <w:rFonts w:ascii="Arial" w:cs="Arial" w:eastAsia="Arial" w:hAnsi="Arial"/>
                <w:sz w:val="13"/>
                <w:szCs w:val="13"/>
                <w:color w:val="auto"/>
              </w:rPr>
              <w:t>L+1,000</w:t>
            </w:r>
          </w:p>
        </w:tc>
        <w:tc>
          <w:tcPr>
            <w:tcW w:w="720" w:type="dxa"/>
            <w:vAlign w:val="bottom"/>
            <w:shd w:val="clear" w:color="auto" w:fill="CCEEFF"/>
          </w:tcPr>
          <w:p>
            <w:pPr>
              <w:jc w:val="right"/>
              <w:ind w:right="17"/>
              <w:spacing w:after="0" w:line="136" w:lineRule="exact"/>
              <w:rPr>
                <w:sz w:val="20"/>
                <w:szCs w:val="20"/>
                <w:color w:val="auto"/>
              </w:rPr>
            </w:pPr>
            <w:r>
              <w:rPr>
                <w:rFonts w:ascii="Arial" w:cs="Arial" w:eastAsia="Arial" w:hAnsi="Arial"/>
                <w:sz w:val="13"/>
                <w:szCs w:val="13"/>
                <w:color w:val="auto"/>
                <w:w w:val="95"/>
              </w:rPr>
              <w:t>41,250,000</w:t>
            </w:r>
          </w:p>
        </w:tc>
        <w:tc>
          <w:tcPr>
            <w:tcW w:w="920" w:type="dxa"/>
            <w:vAlign w:val="bottom"/>
            <w:gridSpan w:val="3"/>
            <w:shd w:val="clear" w:color="auto" w:fill="CCEEFF"/>
          </w:tcPr>
          <w:p>
            <w:pPr>
              <w:jc w:val="right"/>
              <w:ind w:right="140"/>
              <w:spacing w:after="0" w:line="136" w:lineRule="exact"/>
              <w:rPr>
                <w:sz w:val="20"/>
                <w:szCs w:val="20"/>
                <w:color w:val="auto"/>
              </w:rPr>
            </w:pPr>
            <w:r>
              <w:rPr>
                <w:rFonts w:ascii="Arial" w:cs="Arial" w:eastAsia="Arial" w:hAnsi="Arial"/>
                <w:sz w:val="13"/>
                <w:szCs w:val="13"/>
                <w:color w:val="auto"/>
              </w:rPr>
              <w:t>38,868,278</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3"/>
                <w:szCs w:val="13"/>
                <w:color w:val="auto"/>
              </w:rPr>
              <w:t>38,775,000</w:t>
            </w:r>
          </w:p>
        </w:tc>
        <w:tc>
          <w:tcPr>
            <w:tcW w:w="0" w:type="dxa"/>
            <w:vAlign w:val="bottom"/>
          </w:tcPr>
          <w:p>
            <w:pPr>
              <w:spacing w:after="0"/>
              <w:rPr>
                <w:sz w:val="1"/>
                <w:szCs w:val="1"/>
                <w:color w:val="auto"/>
              </w:rPr>
            </w:pPr>
          </w:p>
        </w:tc>
      </w:tr>
      <w:tr>
        <w:trPr>
          <w:trHeight w:val="135"/>
        </w:trPr>
        <w:tc>
          <w:tcPr>
            <w:tcW w:w="3420" w:type="dxa"/>
            <w:vAlign w:val="bottom"/>
          </w:tcPr>
          <w:p>
            <w:pPr>
              <w:spacing w:after="0" w:line="135" w:lineRule="exact"/>
              <w:rPr>
                <w:sz w:val="20"/>
                <w:szCs w:val="20"/>
                <w:color w:val="auto"/>
              </w:rPr>
            </w:pPr>
            <w:r>
              <w:rPr>
                <w:rFonts w:ascii="Arial" w:cs="Arial" w:eastAsia="Arial" w:hAnsi="Arial"/>
                <w:sz w:val="13"/>
                <w:szCs w:val="13"/>
                <w:color w:val="auto"/>
              </w:rPr>
              <w:t xml:space="preserve">Intermediate Transportation 100, LLC </w:t>
            </w:r>
            <w:r>
              <w:rPr>
                <w:rFonts w:ascii="Arial" w:cs="Arial" w:eastAsia="Arial" w:hAnsi="Arial"/>
                <w:sz w:val="10"/>
                <w:szCs w:val="10"/>
                <w:color w:val="auto"/>
              </w:rPr>
              <w:t>(5)</w:t>
            </w:r>
          </w:p>
        </w:tc>
        <w:tc>
          <w:tcPr>
            <w:tcW w:w="1280" w:type="dxa"/>
            <w:vAlign w:val="bottom"/>
          </w:tcPr>
          <w:p>
            <w:pPr>
              <w:ind w:left="640"/>
              <w:spacing w:after="0" w:line="135" w:lineRule="exact"/>
              <w:rPr>
                <w:sz w:val="20"/>
                <w:szCs w:val="20"/>
                <w:color w:val="auto"/>
              </w:rPr>
            </w:pPr>
            <w:r>
              <w:rPr>
                <w:rFonts w:ascii="Arial" w:cs="Arial" w:eastAsia="Arial" w:hAnsi="Arial"/>
                <w:sz w:val="13"/>
                <w:szCs w:val="13"/>
                <w:color w:val="auto"/>
                <w:w w:val="95"/>
              </w:rPr>
              <w:t>03/01/2017</w:t>
            </w:r>
          </w:p>
        </w:tc>
        <w:tc>
          <w:tcPr>
            <w:tcW w:w="1840" w:type="dxa"/>
            <w:vAlign w:val="bottom"/>
          </w:tcPr>
          <w:p>
            <w:pPr>
              <w:jc w:val="center"/>
              <w:spacing w:after="0" w:line="135" w:lineRule="exact"/>
              <w:rPr>
                <w:sz w:val="20"/>
                <w:szCs w:val="20"/>
                <w:color w:val="auto"/>
              </w:rPr>
            </w:pPr>
            <w:r>
              <w:rPr>
                <w:rFonts w:ascii="Arial" w:cs="Arial" w:eastAsia="Arial" w:hAnsi="Arial"/>
                <w:sz w:val="13"/>
                <w:szCs w:val="13"/>
                <w:color w:val="auto"/>
                <w:w w:val="86"/>
              </w:rPr>
              <w:t>Cargo Transport</w:t>
            </w:r>
          </w:p>
        </w:tc>
        <w:tc>
          <w:tcPr>
            <w:tcW w:w="940" w:type="dxa"/>
            <w:vAlign w:val="bottom"/>
          </w:tcPr>
          <w:p>
            <w:pPr>
              <w:jc w:val="right"/>
              <w:ind w:right="97"/>
              <w:spacing w:after="0" w:line="135" w:lineRule="exact"/>
              <w:rPr>
                <w:sz w:val="20"/>
                <w:szCs w:val="20"/>
                <w:color w:val="auto"/>
              </w:rPr>
            </w:pPr>
            <w:r>
              <w:rPr>
                <w:rFonts w:ascii="Arial" w:cs="Arial" w:eastAsia="Arial" w:hAnsi="Arial"/>
                <w:sz w:val="13"/>
                <w:szCs w:val="13"/>
                <w:color w:val="auto"/>
              </w:rPr>
              <w:t>—</w:t>
            </w:r>
            <w:r>
              <w:rPr>
                <w:rFonts w:ascii="Arial" w:cs="Arial" w:eastAsia="Arial" w:hAnsi="Arial"/>
                <w:sz w:val="10"/>
                <w:szCs w:val="10"/>
                <w:color w:val="auto"/>
              </w:rPr>
              <w:t>(6)</w:t>
            </w:r>
          </w:p>
        </w:tc>
        <w:tc>
          <w:tcPr>
            <w:tcW w:w="106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720" w:type="dxa"/>
            <w:vAlign w:val="bottom"/>
          </w:tcPr>
          <w:p>
            <w:pPr>
              <w:jc w:val="right"/>
              <w:ind w:right="17"/>
              <w:spacing w:after="0" w:line="135" w:lineRule="exact"/>
              <w:rPr>
                <w:sz w:val="20"/>
                <w:szCs w:val="20"/>
                <w:color w:val="auto"/>
              </w:rPr>
            </w:pPr>
            <w:r>
              <w:rPr>
                <w:rFonts w:ascii="Arial" w:cs="Arial" w:eastAsia="Arial" w:hAnsi="Arial"/>
                <w:sz w:val="13"/>
                <w:szCs w:val="13"/>
                <w:color w:val="auto"/>
              </w:rPr>
              <w:t>3,945,483</w:t>
            </w:r>
          </w:p>
        </w:tc>
        <w:tc>
          <w:tcPr>
            <w:tcW w:w="92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3,945,485</w:t>
            </w: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1,025,826</w:t>
            </w:r>
          </w:p>
        </w:tc>
        <w:tc>
          <w:tcPr>
            <w:tcW w:w="0" w:type="dxa"/>
            <w:vAlign w:val="bottom"/>
          </w:tcPr>
          <w:p>
            <w:pPr>
              <w:spacing w:after="0"/>
              <w:rPr>
                <w:sz w:val="1"/>
                <w:szCs w:val="1"/>
                <w:color w:val="auto"/>
              </w:rPr>
            </w:pPr>
          </w:p>
        </w:tc>
      </w:tr>
      <w:tr>
        <w:trPr>
          <w:trHeight w:val="135"/>
        </w:trPr>
        <w:tc>
          <w:tcPr>
            <w:tcW w:w="34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J.A. Cosmetics Holdings, Inc.</w:t>
            </w:r>
          </w:p>
        </w:tc>
        <w:tc>
          <w:tcPr>
            <w:tcW w:w="1280" w:type="dxa"/>
            <w:vAlign w:val="bottom"/>
            <w:shd w:val="clear" w:color="auto" w:fill="CCEEFF"/>
          </w:tcPr>
          <w:p>
            <w:pPr>
              <w:ind w:left="640"/>
              <w:spacing w:after="0" w:line="135" w:lineRule="exact"/>
              <w:rPr>
                <w:sz w:val="20"/>
                <w:szCs w:val="20"/>
                <w:color w:val="auto"/>
              </w:rPr>
            </w:pPr>
            <w:r>
              <w:rPr>
                <w:rFonts w:ascii="Arial" w:cs="Arial" w:eastAsia="Arial" w:hAnsi="Arial"/>
                <w:sz w:val="13"/>
                <w:szCs w:val="13"/>
                <w:color w:val="auto"/>
                <w:w w:val="95"/>
              </w:rPr>
              <w:t>07/31/2019</w:t>
            </w:r>
          </w:p>
        </w:tc>
        <w:tc>
          <w:tcPr>
            <w:tcW w:w="18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Consumer Products</w:t>
            </w:r>
          </w:p>
        </w:tc>
        <w:tc>
          <w:tcPr>
            <w:tcW w:w="94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11.00%</w:t>
            </w:r>
          </w:p>
        </w:tc>
        <w:tc>
          <w:tcPr>
            <w:tcW w:w="106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L+1,000</w:t>
            </w:r>
          </w:p>
        </w:tc>
        <w:tc>
          <w:tcPr>
            <w:tcW w:w="72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w w:val="95"/>
              </w:rPr>
              <w:t>34,000,000</w:t>
            </w:r>
          </w:p>
        </w:tc>
        <w:tc>
          <w:tcPr>
            <w:tcW w:w="92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33,399,492</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33,479,906</w:t>
            </w:r>
          </w:p>
        </w:tc>
        <w:tc>
          <w:tcPr>
            <w:tcW w:w="0" w:type="dxa"/>
            <w:vAlign w:val="bottom"/>
          </w:tcPr>
          <w:p>
            <w:pPr>
              <w:spacing w:after="0"/>
              <w:rPr>
                <w:sz w:val="1"/>
                <w:szCs w:val="1"/>
                <w:color w:val="auto"/>
              </w:rPr>
            </w:pPr>
          </w:p>
        </w:tc>
      </w:tr>
      <w:tr>
        <w:trPr>
          <w:trHeight w:val="135"/>
        </w:trPr>
        <w:tc>
          <w:tcPr>
            <w:tcW w:w="3420" w:type="dxa"/>
            <w:vAlign w:val="bottom"/>
          </w:tcPr>
          <w:p>
            <w:pPr>
              <w:spacing w:after="0" w:line="135" w:lineRule="exact"/>
              <w:rPr>
                <w:sz w:val="20"/>
                <w:szCs w:val="20"/>
                <w:color w:val="auto"/>
              </w:rPr>
            </w:pPr>
            <w:r>
              <w:rPr>
                <w:rFonts w:ascii="Arial" w:cs="Arial" w:eastAsia="Arial" w:hAnsi="Arial"/>
                <w:sz w:val="13"/>
                <w:szCs w:val="13"/>
                <w:color w:val="auto"/>
              </w:rPr>
              <w:t>Jacobs Entertainment, Inc.</w:t>
            </w:r>
          </w:p>
        </w:tc>
        <w:tc>
          <w:tcPr>
            <w:tcW w:w="1280" w:type="dxa"/>
            <w:vAlign w:val="bottom"/>
          </w:tcPr>
          <w:p>
            <w:pPr>
              <w:ind w:left="640"/>
              <w:spacing w:after="0" w:line="135" w:lineRule="exact"/>
              <w:rPr>
                <w:sz w:val="20"/>
                <w:szCs w:val="20"/>
                <w:color w:val="auto"/>
              </w:rPr>
            </w:pPr>
            <w:r>
              <w:rPr>
                <w:rFonts w:ascii="Arial" w:cs="Arial" w:eastAsia="Arial" w:hAnsi="Arial"/>
                <w:sz w:val="13"/>
                <w:szCs w:val="13"/>
                <w:color w:val="auto"/>
                <w:w w:val="95"/>
              </w:rPr>
              <w:t>10/29/2019</w:t>
            </w:r>
          </w:p>
        </w:tc>
        <w:tc>
          <w:tcPr>
            <w:tcW w:w="1840" w:type="dxa"/>
            <w:vAlign w:val="bottom"/>
          </w:tcPr>
          <w:p>
            <w:pPr>
              <w:jc w:val="center"/>
              <w:spacing w:after="0" w:line="135" w:lineRule="exact"/>
              <w:rPr>
                <w:sz w:val="20"/>
                <w:szCs w:val="20"/>
                <w:color w:val="auto"/>
              </w:rPr>
            </w:pPr>
            <w:r>
              <w:rPr>
                <w:rFonts w:ascii="Arial" w:cs="Arial" w:eastAsia="Arial" w:hAnsi="Arial"/>
                <w:sz w:val="13"/>
                <w:szCs w:val="13"/>
                <w:color w:val="auto"/>
                <w:w w:val="89"/>
              </w:rPr>
              <w:t>Hotels, Motels, Inns and Gaming</w:t>
            </w:r>
          </w:p>
        </w:tc>
        <w:tc>
          <w:tcPr>
            <w:tcW w:w="94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13.00%</w:t>
            </w:r>
          </w:p>
        </w:tc>
        <w:tc>
          <w:tcPr>
            <w:tcW w:w="106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L+1,175</w:t>
            </w:r>
          </w:p>
        </w:tc>
        <w:tc>
          <w:tcPr>
            <w:tcW w:w="720" w:type="dxa"/>
            <w:vAlign w:val="bottom"/>
          </w:tcPr>
          <w:p>
            <w:pPr>
              <w:jc w:val="right"/>
              <w:ind w:right="17"/>
              <w:spacing w:after="0" w:line="135" w:lineRule="exact"/>
              <w:rPr>
                <w:sz w:val="20"/>
                <w:szCs w:val="20"/>
                <w:color w:val="auto"/>
              </w:rPr>
            </w:pPr>
            <w:r>
              <w:rPr>
                <w:rFonts w:ascii="Arial" w:cs="Arial" w:eastAsia="Arial" w:hAnsi="Arial"/>
                <w:sz w:val="13"/>
                <w:szCs w:val="13"/>
                <w:color w:val="auto"/>
                <w:w w:val="95"/>
              </w:rPr>
              <w:t>38,950,000</w:t>
            </w:r>
          </w:p>
        </w:tc>
        <w:tc>
          <w:tcPr>
            <w:tcW w:w="92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38,401,161</w:t>
            </w: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38,171,000</w:t>
            </w:r>
          </w:p>
        </w:tc>
        <w:tc>
          <w:tcPr>
            <w:tcW w:w="0" w:type="dxa"/>
            <w:vAlign w:val="bottom"/>
          </w:tcPr>
          <w:p>
            <w:pPr>
              <w:spacing w:after="0"/>
              <w:rPr>
                <w:sz w:val="1"/>
                <w:szCs w:val="1"/>
                <w:color w:val="auto"/>
              </w:rPr>
            </w:pPr>
          </w:p>
        </w:tc>
      </w:tr>
      <w:tr>
        <w:trPr>
          <w:trHeight w:val="135"/>
        </w:trPr>
        <w:tc>
          <w:tcPr>
            <w:tcW w:w="34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KIK Custom Products Inc.</w:t>
            </w:r>
          </w:p>
        </w:tc>
        <w:tc>
          <w:tcPr>
            <w:tcW w:w="1280" w:type="dxa"/>
            <w:vAlign w:val="bottom"/>
            <w:shd w:val="clear" w:color="auto" w:fill="CCEEFF"/>
          </w:tcPr>
          <w:p>
            <w:pPr>
              <w:ind w:left="640"/>
              <w:spacing w:after="0" w:line="135" w:lineRule="exact"/>
              <w:rPr>
                <w:sz w:val="20"/>
                <w:szCs w:val="20"/>
                <w:color w:val="auto"/>
              </w:rPr>
            </w:pPr>
            <w:r>
              <w:rPr>
                <w:rFonts w:ascii="Arial" w:cs="Arial" w:eastAsia="Arial" w:hAnsi="Arial"/>
                <w:sz w:val="13"/>
                <w:szCs w:val="13"/>
                <w:color w:val="auto"/>
                <w:w w:val="95"/>
              </w:rPr>
              <w:t>10/29/2019</w:t>
            </w:r>
          </w:p>
        </w:tc>
        <w:tc>
          <w:tcPr>
            <w:tcW w:w="18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Consumer Products</w:t>
            </w:r>
          </w:p>
        </w:tc>
        <w:tc>
          <w:tcPr>
            <w:tcW w:w="94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9.50%</w:t>
            </w:r>
          </w:p>
        </w:tc>
        <w:tc>
          <w:tcPr>
            <w:tcW w:w="106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L+825</w:t>
            </w:r>
          </w:p>
        </w:tc>
        <w:tc>
          <w:tcPr>
            <w:tcW w:w="72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9,500,000</w:t>
            </w:r>
          </w:p>
        </w:tc>
        <w:tc>
          <w:tcPr>
            <w:tcW w:w="92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9,366,318</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9,436,635</w:t>
            </w:r>
          </w:p>
        </w:tc>
        <w:tc>
          <w:tcPr>
            <w:tcW w:w="0" w:type="dxa"/>
            <w:vAlign w:val="bottom"/>
          </w:tcPr>
          <w:p>
            <w:pPr>
              <w:spacing w:after="0"/>
              <w:rPr>
                <w:sz w:val="1"/>
                <w:szCs w:val="1"/>
                <w:color w:val="auto"/>
              </w:rPr>
            </w:pPr>
          </w:p>
        </w:tc>
      </w:tr>
      <w:tr>
        <w:trPr>
          <w:trHeight w:val="121"/>
        </w:trPr>
        <w:tc>
          <w:tcPr>
            <w:tcW w:w="3420" w:type="dxa"/>
            <w:vAlign w:val="bottom"/>
          </w:tcPr>
          <w:p>
            <w:pPr>
              <w:spacing w:after="0" w:line="121" w:lineRule="exact"/>
              <w:rPr>
                <w:sz w:val="20"/>
                <w:szCs w:val="20"/>
                <w:color w:val="auto"/>
              </w:rPr>
            </w:pPr>
            <w:r>
              <w:rPr>
                <w:rFonts w:ascii="Arial" w:cs="Arial" w:eastAsia="Arial" w:hAnsi="Arial"/>
                <w:sz w:val="13"/>
                <w:szCs w:val="13"/>
                <w:color w:val="auto"/>
              </w:rPr>
              <w:t>Language Line, LLC</w:t>
            </w:r>
          </w:p>
        </w:tc>
        <w:tc>
          <w:tcPr>
            <w:tcW w:w="1280" w:type="dxa"/>
            <w:vAlign w:val="bottom"/>
          </w:tcPr>
          <w:p>
            <w:pPr>
              <w:ind w:left="640"/>
              <w:spacing w:after="0" w:line="121" w:lineRule="exact"/>
              <w:rPr>
                <w:sz w:val="20"/>
                <w:szCs w:val="20"/>
                <w:color w:val="auto"/>
              </w:rPr>
            </w:pPr>
            <w:r>
              <w:rPr>
                <w:rFonts w:ascii="Arial" w:cs="Arial" w:eastAsia="Arial" w:hAnsi="Arial"/>
                <w:sz w:val="13"/>
                <w:szCs w:val="13"/>
                <w:color w:val="auto"/>
                <w:w w:val="95"/>
              </w:rPr>
              <w:t>12/20/2016</w:t>
            </w:r>
          </w:p>
        </w:tc>
        <w:tc>
          <w:tcPr>
            <w:tcW w:w="1840" w:type="dxa"/>
            <w:vAlign w:val="bottom"/>
          </w:tcPr>
          <w:p>
            <w:pPr>
              <w:jc w:val="center"/>
              <w:spacing w:after="0" w:line="121" w:lineRule="exact"/>
              <w:rPr>
                <w:sz w:val="20"/>
                <w:szCs w:val="20"/>
                <w:color w:val="auto"/>
              </w:rPr>
            </w:pPr>
            <w:r>
              <w:rPr>
                <w:rFonts w:ascii="Arial" w:cs="Arial" w:eastAsia="Arial" w:hAnsi="Arial"/>
                <w:sz w:val="13"/>
                <w:szCs w:val="13"/>
                <w:color w:val="auto"/>
                <w:w w:val="84"/>
              </w:rPr>
              <w:t>Personal, Food and</w:t>
            </w:r>
          </w:p>
        </w:tc>
        <w:tc>
          <w:tcPr>
            <w:tcW w:w="940" w:type="dxa"/>
            <w:vAlign w:val="bottom"/>
          </w:tcPr>
          <w:p>
            <w:pPr>
              <w:jc w:val="right"/>
              <w:ind w:right="117"/>
              <w:spacing w:after="0" w:line="121" w:lineRule="exact"/>
              <w:rPr>
                <w:sz w:val="20"/>
                <w:szCs w:val="20"/>
                <w:color w:val="auto"/>
              </w:rPr>
            </w:pPr>
            <w:r>
              <w:rPr>
                <w:rFonts w:ascii="Arial" w:cs="Arial" w:eastAsia="Arial" w:hAnsi="Arial"/>
                <w:sz w:val="13"/>
                <w:szCs w:val="13"/>
                <w:color w:val="auto"/>
              </w:rPr>
              <w:t>10.50%</w:t>
            </w:r>
          </w:p>
        </w:tc>
        <w:tc>
          <w:tcPr>
            <w:tcW w:w="1060" w:type="dxa"/>
            <w:vAlign w:val="bottom"/>
          </w:tcPr>
          <w:p>
            <w:pPr>
              <w:jc w:val="right"/>
              <w:ind w:right="157"/>
              <w:spacing w:after="0" w:line="121" w:lineRule="exact"/>
              <w:rPr>
                <w:sz w:val="20"/>
                <w:szCs w:val="20"/>
                <w:color w:val="auto"/>
              </w:rPr>
            </w:pPr>
            <w:r>
              <w:rPr>
                <w:rFonts w:ascii="Arial" w:cs="Arial" w:eastAsia="Arial" w:hAnsi="Arial"/>
                <w:sz w:val="13"/>
                <w:szCs w:val="13"/>
                <w:color w:val="auto"/>
              </w:rPr>
              <w:t>L+875</w:t>
            </w:r>
          </w:p>
        </w:tc>
        <w:tc>
          <w:tcPr>
            <w:tcW w:w="720" w:type="dxa"/>
            <w:vAlign w:val="bottom"/>
          </w:tcPr>
          <w:p>
            <w:pPr>
              <w:jc w:val="right"/>
              <w:ind w:right="17"/>
              <w:spacing w:after="0" w:line="121" w:lineRule="exact"/>
              <w:rPr>
                <w:sz w:val="20"/>
                <w:szCs w:val="20"/>
                <w:color w:val="auto"/>
              </w:rPr>
            </w:pPr>
            <w:r>
              <w:rPr>
                <w:rFonts w:ascii="Arial" w:cs="Arial" w:eastAsia="Arial" w:hAnsi="Arial"/>
                <w:sz w:val="13"/>
                <w:szCs w:val="13"/>
                <w:color w:val="auto"/>
                <w:w w:val="95"/>
              </w:rPr>
              <w:t>33,750,000</w:t>
            </w:r>
          </w:p>
        </w:tc>
        <w:tc>
          <w:tcPr>
            <w:tcW w:w="920" w:type="dxa"/>
            <w:vAlign w:val="bottom"/>
            <w:gridSpan w:val="3"/>
          </w:tcPr>
          <w:p>
            <w:pPr>
              <w:jc w:val="right"/>
              <w:ind w:right="140"/>
              <w:spacing w:after="0" w:line="121" w:lineRule="exact"/>
              <w:rPr>
                <w:sz w:val="20"/>
                <w:szCs w:val="20"/>
                <w:color w:val="auto"/>
              </w:rPr>
            </w:pPr>
            <w:r>
              <w:rPr>
                <w:rFonts w:ascii="Arial" w:cs="Arial" w:eastAsia="Arial" w:hAnsi="Arial"/>
                <w:sz w:val="13"/>
                <w:szCs w:val="13"/>
                <w:color w:val="auto"/>
              </w:rPr>
              <w:t>33,405,183</w:t>
            </w:r>
          </w:p>
        </w:tc>
        <w:tc>
          <w:tcPr>
            <w:tcW w:w="80" w:type="dxa"/>
            <w:vAlign w:val="bottom"/>
          </w:tcPr>
          <w:p>
            <w:pPr>
              <w:spacing w:after="0"/>
              <w:rPr>
                <w:sz w:val="10"/>
                <w:szCs w:val="10"/>
                <w:color w:val="auto"/>
              </w:rPr>
            </w:pPr>
          </w:p>
        </w:tc>
        <w:tc>
          <w:tcPr>
            <w:tcW w:w="98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33,243,750</w:t>
            </w: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40" w:type="dxa"/>
            <w:vAlign w:val="bottom"/>
          </w:tcPr>
          <w:p>
            <w:pPr>
              <w:jc w:val="center"/>
              <w:spacing w:after="0"/>
              <w:rPr>
                <w:sz w:val="20"/>
                <w:szCs w:val="20"/>
                <w:color w:val="auto"/>
              </w:rPr>
            </w:pPr>
            <w:r>
              <w:rPr>
                <w:rFonts w:ascii="Arial" w:cs="Arial" w:eastAsia="Arial" w:hAnsi="Arial"/>
                <w:sz w:val="13"/>
                <w:szCs w:val="13"/>
                <w:color w:val="auto"/>
                <w:w w:val="86"/>
              </w:rPr>
              <w:t>Miscellaneous Services</w:t>
            </w:r>
          </w:p>
        </w:tc>
        <w:tc>
          <w:tcPr>
            <w:tcW w:w="9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4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Linc USA GP and Linc Energy Finance (USA), Inc. </w:t>
            </w:r>
            <w:r>
              <w:rPr>
                <w:rFonts w:ascii="Arial" w:cs="Arial" w:eastAsia="Arial" w:hAnsi="Arial"/>
                <w:sz w:val="10"/>
                <w:szCs w:val="10"/>
                <w:color w:val="auto"/>
              </w:rPr>
              <w:t>(5)</w:t>
            </w:r>
          </w:p>
        </w:tc>
        <w:tc>
          <w:tcPr>
            <w:tcW w:w="1280" w:type="dxa"/>
            <w:vAlign w:val="bottom"/>
            <w:shd w:val="clear" w:color="auto" w:fill="CCEEFF"/>
          </w:tcPr>
          <w:p>
            <w:pPr>
              <w:ind w:left="640"/>
              <w:spacing w:after="0" w:line="135" w:lineRule="exact"/>
              <w:rPr>
                <w:sz w:val="20"/>
                <w:szCs w:val="20"/>
                <w:color w:val="auto"/>
              </w:rPr>
            </w:pPr>
            <w:r>
              <w:rPr>
                <w:rFonts w:ascii="Arial" w:cs="Arial" w:eastAsia="Arial" w:hAnsi="Arial"/>
                <w:sz w:val="13"/>
                <w:szCs w:val="13"/>
                <w:color w:val="auto"/>
                <w:w w:val="95"/>
              </w:rPr>
              <w:t>10/31/2017</w:t>
            </w:r>
          </w:p>
        </w:tc>
        <w:tc>
          <w:tcPr>
            <w:tcW w:w="18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Oil and Gas</w:t>
            </w:r>
          </w:p>
        </w:tc>
        <w:tc>
          <w:tcPr>
            <w:tcW w:w="94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12.50%</w:t>
            </w:r>
          </w:p>
        </w:tc>
        <w:tc>
          <w:tcPr>
            <w:tcW w:w="106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w w:val="95"/>
              </w:rPr>
              <w:t>11,875,000</w:t>
            </w:r>
          </w:p>
        </w:tc>
        <w:tc>
          <w:tcPr>
            <w:tcW w:w="92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11,606,869</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10,687,500</w:t>
            </w:r>
          </w:p>
        </w:tc>
        <w:tc>
          <w:tcPr>
            <w:tcW w:w="0" w:type="dxa"/>
            <w:vAlign w:val="bottom"/>
          </w:tcPr>
          <w:p>
            <w:pPr>
              <w:spacing w:after="0"/>
              <w:rPr>
                <w:sz w:val="1"/>
                <w:szCs w:val="1"/>
                <w:color w:val="auto"/>
              </w:rPr>
            </w:pPr>
          </w:p>
        </w:tc>
      </w:tr>
      <w:tr>
        <w:trPr>
          <w:trHeight w:val="135"/>
        </w:trPr>
        <w:tc>
          <w:tcPr>
            <w:tcW w:w="3420" w:type="dxa"/>
            <w:vAlign w:val="bottom"/>
          </w:tcPr>
          <w:p>
            <w:pPr>
              <w:spacing w:after="0" w:line="135" w:lineRule="exact"/>
              <w:rPr>
                <w:sz w:val="20"/>
                <w:szCs w:val="20"/>
                <w:color w:val="auto"/>
              </w:rPr>
            </w:pPr>
            <w:r>
              <w:rPr>
                <w:rFonts w:ascii="Arial" w:cs="Arial" w:eastAsia="Arial" w:hAnsi="Arial"/>
                <w:sz w:val="13"/>
                <w:szCs w:val="13"/>
                <w:color w:val="auto"/>
              </w:rPr>
              <w:t xml:space="preserve">New Gulf Resources, LLC </w:t>
            </w:r>
            <w:r>
              <w:rPr>
                <w:rFonts w:ascii="Arial" w:cs="Arial" w:eastAsia="Arial" w:hAnsi="Arial"/>
                <w:sz w:val="10"/>
                <w:szCs w:val="10"/>
                <w:color w:val="auto"/>
              </w:rPr>
              <w:t>(5)</w:t>
            </w:r>
          </w:p>
        </w:tc>
        <w:tc>
          <w:tcPr>
            <w:tcW w:w="1280" w:type="dxa"/>
            <w:vAlign w:val="bottom"/>
          </w:tcPr>
          <w:p>
            <w:pPr>
              <w:ind w:left="640"/>
              <w:spacing w:after="0" w:line="135" w:lineRule="exact"/>
              <w:rPr>
                <w:sz w:val="20"/>
                <w:szCs w:val="20"/>
                <w:color w:val="auto"/>
              </w:rPr>
            </w:pPr>
            <w:r>
              <w:rPr>
                <w:rFonts w:ascii="Arial" w:cs="Arial" w:eastAsia="Arial" w:hAnsi="Arial"/>
                <w:sz w:val="13"/>
                <w:szCs w:val="13"/>
                <w:color w:val="auto"/>
                <w:w w:val="95"/>
              </w:rPr>
              <w:t>05/15/2019</w:t>
            </w:r>
          </w:p>
        </w:tc>
        <w:tc>
          <w:tcPr>
            <w:tcW w:w="1840" w:type="dxa"/>
            <w:vAlign w:val="bottom"/>
          </w:tcPr>
          <w:p>
            <w:pPr>
              <w:jc w:val="center"/>
              <w:spacing w:after="0" w:line="135" w:lineRule="exact"/>
              <w:rPr>
                <w:sz w:val="20"/>
                <w:szCs w:val="20"/>
                <w:color w:val="auto"/>
              </w:rPr>
            </w:pPr>
            <w:r>
              <w:rPr>
                <w:rFonts w:ascii="Arial" w:cs="Arial" w:eastAsia="Arial" w:hAnsi="Arial"/>
                <w:sz w:val="13"/>
                <w:szCs w:val="13"/>
                <w:color w:val="auto"/>
                <w:w w:val="87"/>
              </w:rPr>
              <w:t>Oil and Gas</w:t>
            </w:r>
          </w:p>
        </w:tc>
        <w:tc>
          <w:tcPr>
            <w:tcW w:w="94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11.75%</w:t>
            </w:r>
          </w:p>
        </w:tc>
        <w:tc>
          <w:tcPr>
            <w:tcW w:w="106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720" w:type="dxa"/>
            <w:vAlign w:val="bottom"/>
          </w:tcPr>
          <w:p>
            <w:pPr>
              <w:jc w:val="right"/>
              <w:ind w:right="17"/>
              <w:spacing w:after="0" w:line="135" w:lineRule="exact"/>
              <w:rPr>
                <w:sz w:val="20"/>
                <w:szCs w:val="20"/>
                <w:color w:val="auto"/>
              </w:rPr>
            </w:pPr>
            <w:r>
              <w:rPr>
                <w:rFonts w:ascii="Arial" w:cs="Arial" w:eastAsia="Arial" w:hAnsi="Arial"/>
                <w:sz w:val="13"/>
                <w:szCs w:val="13"/>
                <w:color w:val="auto"/>
                <w:w w:val="95"/>
              </w:rPr>
              <w:t>45,000,000</w:t>
            </w:r>
          </w:p>
        </w:tc>
        <w:tc>
          <w:tcPr>
            <w:tcW w:w="92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44,636,816</w:t>
            </w: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43,200,000</w:t>
            </w:r>
          </w:p>
        </w:tc>
        <w:tc>
          <w:tcPr>
            <w:tcW w:w="0" w:type="dxa"/>
            <w:vAlign w:val="bottom"/>
          </w:tcPr>
          <w:p>
            <w:pPr>
              <w:spacing w:after="0"/>
              <w:rPr>
                <w:sz w:val="1"/>
                <w:szCs w:val="1"/>
                <w:color w:val="auto"/>
              </w:rPr>
            </w:pPr>
          </w:p>
        </w:tc>
      </w:tr>
      <w:tr>
        <w:trPr>
          <w:trHeight w:val="135"/>
        </w:trPr>
        <w:tc>
          <w:tcPr>
            <w:tcW w:w="34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Novitex Acquisition, LLC</w:t>
            </w:r>
          </w:p>
        </w:tc>
        <w:tc>
          <w:tcPr>
            <w:tcW w:w="1280" w:type="dxa"/>
            <w:vAlign w:val="bottom"/>
            <w:shd w:val="clear" w:color="auto" w:fill="CCEEFF"/>
          </w:tcPr>
          <w:p>
            <w:pPr>
              <w:ind w:left="640"/>
              <w:spacing w:after="0" w:line="135" w:lineRule="exact"/>
              <w:rPr>
                <w:sz w:val="20"/>
                <w:szCs w:val="20"/>
                <w:color w:val="auto"/>
              </w:rPr>
            </w:pPr>
            <w:r>
              <w:rPr>
                <w:rFonts w:ascii="Arial" w:cs="Arial" w:eastAsia="Arial" w:hAnsi="Arial"/>
                <w:sz w:val="13"/>
                <w:szCs w:val="13"/>
                <w:color w:val="auto"/>
                <w:w w:val="95"/>
              </w:rPr>
              <w:t>07/07/2021</w:t>
            </w:r>
          </w:p>
        </w:tc>
        <w:tc>
          <w:tcPr>
            <w:tcW w:w="18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Business Services</w:t>
            </w:r>
          </w:p>
        </w:tc>
        <w:tc>
          <w:tcPr>
            <w:tcW w:w="94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11.75%</w:t>
            </w:r>
          </w:p>
        </w:tc>
        <w:tc>
          <w:tcPr>
            <w:tcW w:w="106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L+1,050</w:t>
            </w:r>
          </w:p>
        </w:tc>
        <w:tc>
          <w:tcPr>
            <w:tcW w:w="72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w w:val="95"/>
              </w:rPr>
              <w:t>41,250,000</w:t>
            </w:r>
          </w:p>
        </w:tc>
        <w:tc>
          <w:tcPr>
            <w:tcW w:w="92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40,854,859</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38,775,000</w:t>
            </w:r>
          </w:p>
        </w:tc>
        <w:tc>
          <w:tcPr>
            <w:tcW w:w="0" w:type="dxa"/>
            <w:vAlign w:val="bottom"/>
          </w:tcPr>
          <w:p>
            <w:pPr>
              <w:spacing w:after="0"/>
              <w:rPr>
                <w:sz w:val="1"/>
                <w:szCs w:val="1"/>
                <w:color w:val="auto"/>
              </w:rPr>
            </w:pPr>
          </w:p>
        </w:tc>
      </w:tr>
      <w:tr>
        <w:trPr>
          <w:trHeight w:val="135"/>
        </w:trPr>
        <w:tc>
          <w:tcPr>
            <w:tcW w:w="3420" w:type="dxa"/>
            <w:vAlign w:val="bottom"/>
          </w:tcPr>
          <w:p>
            <w:pPr>
              <w:spacing w:after="0" w:line="135" w:lineRule="exact"/>
              <w:rPr>
                <w:sz w:val="20"/>
                <w:szCs w:val="20"/>
                <w:color w:val="auto"/>
              </w:rPr>
            </w:pPr>
            <w:r>
              <w:rPr>
                <w:rFonts w:ascii="Arial" w:cs="Arial" w:eastAsia="Arial" w:hAnsi="Arial"/>
                <w:sz w:val="13"/>
                <w:szCs w:val="13"/>
                <w:color w:val="auto"/>
              </w:rPr>
              <w:t xml:space="preserve">Parq Holdings Limited Partnership </w:t>
            </w:r>
            <w:r>
              <w:rPr>
                <w:rFonts w:ascii="Arial" w:cs="Arial" w:eastAsia="Arial" w:hAnsi="Arial"/>
                <w:sz w:val="10"/>
                <w:szCs w:val="10"/>
                <w:color w:val="auto"/>
              </w:rPr>
              <w:t>(10), (13)</w:t>
            </w:r>
          </w:p>
        </w:tc>
        <w:tc>
          <w:tcPr>
            <w:tcW w:w="1280" w:type="dxa"/>
            <w:vAlign w:val="bottom"/>
          </w:tcPr>
          <w:p>
            <w:pPr>
              <w:ind w:left="640"/>
              <w:spacing w:after="0" w:line="135" w:lineRule="exact"/>
              <w:rPr>
                <w:sz w:val="20"/>
                <w:szCs w:val="20"/>
                <w:color w:val="auto"/>
              </w:rPr>
            </w:pPr>
            <w:r>
              <w:rPr>
                <w:rFonts w:ascii="Arial" w:cs="Arial" w:eastAsia="Arial" w:hAnsi="Arial"/>
                <w:sz w:val="13"/>
                <w:szCs w:val="13"/>
                <w:color w:val="auto"/>
                <w:w w:val="95"/>
              </w:rPr>
              <w:t>12/17/2021</w:t>
            </w:r>
          </w:p>
        </w:tc>
        <w:tc>
          <w:tcPr>
            <w:tcW w:w="1840" w:type="dxa"/>
            <w:vAlign w:val="bottom"/>
          </w:tcPr>
          <w:p>
            <w:pPr>
              <w:jc w:val="center"/>
              <w:spacing w:after="0" w:line="135" w:lineRule="exact"/>
              <w:rPr>
                <w:sz w:val="20"/>
                <w:szCs w:val="20"/>
                <w:color w:val="auto"/>
              </w:rPr>
            </w:pPr>
            <w:r>
              <w:rPr>
                <w:rFonts w:ascii="Arial" w:cs="Arial" w:eastAsia="Arial" w:hAnsi="Arial"/>
                <w:sz w:val="13"/>
                <w:szCs w:val="13"/>
                <w:color w:val="auto"/>
                <w:w w:val="89"/>
              </w:rPr>
              <w:t>Hotels, Motels, Inns and Gaming</w:t>
            </w:r>
          </w:p>
        </w:tc>
        <w:tc>
          <w:tcPr>
            <w:tcW w:w="94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13.00%</w:t>
            </w:r>
          </w:p>
        </w:tc>
        <w:tc>
          <w:tcPr>
            <w:tcW w:w="106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L+1,200</w:t>
            </w:r>
          </w:p>
        </w:tc>
        <w:tc>
          <w:tcPr>
            <w:tcW w:w="720" w:type="dxa"/>
            <w:vAlign w:val="bottom"/>
          </w:tcPr>
          <w:p>
            <w:pPr>
              <w:jc w:val="right"/>
              <w:ind w:right="17"/>
              <w:spacing w:after="0" w:line="135" w:lineRule="exact"/>
              <w:rPr>
                <w:sz w:val="20"/>
                <w:szCs w:val="20"/>
                <w:color w:val="auto"/>
              </w:rPr>
            </w:pPr>
            <w:r>
              <w:rPr>
                <w:rFonts w:ascii="Arial" w:cs="Arial" w:eastAsia="Arial" w:hAnsi="Arial"/>
                <w:sz w:val="13"/>
                <w:szCs w:val="13"/>
                <w:color w:val="auto"/>
                <w:w w:val="95"/>
              </w:rPr>
              <w:t>75,000,000</w:t>
            </w:r>
          </w:p>
        </w:tc>
        <w:tc>
          <w:tcPr>
            <w:tcW w:w="92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75,000,000</w:t>
            </w: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75,000,000</w:t>
            </w:r>
          </w:p>
        </w:tc>
        <w:tc>
          <w:tcPr>
            <w:tcW w:w="0" w:type="dxa"/>
            <w:vAlign w:val="bottom"/>
          </w:tcPr>
          <w:p>
            <w:pPr>
              <w:spacing w:after="0"/>
              <w:rPr>
                <w:sz w:val="1"/>
                <w:szCs w:val="1"/>
                <w:color w:val="auto"/>
              </w:rPr>
            </w:pPr>
          </w:p>
        </w:tc>
      </w:tr>
      <w:tr>
        <w:trPr>
          <w:trHeight w:val="135"/>
        </w:trPr>
        <w:tc>
          <w:tcPr>
            <w:tcW w:w="34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Penton Media, Inc.</w:t>
            </w:r>
          </w:p>
        </w:tc>
        <w:tc>
          <w:tcPr>
            <w:tcW w:w="1280" w:type="dxa"/>
            <w:vAlign w:val="bottom"/>
            <w:shd w:val="clear" w:color="auto" w:fill="CCEEFF"/>
          </w:tcPr>
          <w:p>
            <w:pPr>
              <w:ind w:left="640"/>
              <w:spacing w:after="0" w:line="135" w:lineRule="exact"/>
              <w:rPr>
                <w:sz w:val="20"/>
                <w:szCs w:val="20"/>
                <w:color w:val="auto"/>
              </w:rPr>
            </w:pPr>
            <w:r>
              <w:rPr>
                <w:rFonts w:ascii="Arial" w:cs="Arial" w:eastAsia="Arial" w:hAnsi="Arial"/>
                <w:sz w:val="13"/>
                <w:szCs w:val="13"/>
                <w:color w:val="auto"/>
                <w:w w:val="95"/>
              </w:rPr>
              <w:t>10/02/2020</w:t>
            </w:r>
          </w:p>
        </w:tc>
        <w:tc>
          <w:tcPr>
            <w:tcW w:w="18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Media</w:t>
            </w:r>
          </w:p>
        </w:tc>
        <w:tc>
          <w:tcPr>
            <w:tcW w:w="94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9.00%</w:t>
            </w:r>
          </w:p>
        </w:tc>
        <w:tc>
          <w:tcPr>
            <w:tcW w:w="106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L+775</w:t>
            </w:r>
          </w:p>
        </w:tc>
        <w:tc>
          <w:tcPr>
            <w:tcW w:w="72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w w:val="95"/>
              </w:rPr>
              <w:t>21,000,000</w:t>
            </w:r>
          </w:p>
        </w:tc>
        <w:tc>
          <w:tcPr>
            <w:tcW w:w="92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20,734,268</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20,737,500</w:t>
            </w:r>
          </w:p>
        </w:tc>
        <w:tc>
          <w:tcPr>
            <w:tcW w:w="0" w:type="dxa"/>
            <w:vAlign w:val="bottom"/>
          </w:tcPr>
          <w:p>
            <w:pPr>
              <w:spacing w:after="0"/>
              <w:rPr>
                <w:sz w:val="1"/>
                <w:szCs w:val="1"/>
                <w:color w:val="auto"/>
              </w:rPr>
            </w:pPr>
          </w:p>
        </w:tc>
      </w:tr>
      <w:tr>
        <w:trPr>
          <w:trHeight w:val="121"/>
        </w:trPr>
        <w:tc>
          <w:tcPr>
            <w:tcW w:w="3420" w:type="dxa"/>
            <w:vAlign w:val="bottom"/>
          </w:tcPr>
          <w:p>
            <w:pPr>
              <w:spacing w:after="0" w:line="121" w:lineRule="exact"/>
              <w:rPr>
                <w:sz w:val="20"/>
                <w:szCs w:val="20"/>
                <w:color w:val="auto"/>
              </w:rPr>
            </w:pPr>
            <w:r>
              <w:rPr>
                <w:rFonts w:ascii="Arial" w:cs="Arial" w:eastAsia="Arial" w:hAnsi="Arial"/>
                <w:sz w:val="13"/>
                <w:szCs w:val="13"/>
                <w:color w:val="auto"/>
              </w:rPr>
              <w:t>Pre-Paid Legal Services, Inc.</w:t>
            </w:r>
          </w:p>
        </w:tc>
        <w:tc>
          <w:tcPr>
            <w:tcW w:w="1280" w:type="dxa"/>
            <w:vAlign w:val="bottom"/>
          </w:tcPr>
          <w:p>
            <w:pPr>
              <w:ind w:left="640"/>
              <w:spacing w:after="0" w:line="121" w:lineRule="exact"/>
              <w:rPr>
                <w:sz w:val="20"/>
                <w:szCs w:val="20"/>
                <w:color w:val="auto"/>
              </w:rPr>
            </w:pPr>
            <w:r>
              <w:rPr>
                <w:rFonts w:ascii="Arial" w:cs="Arial" w:eastAsia="Arial" w:hAnsi="Arial"/>
                <w:sz w:val="13"/>
                <w:szCs w:val="13"/>
                <w:color w:val="auto"/>
                <w:w w:val="95"/>
              </w:rPr>
              <w:t>07/01/2020</w:t>
            </w:r>
          </w:p>
        </w:tc>
        <w:tc>
          <w:tcPr>
            <w:tcW w:w="1840" w:type="dxa"/>
            <w:vAlign w:val="bottom"/>
          </w:tcPr>
          <w:p>
            <w:pPr>
              <w:jc w:val="center"/>
              <w:spacing w:after="0" w:line="121" w:lineRule="exact"/>
              <w:rPr>
                <w:sz w:val="20"/>
                <w:szCs w:val="20"/>
                <w:color w:val="auto"/>
              </w:rPr>
            </w:pPr>
            <w:r>
              <w:rPr>
                <w:rFonts w:ascii="Arial" w:cs="Arial" w:eastAsia="Arial" w:hAnsi="Arial"/>
                <w:sz w:val="13"/>
                <w:szCs w:val="13"/>
                <w:color w:val="auto"/>
                <w:w w:val="84"/>
              </w:rPr>
              <w:t>Personal, Food and</w:t>
            </w:r>
          </w:p>
        </w:tc>
        <w:tc>
          <w:tcPr>
            <w:tcW w:w="940" w:type="dxa"/>
            <w:vAlign w:val="bottom"/>
          </w:tcPr>
          <w:p>
            <w:pPr>
              <w:jc w:val="right"/>
              <w:ind w:right="117"/>
              <w:spacing w:after="0" w:line="121" w:lineRule="exact"/>
              <w:rPr>
                <w:sz w:val="20"/>
                <w:szCs w:val="20"/>
                <w:color w:val="auto"/>
              </w:rPr>
            </w:pPr>
            <w:r>
              <w:rPr>
                <w:rFonts w:ascii="Arial" w:cs="Arial" w:eastAsia="Arial" w:hAnsi="Arial"/>
                <w:sz w:val="13"/>
                <w:szCs w:val="13"/>
                <w:color w:val="auto"/>
              </w:rPr>
              <w:t>9.75%</w:t>
            </w:r>
          </w:p>
        </w:tc>
        <w:tc>
          <w:tcPr>
            <w:tcW w:w="1060" w:type="dxa"/>
            <w:vAlign w:val="bottom"/>
          </w:tcPr>
          <w:p>
            <w:pPr>
              <w:jc w:val="right"/>
              <w:ind w:right="157"/>
              <w:spacing w:after="0" w:line="121" w:lineRule="exact"/>
              <w:rPr>
                <w:sz w:val="20"/>
                <w:szCs w:val="20"/>
                <w:color w:val="auto"/>
              </w:rPr>
            </w:pPr>
            <w:r>
              <w:rPr>
                <w:rFonts w:ascii="Arial" w:cs="Arial" w:eastAsia="Arial" w:hAnsi="Arial"/>
                <w:sz w:val="13"/>
                <w:szCs w:val="13"/>
                <w:color w:val="auto"/>
              </w:rPr>
              <w:t>L+850</w:t>
            </w:r>
          </w:p>
        </w:tc>
        <w:tc>
          <w:tcPr>
            <w:tcW w:w="720" w:type="dxa"/>
            <w:vAlign w:val="bottom"/>
          </w:tcPr>
          <w:p>
            <w:pPr>
              <w:jc w:val="right"/>
              <w:ind w:right="17"/>
              <w:spacing w:after="0" w:line="121" w:lineRule="exact"/>
              <w:rPr>
                <w:sz w:val="20"/>
                <w:szCs w:val="20"/>
                <w:color w:val="auto"/>
              </w:rPr>
            </w:pPr>
            <w:r>
              <w:rPr>
                <w:rFonts w:ascii="Arial" w:cs="Arial" w:eastAsia="Arial" w:hAnsi="Arial"/>
                <w:sz w:val="13"/>
                <w:szCs w:val="13"/>
                <w:color w:val="auto"/>
                <w:w w:val="95"/>
              </w:rPr>
              <w:t>56,750,000</w:t>
            </w:r>
          </w:p>
        </w:tc>
        <w:tc>
          <w:tcPr>
            <w:tcW w:w="920" w:type="dxa"/>
            <w:vAlign w:val="bottom"/>
            <w:gridSpan w:val="3"/>
          </w:tcPr>
          <w:p>
            <w:pPr>
              <w:jc w:val="right"/>
              <w:ind w:right="140"/>
              <w:spacing w:after="0" w:line="121" w:lineRule="exact"/>
              <w:rPr>
                <w:sz w:val="20"/>
                <w:szCs w:val="20"/>
                <w:color w:val="auto"/>
              </w:rPr>
            </w:pPr>
            <w:r>
              <w:rPr>
                <w:rFonts w:ascii="Arial" w:cs="Arial" w:eastAsia="Arial" w:hAnsi="Arial"/>
                <w:sz w:val="13"/>
                <w:szCs w:val="13"/>
                <w:color w:val="auto"/>
              </w:rPr>
              <w:t>56,048,177</w:t>
            </w:r>
          </w:p>
        </w:tc>
        <w:tc>
          <w:tcPr>
            <w:tcW w:w="80" w:type="dxa"/>
            <w:vAlign w:val="bottom"/>
          </w:tcPr>
          <w:p>
            <w:pPr>
              <w:spacing w:after="0"/>
              <w:rPr>
                <w:sz w:val="10"/>
                <w:szCs w:val="10"/>
                <w:color w:val="auto"/>
              </w:rPr>
            </w:pPr>
          </w:p>
        </w:tc>
        <w:tc>
          <w:tcPr>
            <w:tcW w:w="98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56,750,000</w:t>
            </w:r>
          </w:p>
        </w:tc>
        <w:tc>
          <w:tcPr>
            <w:tcW w:w="0" w:type="dxa"/>
            <w:vAlign w:val="bottom"/>
          </w:tcPr>
          <w:p>
            <w:pPr>
              <w:spacing w:after="0"/>
              <w:rPr>
                <w:sz w:val="1"/>
                <w:szCs w:val="1"/>
                <w:color w:val="auto"/>
              </w:rPr>
            </w:pPr>
          </w:p>
        </w:tc>
      </w:tr>
      <w:tr>
        <w:trPr>
          <w:trHeight w:val="156"/>
        </w:trPr>
        <w:tc>
          <w:tcPr>
            <w:tcW w:w="34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840" w:type="dxa"/>
            <w:vAlign w:val="bottom"/>
          </w:tcPr>
          <w:p>
            <w:pPr>
              <w:jc w:val="center"/>
              <w:spacing w:after="0"/>
              <w:rPr>
                <w:sz w:val="20"/>
                <w:szCs w:val="20"/>
                <w:color w:val="auto"/>
              </w:rPr>
            </w:pPr>
            <w:r>
              <w:rPr>
                <w:rFonts w:ascii="Arial" w:cs="Arial" w:eastAsia="Arial" w:hAnsi="Arial"/>
                <w:sz w:val="13"/>
                <w:szCs w:val="13"/>
                <w:color w:val="auto"/>
                <w:w w:val="86"/>
              </w:rPr>
              <w:t>Miscellaneous Services</w:t>
            </w:r>
          </w:p>
        </w:tc>
        <w:tc>
          <w:tcPr>
            <w:tcW w:w="9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42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Second Lien Secured Debt</w:t>
            </w:r>
          </w:p>
        </w:tc>
        <w:tc>
          <w:tcPr>
            <w:tcW w:w="128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4"/>
              </w:rPr>
              <w:t>590,772,702</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578,864,076</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240"/>
          </w:cols>
          <w:pgMar w:left="320" w:top="459" w:right="3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 – (Continued)</w:t>
      </w:r>
    </w:p>
    <w:p>
      <w:pPr>
        <w:jc w:val="center"/>
        <w:spacing w:after="0" w:line="221" w:lineRule="auto"/>
        <w:rPr>
          <w:sz w:val="20"/>
          <w:szCs w:val="20"/>
          <w:color w:val="auto"/>
        </w:rPr>
      </w:pPr>
      <w:r>
        <w:rPr>
          <w:rFonts w:ascii="Arial" w:cs="Arial" w:eastAsia="Arial" w:hAnsi="Arial"/>
          <w:sz w:val="14"/>
          <w:szCs w:val="14"/>
          <w:b w:val="1"/>
          <w:bCs w:val="1"/>
          <w:color w:val="auto"/>
        </w:rPr>
        <w:t>DECEMBER 31, 2014</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b w:val="1"/>
                <w:bCs w:val="1"/>
                <w:color w:val="auto"/>
                <w:w w:val="90"/>
              </w:rPr>
              <w:t>Basis Point</w:t>
            </w: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360" w:type="dxa"/>
            <w:vAlign w:val="bottom"/>
            <w:vMerge w:val="restart"/>
          </w:tcPr>
          <w:p>
            <w:pPr>
              <w:spacing w:after="0"/>
              <w:rPr>
                <w:sz w:val="20"/>
                <w:szCs w:val="20"/>
                <w:color w:val="auto"/>
              </w:rPr>
            </w:pPr>
            <w:r>
              <w:rPr>
                <w:rFonts w:ascii="Arial" w:cs="Arial" w:eastAsia="Arial" w:hAnsi="Arial"/>
                <w:sz w:val="13"/>
                <w:szCs w:val="13"/>
                <w:b w:val="1"/>
                <w:bCs w:val="1"/>
                <w:color w:val="auto"/>
              </w:rPr>
              <w:t>Issuer</w:t>
            </w:r>
          </w:p>
        </w:tc>
        <w:tc>
          <w:tcPr>
            <w:tcW w:w="138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Spread</w:t>
            </w: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3360" w:type="dxa"/>
            <w:vAlign w:val="bottom"/>
            <w:vMerge w:val="continue"/>
          </w:tcPr>
          <w:p>
            <w:pPr>
              <w:spacing w:after="0"/>
              <w:rPr>
                <w:sz w:val="10"/>
                <w:szCs w:val="10"/>
                <w:color w:val="auto"/>
              </w:rPr>
            </w:pPr>
          </w:p>
        </w:tc>
        <w:tc>
          <w:tcPr>
            <w:tcW w:w="1380" w:type="dxa"/>
            <w:vAlign w:val="bottom"/>
          </w:tcPr>
          <w:p>
            <w:pPr>
              <w:ind w:left="720"/>
              <w:spacing w:after="0" w:line="126" w:lineRule="exact"/>
              <w:rPr>
                <w:sz w:val="20"/>
                <w:szCs w:val="20"/>
                <w:color w:val="auto"/>
              </w:rPr>
            </w:pPr>
            <w:r>
              <w:rPr>
                <w:rFonts w:ascii="Arial" w:cs="Arial" w:eastAsia="Arial" w:hAnsi="Arial"/>
                <w:sz w:val="13"/>
                <w:szCs w:val="13"/>
                <w:b w:val="1"/>
                <w:bCs w:val="1"/>
                <w:color w:val="auto"/>
              </w:rPr>
              <w:t>Maturity /</w:t>
            </w:r>
          </w:p>
        </w:tc>
        <w:tc>
          <w:tcPr>
            <w:tcW w:w="2060" w:type="dxa"/>
            <w:vAlign w:val="bottom"/>
          </w:tcPr>
          <w:p>
            <w:pPr>
              <w:spacing w:after="0"/>
              <w:rPr>
                <w:sz w:val="10"/>
                <w:szCs w:val="10"/>
                <w:color w:val="auto"/>
              </w:rPr>
            </w:pPr>
          </w:p>
        </w:tc>
        <w:tc>
          <w:tcPr>
            <w:tcW w:w="960" w:type="dxa"/>
            <w:vAlign w:val="bottom"/>
          </w:tcPr>
          <w:p>
            <w:pPr>
              <w:jc w:val="right"/>
              <w:ind w:right="317"/>
              <w:spacing w:after="0" w:line="126" w:lineRule="exact"/>
              <w:rPr>
                <w:sz w:val="20"/>
                <w:szCs w:val="20"/>
                <w:color w:val="auto"/>
              </w:rPr>
            </w:pPr>
            <w:r>
              <w:rPr>
                <w:rFonts w:ascii="Arial" w:cs="Arial" w:eastAsia="Arial" w:hAnsi="Arial"/>
                <w:sz w:val="13"/>
                <w:szCs w:val="13"/>
                <w:b w:val="1"/>
                <w:bCs w:val="1"/>
                <w:color w:val="auto"/>
              </w:rPr>
              <w:t>Current</w:t>
            </w:r>
          </w:p>
        </w:tc>
        <w:tc>
          <w:tcPr>
            <w:tcW w:w="78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85"/>
              </w:rPr>
              <w:t>Above</w:t>
            </w:r>
          </w:p>
        </w:tc>
        <w:tc>
          <w:tcPr>
            <w:tcW w:w="840" w:type="dxa"/>
            <w:vAlign w:val="bottom"/>
          </w:tcPr>
          <w:p>
            <w:pPr>
              <w:jc w:val="right"/>
              <w:ind w:right="257"/>
              <w:spacing w:after="0" w:line="126" w:lineRule="exact"/>
              <w:rPr>
                <w:sz w:val="20"/>
                <w:szCs w:val="20"/>
                <w:color w:val="auto"/>
              </w:rPr>
            </w:pPr>
            <w:r>
              <w:rPr>
                <w:rFonts w:ascii="Arial" w:cs="Arial" w:eastAsia="Arial" w:hAnsi="Arial"/>
                <w:sz w:val="13"/>
                <w:szCs w:val="13"/>
                <w:b w:val="1"/>
                <w:bCs w:val="1"/>
                <w:color w:val="auto"/>
              </w:rPr>
              <w:t>Par /</w:t>
            </w: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336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1380" w:type="dxa"/>
            <w:vAlign w:val="bottom"/>
          </w:tcPr>
          <w:p>
            <w:pPr>
              <w:ind w:left="700"/>
              <w:spacing w:after="0"/>
              <w:rPr>
                <w:sz w:val="20"/>
                <w:szCs w:val="20"/>
                <w:color w:val="auto"/>
              </w:rPr>
            </w:pPr>
            <w:r>
              <w:rPr>
                <w:rFonts w:ascii="Arial" w:cs="Arial" w:eastAsia="Arial" w:hAnsi="Arial"/>
                <w:sz w:val="13"/>
                <w:szCs w:val="13"/>
                <w:b w:val="1"/>
                <w:bCs w:val="1"/>
                <w:color w:val="auto"/>
              </w:rPr>
              <w:t>Expiration</w:t>
            </w:r>
          </w:p>
        </w:tc>
        <w:tc>
          <w:tcPr>
            <w:tcW w:w="2060" w:type="dxa"/>
            <w:vAlign w:val="bottom"/>
          </w:tcPr>
          <w:p>
            <w:pPr>
              <w:jc w:val="center"/>
              <w:spacing w:after="0"/>
              <w:rPr>
                <w:sz w:val="20"/>
                <w:szCs w:val="20"/>
                <w:color w:val="auto"/>
              </w:rPr>
            </w:pPr>
            <w:r>
              <w:rPr>
                <w:rFonts w:ascii="Arial" w:cs="Arial" w:eastAsia="Arial" w:hAnsi="Arial"/>
                <w:sz w:val="13"/>
                <w:szCs w:val="13"/>
                <w:b w:val="1"/>
                <w:bCs w:val="1"/>
                <w:color w:val="auto"/>
                <w:w w:val="89"/>
              </w:rPr>
              <w:t>Industry</w:t>
            </w:r>
          </w:p>
        </w:tc>
        <w:tc>
          <w:tcPr>
            <w:tcW w:w="960" w:type="dxa"/>
            <w:vAlign w:val="bottom"/>
          </w:tcPr>
          <w:p>
            <w:pPr>
              <w:jc w:val="right"/>
              <w:ind w:right="317"/>
              <w:spacing w:after="0"/>
              <w:rPr>
                <w:sz w:val="20"/>
                <w:szCs w:val="20"/>
                <w:color w:val="auto"/>
              </w:rPr>
            </w:pPr>
            <w:r>
              <w:rPr>
                <w:rFonts w:ascii="Arial" w:cs="Arial" w:eastAsia="Arial" w:hAnsi="Arial"/>
                <w:sz w:val="13"/>
                <w:szCs w:val="13"/>
                <w:b w:val="1"/>
                <w:bCs w:val="1"/>
                <w:color w:val="auto"/>
              </w:rPr>
              <w:t>Coupon</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2"/>
              </w:rPr>
              <w:t xml:space="preserve">Index </w:t>
            </w:r>
            <w:r>
              <w:rPr>
                <w:rFonts w:ascii="Arial" w:cs="Arial" w:eastAsia="Arial" w:hAnsi="Arial"/>
                <w:sz w:val="10"/>
                <w:szCs w:val="10"/>
                <w:b w:val="1"/>
                <w:bCs w:val="1"/>
                <w:color w:val="auto"/>
                <w:w w:val="92"/>
              </w:rPr>
              <w:t>(4)</w:t>
            </w:r>
          </w:p>
        </w:tc>
        <w:tc>
          <w:tcPr>
            <w:tcW w:w="840" w:type="dxa"/>
            <w:vAlign w:val="bottom"/>
          </w:tcPr>
          <w:p>
            <w:pPr>
              <w:jc w:val="right"/>
              <w:ind w:right="217"/>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4"/>
                <w:szCs w:val="14"/>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Cost</w:t>
            </w:r>
          </w:p>
        </w:tc>
        <w:tc>
          <w:tcPr>
            <w:tcW w:w="40" w:type="dxa"/>
            <w:vAlign w:val="bottom"/>
          </w:tcPr>
          <w:p>
            <w:pPr>
              <w:spacing w:after="0"/>
              <w:rPr>
                <w:sz w:val="14"/>
                <w:szCs w:val="14"/>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3"/>
                <w:szCs w:val="13"/>
                <w:b w:val="1"/>
                <w:bCs w:val="1"/>
                <w:color w:val="auto"/>
                <w:w w:val="97"/>
              </w:rPr>
              <w:t xml:space="preserve">Fair Value </w:t>
            </w:r>
            <w:r>
              <w:rPr>
                <w:rFonts w:ascii="Arial" w:cs="Arial" w:eastAsia="Arial" w:hAnsi="Arial"/>
                <w:sz w:val="10"/>
                <w:szCs w:val="10"/>
                <w:b w:val="1"/>
                <w:bCs w:val="1"/>
                <w:color w:val="auto"/>
                <w:w w:val="97"/>
              </w:rPr>
              <w:t>(3)</w:t>
            </w:r>
          </w:p>
        </w:tc>
        <w:tc>
          <w:tcPr>
            <w:tcW w:w="0" w:type="dxa"/>
            <w:vAlign w:val="bottom"/>
          </w:tcPr>
          <w:p>
            <w:pPr>
              <w:spacing w:after="0"/>
              <w:rPr>
                <w:sz w:val="1"/>
                <w:szCs w:val="1"/>
                <w:color w:val="auto"/>
              </w:rPr>
            </w:pPr>
          </w:p>
        </w:tc>
      </w:tr>
      <w:tr>
        <w:trPr>
          <w:trHeight w:val="128"/>
        </w:trPr>
        <w:tc>
          <w:tcPr>
            <w:tcW w:w="336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Subordinated Debt/Corporate Notes—22.9%</w:t>
            </w:r>
          </w:p>
        </w:tc>
        <w:tc>
          <w:tcPr>
            <w:tcW w:w="1380" w:type="dxa"/>
            <w:vAlign w:val="bottom"/>
            <w:tcBorders>
              <w:top w:val="single" w:sz="8" w:color="auto"/>
            </w:tcBorders>
            <w:shd w:val="clear" w:color="auto" w:fill="CCEEFF"/>
          </w:tcPr>
          <w:p>
            <w:pPr>
              <w:spacing w:after="0"/>
              <w:rPr>
                <w:sz w:val="11"/>
                <w:szCs w:val="11"/>
                <w:color w:val="auto"/>
              </w:rPr>
            </w:pPr>
          </w:p>
        </w:tc>
        <w:tc>
          <w:tcPr>
            <w:tcW w:w="206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60" w:type="dxa"/>
            <w:vAlign w:val="bottom"/>
          </w:tcPr>
          <w:p>
            <w:pPr>
              <w:spacing w:after="0" w:line="135" w:lineRule="exact"/>
              <w:rPr>
                <w:sz w:val="20"/>
                <w:szCs w:val="20"/>
                <w:color w:val="auto"/>
              </w:rPr>
            </w:pPr>
            <w:r>
              <w:rPr>
                <w:rFonts w:ascii="Arial" w:cs="Arial" w:eastAsia="Arial" w:hAnsi="Arial"/>
                <w:sz w:val="13"/>
                <w:szCs w:val="13"/>
                <w:color w:val="auto"/>
              </w:rPr>
              <w:t>Acentia, LLC</w:t>
            </w:r>
          </w:p>
        </w:tc>
        <w:tc>
          <w:tcPr>
            <w:tcW w:w="1380" w:type="dxa"/>
            <w:vAlign w:val="bottom"/>
          </w:tcPr>
          <w:p>
            <w:pPr>
              <w:jc w:val="center"/>
              <w:ind w:left="537"/>
              <w:spacing w:after="0" w:line="135" w:lineRule="exact"/>
              <w:rPr>
                <w:sz w:val="20"/>
                <w:szCs w:val="20"/>
                <w:color w:val="auto"/>
              </w:rPr>
            </w:pPr>
            <w:r>
              <w:rPr>
                <w:rFonts w:ascii="Arial" w:cs="Arial" w:eastAsia="Arial" w:hAnsi="Arial"/>
                <w:sz w:val="13"/>
                <w:szCs w:val="13"/>
                <w:color w:val="auto"/>
                <w:w w:val="89"/>
              </w:rPr>
              <w:t>10/02/2017</w:t>
            </w:r>
          </w:p>
        </w:tc>
        <w:tc>
          <w:tcPr>
            <w:tcW w:w="2060" w:type="dxa"/>
            <w:vAlign w:val="bottom"/>
          </w:tcPr>
          <w:p>
            <w:pPr>
              <w:jc w:val="center"/>
              <w:spacing w:after="0" w:line="135" w:lineRule="exact"/>
              <w:rPr>
                <w:sz w:val="20"/>
                <w:szCs w:val="20"/>
                <w:color w:val="auto"/>
              </w:rPr>
            </w:pPr>
            <w:r>
              <w:rPr>
                <w:rFonts w:ascii="Arial" w:cs="Arial" w:eastAsia="Arial" w:hAnsi="Arial"/>
                <w:sz w:val="13"/>
                <w:szCs w:val="13"/>
                <w:color w:val="auto"/>
                <w:w w:val="91"/>
              </w:rPr>
              <w:t>Electronics</w:t>
            </w:r>
          </w:p>
        </w:tc>
        <w:tc>
          <w:tcPr>
            <w:tcW w:w="96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14.00%</w:t>
            </w:r>
          </w:p>
        </w:tc>
        <w:tc>
          <w:tcPr>
            <w:tcW w:w="7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840" w:type="dxa"/>
            <w:vAlign w:val="bottom"/>
          </w:tcPr>
          <w:p>
            <w:pPr>
              <w:jc w:val="right"/>
              <w:ind w:right="97"/>
              <w:spacing w:after="0" w:line="135" w:lineRule="exact"/>
              <w:rPr>
                <w:sz w:val="20"/>
                <w:szCs w:val="20"/>
                <w:color w:val="auto"/>
              </w:rPr>
            </w:pPr>
            <w:r>
              <w:rPr>
                <w:rFonts w:ascii="Arial" w:cs="Arial" w:eastAsia="Arial" w:hAnsi="Arial"/>
                <w:sz w:val="13"/>
                <w:szCs w:val="13"/>
                <w:color w:val="auto"/>
              </w:rPr>
              <w:t>19,000,000</w:t>
            </w:r>
          </w:p>
        </w:tc>
        <w:tc>
          <w:tcPr>
            <w:tcW w:w="120" w:type="dxa"/>
            <w:vAlign w:val="bottom"/>
          </w:tcPr>
          <w:p>
            <w:pPr>
              <w:jc w:val="right"/>
              <w:ind w:right="8"/>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18,718,484</w:t>
            </w:r>
          </w:p>
        </w:tc>
        <w:tc>
          <w:tcPr>
            <w:tcW w:w="1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18,898,773</w:t>
            </w:r>
          </w:p>
        </w:tc>
        <w:tc>
          <w:tcPr>
            <w:tcW w:w="0" w:type="dxa"/>
            <w:vAlign w:val="bottom"/>
          </w:tcPr>
          <w:p>
            <w:pPr>
              <w:spacing w:after="0"/>
              <w:rPr>
                <w:sz w:val="1"/>
                <w:szCs w:val="1"/>
                <w:color w:val="auto"/>
              </w:rPr>
            </w:pPr>
          </w:p>
        </w:tc>
      </w:tr>
      <w:tr>
        <w:trPr>
          <w:trHeight w:val="121"/>
        </w:trPr>
        <w:tc>
          <w:tcPr>
            <w:tcW w:w="33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Affinion Group Holdings, Inc.</w:t>
            </w:r>
          </w:p>
        </w:tc>
        <w:tc>
          <w:tcPr>
            <w:tcW w:w="1380" w:type="dxa"/>
            <w:vAlign w:val="bottom"/>
            <w:shd w:val="clear" w:color="auto" w:fill="CCEEFF"/>
          </w:tcPr>
          <w:p>
            <w:pPr>
              <w:jc w:val="center"/>
              <w:ind w:left="537"/>
              <w:spacing w:after="0" w:line="121" w:lineRule="exact"/>
              <w:rPr>
                <w:sz w:val="20"/>
                <w:szCs w:val="20"/>
                <w:color w:val="auto"/>
              </w:rPr>
            </w:pPr>
            <w:r>
              <w:rPr>
                <w:rFonts w:ascii="Arial" w:cs="Arial" w:eastAsia="Arial" w:hAnsi="Arial"/>
                <w:sz w:val="13"/>
                <w:szCs w:val="13"/>
                <w:color w:val="auto"/>
                <w:w w:val="89"/>
              </w:rPr>
              <w:t>09/14/2018</w:t>
            </w:r>
          </w:p>
        </w:tc>
        <w:tc>
          <w:tcPr>
            <w:tcW w:w="206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5"/>
              </w:rPr>
              <w:t>Consumer Products</w:t>
            </w:r>
          </w:p>
        </w:tc>
        <w:tc>
          <w:tcPr>
            <w:tcW w:w="960" w:type="dxa"/>
            <w:vAlign w:val="bottom"/>
            <w:shd w:val="clear" w:color="auto" w:fill="CCEEFF"/>
          </w:tcPr>
          <w:p>
            <w:pPr>
              <w:jc w:val="right"/>
              <w:ind w:right="217"/>
              <w:spacing w:after="0" w:line="121" w:lineRule="exact"/>
              <w:rPr>
                <w:sz w:val="20"/>
                <w:szCs w:val="20"/>
                <w:color w:val="auto"/>
              </w:rPr>
            </w:pPr>
            <w:r>
              <w:rPr>
                <w:rFonts w:ascii="Arial" w:cs="Arial" w:eastAsia="Arial" w:hAnsi="Arial"/>
                <w:sz w:val="13"/>
                <w:szCs w:val="13"/>
                <w:color w:val="auto"/>
              </w:rPr>
              <w:t>14.50</w:t>
            </w:r>
          </w:p>
        </w:tc>
        <w:tc>
          <w:tcPr>
            <w:tcW w:w="780" w:type="dxa"/>
            <w:vAlign w:val="bottom"/>
            <w:shd w:val="clear" w:color="auto" w:fill="CCEEFF"/>
          </w:tcPr>
          <w:p>
            <w:pPr>
              <w:jc w:val="right"/>
              <w:ind w:right="37"/>
              <w:spacing w:after="0" w:line="121" w:lineRule="exact"/>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97"/>
              <w:spacing w:after="0" w:line="121" w:lineRule="exact"/>
              <w:rPr>
                <w:sz w:val="20"/>
                <w:szCs w:val="20"/>
                <w:color w:val="auto"/>
              </w:rPr>
            </w:pPr>
            <w:r>
              <w:rPr>
                <w:rFonts w:ascii="Arial" w:cs="Arial" w:eastAsia="Arial" w:hAnsi="Arial"/>
                <w:sz w:val="13"/>
                <w:szCs w:val="13"/>
                <w:color w:val="auto"/>
              </w:rPr>
              <w:t>35,983,184</w:t>
            </w:r>
          </w:p>
        </w:tc>
        <w:tc>
          <w:tcPr>
            <w:tcW w:w="12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40"/>
              <w:spacing w:after="0" w:line="121" w:lineRule="exact"/>
              <w:rPr>
                <w:sz w:val="20"/>
                <w:szCs w:val="20"/>
                <w:color w:val="auto"/>
              </w:rPr>
            </w:pPr>
            <w:r>
              <w:rPr>
                <w:rFonts w:ascii="Arial" w:cs="Arial" w:eastAsia="Arial" w:hAnsi="Arial"/>
                <w:sz w:val="13"/>
                <w:szCs w:val="13"/>
                <w:color w:val="auto"/>
              </w:rPr>
              <w:t>31,684,086</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29,146,379</w:t>
            </w:r>
          </w:p>
        </w:tc>
        <w:tc>
          <w:tcPr>
            <w:tcW w:w="0" w:type="dxa"/>
            <w:vAlign w:val="bottom"/>
          </w:tcPr>
          <w:p>
            <w:pPr>
              <w:spacing w:after="0"/>
              <w:rPr>
                <w:sz w:val="1"/>
                <w:szCs w:val="1"/>
                <w:color w:val="auto"/>
              </w:rPr>
            </w:pPr>
          </w:p>
        </w:tc>
      </w:tr>
      <w:tr>
        <w:trPr>
          <w:trHeight w:val="163"/>
        </w:trPr>
        <w:tc>
          <w:tcPr>
            <w:tcW w:w="336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(PIK 14.50%)</w:t>
            </w:r>
          </w:p>
        </w:tc>
        <w:tc>
          <w:tcPr>
            <w:tcW w:w="7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360" w:type="dxa"/>
            <w:vAlign w:val="bottom"/>
          </w:tcPr>
          <w:p>
            <w:pPr>
              <w:spacing w:after="0" w:line="135" w:lineRule="exact"/>
              <w:rPr>
                <w:sz w:val="20"/>
                <w:szCs w:val="20"/>
                <w:color w:val="auto"/>
              </w:rPr>
            </w:pPr>
            <w:r>
              <w:rPr>
                <w:rFonts w:ascii="Arial" w:cs="Arial" w:eastAsia="Arial" w:hAnsi="Arial"/>
                <w:sz w:val="13"/>
                <w:szCs w:val="13"/>
                <w:color w:val="auto"/>
              </w:rPr>
              <w:t>Affinion Investments LLC</w:t>
            </w:r>
          </w:p>
        </w:tc>
        <w:tc>
          <w:tcPr>
            <w:tcW w:w="1380" w:type="dxa"/>
            <w:vAlign w:val="bottom"/>
          </w:tcPr>
          <w:p>
            <w:pPr>
              <w:jc w:val="center"/>
              <w:ind w:left="537"/>
              <w:spacing w:after="0" w:line="135" w:lineRule="exact"/>
              <w:rPr>
                <w:sz w:val="20"/>
                <w:szCs w:val="20"/>
                <w:color w:val="auto"/>
              </w:rPr>
            </w:pPr>
            <w:r>
              <w:rPr>
                <w:rFonts w:ascii="Arial" w:cs="Arial" w:eastAsia="Arial" w:hAnsi="Arial"/>
                <w:sz w:val="13"/>
                <w:szCs w:val="13"/>
                <w:color w:val="auto"/>
                <w:w w:val="89"/>
              </w:rPr>
              <w:t>08/15/2018</w:t>
            </w:r>
          </w:p>
        </w:tc>
        <w:tc>
          <w:tcPr>
            <w:tcW w:w="2060" w:type="dxa"/>
            <w:vAlign w:val="bottom"/>
          </w:tcPr>
          <w:p>
            <w:pPr>
              <w:jc w:val="center"/>
              <w:spacing w:after="0" w:line="135" w:lineRule="exact"/>
              <w:rPr>
                <w:sz w:val="20"/>
                <w:szCs w:val="20"/>
                <w:color w:val="auto"/>
              </w:rPr>
            </w:pPr>
            <w:r>
              <w:rPr>
                <w:rFonts w:ascii="Arial" w:cs="Arial" w:eastAsia="Arial" w:hAnsi="Arial"/>
                <w:sz w:val="13"/>
                <w:szCs w:val="13"/>
                <w:color w:val="auto"/>
                <w:w w:val="85"/>
              </w:rPr>
              <w:t>Consumer Products</w:t>
            </w:r>
          </w:p>
        </w:tc>
        <w:tc>
          <w:tcPr>
            <w:tcW w:w="96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13.50%</w:t>
            </w:r>
          </w:p>
        </w:tc>
        <w:tc>
          <w:tcPr>
            <w:tcW w:w="7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840" w:type="dxa"/>
            <w:vAlign w:val="bottom"/>
          </w:tcPr>
          <w:p>
            <w:pPr>
              <w:jc w:val="right"/>
              <w:ind w:right="97"/>
              <w:spacing w:after="0" w:line="135" w:lineRule="exact"/>
              <w:rPr>
                <w:sz w:val="20"/>
                <w:szCs w:val="20"/>
                <w:color w:val="auto"/>
              </w:rPr>
            </w:pPr>
            <w:r>
              <w:rPr>
                <w:rFonts w:ascii="Arial" w:cs="Arial" w:eastAsia="Arial" w:hAnsi="Arial"/>
                <w:sz w:val="13"/>
                <w:szCs w:val="13"/>
                <w:color w:val="auto"/>
              </w:rPr>
              <w:t>15,096,000</w:t>
            </w:r>
          </w:p>
        </w:tc>
        <w:tc>
          <w:tcPr>
            <w:tcW w:w="120" w:type="dxa"/>
            <w:vAlign w:val="bottom"/>
          </w:tcPr>
          <w:p>
            <w:pPr>
              <w:spacing w:after="0"/>
              <w:rPr>
                <w:sz w:val="11"/>
                <w:szCs w:val="11"/>
                <w:color w:val="auto"/>
              </w:rPr>
            </w:pPr>
          </w:p>
        </w:tc>
        <w:tc>
          <w:tcPr>
            <w:tcW w:w="7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15,096,000</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11,322,000</w:t>
            </w:r>
          </w:p>
        </w:tc>
        <w:tc>
          <w:tcPr>
            <w:tcW w:w="0" w:type="dxa"/>
            <w:vAlign w:val="bottom"/>
          </w:tcPr>
          <w:p>
            <w:pPr>
              <w:spacing w:after="0"/>
              <w:rPr>
                <w:sz w:val="1"/>
                <w:szCs w:val="1"/>
                <w:color w:val="auto"/>
              </w:rPr>
            </w:pPr>
          </w:p>
        </w:tc>
      </w:tr>
      <w:tr>
        <w:trPr>
          <w:trHeight w:val="135"/>
        </w:trPr>
        <w:tc>
          <w:tcPr>
            <w:tcW w:w="33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Alegeus Technologies, LLC</w:t>
            </w:r>
          </w:p>
        </w:tc>
        <w:tc>
          <w:tcPr>
            <w:tcW w:w="1380" w:type="dxa"/>
            <w:vAlign w:val="bottom"/>
            <w:shd w:val="clear" w:color="auto" w:fill="CCEEFF"/>
          </w:tcPr>
          <w:p>
            <w:pPr>
              <w:jc w:val="center"/>
              <w:ind w:left="537"/>
              <w:spacing w:after="0" w:line="135" w:lineRule="exact"/>
              <w:rPr>
                <w:sz w:val="20"/>
                <w:szCs w:val="20"/>
                <w:color w:val="auto"/>
              </w:rPr>
            </w:pPr>
            <w:r>
              <w:rPr>
                <w:rFonts w:ascii="Arial" w:cs="Arial" w:eastAsia="Arial" w:hAnsi="Arial"/>
                <w:sz w:val="13"/>
                <w:szCs w:val="13"/>
                <w:color w:val="auto"/>
                <w:w w:val="89"/>
              </w:rPr>
              <w:t>02/15/2019</w:t>
            </w:r>
          </w:p>
        </w:tc>
        <w:tc>
          <w:tcPr>
            <w:tcW w:w="20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Financial Services</w:t>
            </w:r>
          </w:p>
        </w:tc>
        <w:tc>
          <w:tcPr>
            <w:tcW w:w="96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12.00%</w:t>
            </w:r>
          </w:p>
        </w:tc>
        <w:tc>
          <w:tcPr>
            <w:tcW w:w="7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8,930,000</w:t>
            </w:r>
          </w:p>
        </w:tc>
        <w:tc>
          <w:tcPr>
            <w:tcW w:w="1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8,803,611</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8,369,490</w:t>
            </w:r>
          </w:p>
        </w:tc>
        <w:tc>
          <w:tcPr>
            <w:tcW w:w="0" w:type="dxa"/>
            <w:vAlign w:val="bottom"/>
          </w:tcPr>
          <w:p>
            <w:pPr>
              <w:spacing w:after="0"/>
              <w:rPr>
                <w:sz w:val="1"/>
                <w:szCs w:val="1"/>
                <w:color w:val="auto"/>
              </w:rPr>
            </w:pPr>
          </w:p>
        </w:tc>
      </w:tr>
      <w:tr>
        <w:trPr>
          <w:trHeight w:val="121"/>
        </w:trPr>
        <w:tc>
          <w:tcPr>
            <w:tcW w:w="3360" w:type="dxa"/>
            <w:vAlign w:val="bottom"/>
          </w:tcPr>
          <w:p>
            <w:pPr>
              <w:spacing w:after="0" w:line="121" w:lineRule="exact"/>
              <w:rPr>
                <w:sz w:val="20"/>
                <w:szCs w:val="20"/>
                <w:color w:val="auto"/>
              </w:rPr>
            </w:pPr>
            <w:r>
              <w:rPr>
                <w:rFonts w:ascii="Arial" w:cs="Arial" w:eastAsia="Arial" w:hAnsi="Arial"/>
                <w:sz w:val="13"/>
                <w:szCs w:val="13"/>
                <w:color w:val="auto"/>
              </w:rPr>
              <w:t>Credit Infonet, Inc.</w:t>
            </w:r>
          </w:p>
        </w:tc>
        <w:tc>
          <w:tcPr>
            <w:tcW w:w="1380" w:type="dxa"/>
            <w:vAlign w:val="bottom"/>
          </w:tcPr>
          <w:p>
            <w:pPr>
              <w:jc w:val="center"/>
              <w:ind w:left="537"/>
              <w:spacing w:after="0" w:line="121" w:lineRule="exact"/>
              <w:rPr>
                <w:sz w:val="20"/>
                <w:szCs w:val="20"/>
                <w:color w:val="auto"/>
              </w:rPr>
            </w:pPr>
            <w:r>
              <w:rPr>
                <w:rFonts w:ascii="Arial" w:cs="Arial" w:eastAsia="Arial" w:hAnsi="Arial"/>
                <w:sz w:val="13"/>
                <w:szCs w:val="13"/>
                <w:color w:val="auto"/>
                <w:w w:val="89"/>
              </w:rPr>
              <w:t>10/26/2018</w:t>
            </w:r>
          </w:p>
        </w:tc>
        <w:tc>
          <w:tcPr>
            <w:tcW w:w="2060" w:type="dxa"/>
            <w:vAlign w:val="bottom"/>
          </w:tcPr>
          <w:p>
            <w:pPr>
              <w:jc w:val="center"/>
              <w:spacing w:after="0" w:line="121" w:lineRule="exact"/>
              <w:rPr>
                <w:sz w:val="20"/>
                <w:szCs w:val="20"/>
                <w:color w:val="auto"/>
              </w:rPr>
            </w:pPr>
            <w:r>
              <w:rPr>
                <w:rFonts w:ascii="Arial" w:cs="Arial" w:eastAsia="Arial" w:hAnsi="Arial"/>
                <w:sz w:val="13"/>
                <w:szCs w:val="13"/>
                <w:color w:val="auto"/>
                <w:w w:val="87"/>
              </w:rPr>
              <w:t>Personal, Food and Miscellaneous</w:t>
            </w:r>
          </w:p>
        </w:tc>
        <w:tc>
          <w:tcPr>
            <w:tcW w:w="960" w:type="dxa"/>
            <w:vAlign w:val="bottom"/>
          </w:tcPr>
          <w:p>
            <w:pPr>
              <w:jc w:val="right"/>
              <w:ind w:right="217"/>
              <w:spacing w:after="0" w:line="121" w:lineRule="exact"/>
              <w:rPr>
                <w:sz w:val="20"/>
                <w:szCs w:val="20"/>
                <w:color w:val="auto"/>
              </w:rPr>
            </w:pPr>
            <w:r>
              <w:rPr>
                <w:rFonts w:ascii="Arial" w:cs="Arial" w:eastAsia="Arial" w:hAnsi="Arial"/>
                <w:sz w:val="13"/>
                <w:szCs w:val="13"/>
                <w:color w:val="auto"/>
              </w:rPr>
              <w:t>12.50</w:t>
            </w:r>
          </w:p>
        </w:tc>
        <w:tc>
          <w:tcPr>
            <w:tcW w:w="780" w:type="dxa"/>
            <w:vAlign w:val="bottom"/>
          </w:tcPr>
          <w:p>
            <w:pPr>
              <w:jc w:val="right"/>
              <w:ind w:right="37"/>
              <w:spacing w:after="0" w:line="121" w:lineRule="exact"/>
              <w:rPr>
                <w:sz w:val="20"/>
                <w:szCs w:val="20"/>
                <w:color w:val="auto"/>
              </w:rPr>
            </w:pPr>
            <w:r>
              <w:rPr>
                <w:rFonts w:ascii="Arial" w:cs="Arial" w:eastAsia="Arial" w:hAnsi="Arial"/>
                <w:sz w:val="13"/>
                <w:szCs w:val="13"/>
                <w:color w:val="auto"/>
              </w:rPr>
              <w:t>—</w:t>
            </w:r>
          </w:p>
        </w:tc>
        <w:tc>
          <w:tcPr>
            <w:tcW w:w="840" w:type="dxa"/>
            <w:vAlign w:val="bottom"/>
          </w:tcPr>
          <w:p>
            <w:pPr>
              <w:jc w:val="right"/>
              <w:ind w:right="97"/>
              <w:spacing w:after="0" w:line="121" w:lineRule="exact"/>
              <w:rPr>
                <w:sz w:val="20"/>
                <w:szCs w:val="20"/>
                <w:color w:val="auto"/>
              </w:rPr>
            </w:pPr>
            <w:r>
              <w:rPr>
                <w:rFonts w:ascii="Arial" w:cs="Arial" w:eastAsia="Arial" w:hAnsi="Arial"/>
                <w:sz w:val="13"/>
                <w:szCs w:val="13"/>
                <w:color w:val="auto"/>
              </w:rPr>
              <w:t>10,666,900</w:t>
            </w:r>
          </w:p>
        </w:tc>
        <w:tc>
          <w:tcPr>
            <w:tcW w:w="120" w:type="dxa"/>
            <w:vAlign w:val="bottom"/>
          </w:tcPr>
          <w:p>
            <w:pPr>
              <w:spacing w:after="0"/>
              <w:rPr>
                <w:sz w:val="10"/>
                <w:szCs w:val="10"/>
                <w:color w:val="auto"/>
              </w:rPr>
            </w:pPr>
          </w:p>
        </w:tc>
        <w:tc>
          <w:tcPr>
            <w:tcW w:w="740" w:type="dxa"/>
            <w:vAlign w:val="bottom"/>
            <w:gridSpan w:val="2"/>
          </w:tcPr>
          <w:p>
            <w:pPr>
              <w:jc w:val="right"/>
              <w:ind w:right="40"/>
              <w:spacing w:after="0" w:line="121" w:lineRule="exact"/>
              <w:rPr>
                <w:sz w:val="20"/>
                <w:szCs w:val="20"/>
                <w:color w:val="auto"/>
              </w:rPr>
            </w:pPr>
            <w:r>
              <w:rPr>
                <w:rFonts w:ascii="Arial" w:cs="Arial" w:eastAsia="Arial" w:hAnsi="Arial"/>
                <w:sz w:val="13"/>
                <w:szCs w:val="13"/>
                <w:color w:val="auto"/>
              </w:rPr>
              <w:t>10,504,718</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10,037,785</w:t>
            </w:r>
          </w:p>
        </w:tc>
        <w:tc>
          <w:tcPr>
            <w:tcW w:w="0" w:type="dxa"/>
            <w:vAlign w:val="bottom"/>
          </w:tcPr>
          <w:p>
            <w:pPr>
              <w:spacing w:after="0"/>
              <w:rPr>
                <w:sz w:val="1"/>
                <w:szCs w:val="1"/>
                <w:color w:val="auto"/>
              </w:rPr>
            </w:pPr>
          </w:p>
        </w:tc>
      </w:tr>
      <w:tr>
        <w:trPr>
          <w:trHeight w:val="161"/>
        </w:trPr>
        <w:tc>
          <w:tcPr>
            <w:tcW w:w="3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60" w:type="dxa"/>
            <w:vAlign w:val="bottom"/>
          </w:tcPr>
          <w:p>
            <w:pPr>
              <w:jc w:val="center"/>
              <w:spacing w:after="0"/>
              <w:rPr>
                <w:sz w:val="20"/>
                <w:szCs w:val="20"/>
                <w:color w:val="auto"/>
              </w:rPr>
            </w:pPr>
            <w:r>
              <w:rPr>
                <w:rFonts w:ascii="Arial" w:cs="Arial" w:eastAsia="Arial" w:hAnsi="Arial"/>
                <w:sz w:val="13"/>
                <w:szCs w:val="13"/>
                <w:color w:val="auto"/>
                <w:w w:val="84"/>
              </w:rPr>
              <w:t>Services</w:t>
            </w:r>
          </w:p>
        </w:tc>
        <w:tc>
          <w:tcPr>
            <w:tcW w:w="960" w:type="dxa"/>
            <w:vAlign w:val="bottom"/>
          </w:tcPr>
          <w:p>
            <w:pPr>
              <w:jc w:val="right"/>
              <w:ind w:right="77"/>
              <w:spacing w:after="0"/>
              <w:rPr>
                <w:sz w:val="20"/>
                <w:szCs w:val="20"/>
                <w:color w:val="auto"/>
              </w:rPr>
            </w:pPr>
            <w:r>
              <w:rPr>
                <w:rFonts w:ascii="Arial" w:cs="Arial" w:eastAsia="Arial" w:hAnsi="Arial"/>
                <w:sz w:val="13"/>
                <w:szCs w:val="13"/>
                <w:color w:val="auto"/>
              </w:rPr>
              <w:t>(PIK 1.25%)</w:t>
            </w: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36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 xml:space="preserve">Energy &amp; Exploration Partners, Inc. </w:t>
            </w:r>
            <w:r>
              <w:rPr>
                <w:rFonts w:ascii="Arial" w:cs="Arial" w:eastAsia="Arial" w:hAnsi="Arial"/>
                <w:sz w:val="10"/>
                <w:szCs w:val="10"/>
                <w:color w:val="auto"/>
              </w:rPr>
              <w:t>(5)</w:t>
            </w:r>
          </w:p>
        </w:tc>
        <w:tc>
          <w:tcPr>
            <w:tcW w:w="1380" w:type="dxa"/>
            <w:vAlign w:val="bottom"/>
            <w:shd w:val="clear" w:color="auto" w:fill="CCEEFF"/>
          </w:tcPr>
          <w:p>
            <w:pPr>
              <w:jc w:val="center"/>
              <w:ind w:left="537"/>
              <w:spacing w:after="0" w:line="136" w:lineRule="exact"/>
              <w:rPr>
                <w:sz w:val="20"/>
                <w:szCs w:val="20"/>
                <w:color w:val="auto"/>
              </w:rPr>
            </w:pPr>
            <w:r>
              <w:rPr>
                <w:rFonts w:ascii="Arial" w:cs="Arial" w:eastAsia="Arial" w:hAnsi="Arial"/>
                <w:sz w:val="13"/>
                <w:szCs w:val="13"/>
                <w:color w:val="auto"/>
                <w:w w:val="89"/>
              </w:rPr>
              <w:t>07/01/2019</w:t>
            </w:r>
          </w:p>
        </w:tc>
        <w:tc>
          <w:tcPr>
            <w:tcW w:w="2060" w:type="dxa"/>
            <w:vAlign w:val="bottom"/>
            <w:shd w:val="clear" w:color="auto" w:fill="CCEEFF"/>
          </w:tcPr>
          <w:p>
            <w:pPr>
              <w:jc w:val="center"/>
              <w:spacing w:after="0" w:line="136" w:lineRule="exact"/>
              <w:rPr>
                <w:sz w:val="20"/>
                <w:szCs w:val="20"/>
                <w:color w:val="auto"/>
              </w:rPr>
            </w:pPr>
            <w:r>
              <w:rPr>
                <w:rFonts w:ascii="Arial" w:cs="Arial" w:eastAsia="Arial" w:hAnsi="Arial"/>
                <w:sz w:val="13"/>
                <w:szCs w:val="13"/>
                <w:color w:val="auto"/>
                <w:w w:val="87"/>
              </w:rPr>
              <w:t>Oil and Gas</w:t>
            </w:r>
          </w:p>
        </w:tc>
        <w:tc>
          <w:tcPr>
            <w:tcW w:w="960" w:type="dxa"/>
            <w:vAlign w:val="bottom"/>
            <w:shd w:val="clear" w:color="auto" w:fill="CCEEFF"/>
          </w:tcPr>
          <w:p>
            <w:pPr>
              <w:jc w:val="right"/>
              <w:ind w:right="117"/>
              <w:spacing w:after="0" w:line="136" w:lineRule="exact"/>
              <w:rPr>
                <w:sz w:val="20"/>
                <w:szCs w:val="20"/>
                <w:color w:val="auto"/>
              </w:rPr>
            </w:pPr>
            <w:r>
              <w:rPr>
                <w:rFonts w:ascii="Arial" w:cs="Arial" w:eastAsia="Arial" w:hAnsi="Arial"/>
                <w:sz w:val="13"/>
                <w:szCs w:val="13"/>
                <w:color w:val="auto"/>
              </w:rPr>
              <w:t>8.00%</w:t>
            </w:r>
          </w:p>
        </w:tc>
        <w:tc>
          <w:tcPr>
            <w:tcW w:w="780" w:type="dxa"/>
            <w:vAlign w:val="bottom"/>
            <w:shd w:val="clear" w:color="auto" w:fill="CCEEFF"/>
          </w:tcPr>
          <w:p>
            <w:pPr>
              <w:jc w:val="right"/>
              <w:ind w:right="37"/>
              <w:spacing w:after="0" w:line="136" w:lineRule="exact"/>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97"/>
              <w:spacing w:after="0" w:line="136" w:lineRule="exact"/>
              <w:rPr>
                <w:sz w:val="20"/>
                <w:szCs w:val="20"/>
                <w:color w:val="auto"/>
              </w:rPr>
            </w:pPr>
            <w:r>
              <w:rPr>
                <w:rFonts w:ascii="Arial" w:cs="Arial" w:eastAsia="Arial" w:hAnsi="Arial"/>
                <w:sz w:val="13"/>
                <w:szCs w:val="13"/>
                <w:color w:val="auto"/>
              </w:rPr>
              <w:t>9,500,000</w:t>
            </w:r>
          </w:p>
        </w:tc>
        <w:tc>
          <w:tcPr>
            <w:tcW w:w="1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rPr>
              <w:t>9,500,000</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3"/>
                <w:szCs w:val="13"/>
                <w:color w:val="auto"/>
              </w:rPr>
              <w:t>3,325,000</w:t>
            </w:r>
          </w:p>
        </w:tc>
        <w:tc>
          <w:tcPr>
            <w:tcW w:w="0" w:type="dxa"/>
            <w:vAlign w:val="bottom"/>
          </w:tcPr>
          <w:p>
            <w:pPr>
              <w:spacing w:after="0"/>
              <w:rPr>
                <w:sz w:val="1"/>
                <w:szCs w:val="1"/>
                <w:color w:val="auto"/>
              </w:rPr>
            </w:pPr>
          </w:p>
        </w:tc>
      </w:tr>
      <w:tr>
        <w:trPr>
          <w:trHeight w:val="135"/>
        </w:trPr>
        <w:tc>
          <w:tcPr>
            <w:tcW w:w="3360" w:type="dxa"/>
            <w:vAlign w:val="bottom"/>
          </w:tcPr>
          <w:p>
            <w:pPr>
              <w:spacing w:after="0" w:line="135" w:lineRule="exact"/>
              <w:rPr>
                <w:sz w:val="20"/>
                <w:szCs w:val="20"/>
                <w:color w:val="auto"/>
              </w:rPr>
            </w:pPr>
            <w:r>
              <w:rPr>
                <w:rFonts w:ascii="Arial" w:cs="Arial" w:eastAsia="Arial" w:hAnsi="Arial"/>
                <w:sz w:val="13"/>
                <w:szCs w:val="13"/>
                <w:color w:val="auto"/>
              </w:rPr>
              <w:t>JF Acquisition, LLC</w:t>
            </w:r>
          </w:p>
        </w:tc>
        <w:tc>
          <w:tcPr>
            <w:tcW w:w="1380" w:type="dxa"/>
            <w:vAlign w:val="bottom"/>
          </w:tcPr>
          <w:p>
            <w:pPr>
              <w:jc w:val="center"/>
              <w:ind w:left="537"/>
              <w:spacing w:after="0" w:line="135" w:lineRule="exact"/>
              <w:rPr>
                <w:sz w:val="20"/>
                <w:szCs w:val="20"/>
                <w:color w:val="auto"/>
              </w:rPr>
            </w:pPr>
            <w:r>
              <w:rPr>
                <w:rFonts w:ascii="Arial" w:cs="Arial" w:eastAsia="Arial" w:hAnsi="Arial"/>
                <w:sz w:val="13"/>
                <w:szCs w:val="13"/>
                <w:color w:val="auto"/>
                <w:w w:val="89"/>
              </w:rPr>
              <w:t>06/30/2017</w:t>
            </w:r>
          </w:p>
        </w:tc>
        <w:tc>
          <w:tcPr>
            <w:tcW w:w="2060" w:type="dxa"/>
            <w:vAlign w:val="bottom"/>
          </w:tcPr>
          <w:p>
            <w:pPr>
              <w:jc w:val="center"/>
              <w:spacing w:after="0" w:line="135" w:lineRule="exact"/>
              <w:rPr>
                <w:sz w:val="20"/>
                <w:szCs w:val="20"/>
                <w:color w:val="auto"/>
              </w:rPr>
            </w:pPr>
            <w:r>
              <w:rPr>
                <w:rFonts w:ascii="Arial" w:cs="Arial" w:eastAsia="Arial" w:hAnsi="Arial"/>
                <w:sz w:val="13"/>
                <w:szCs w:val="13"/>
                <w:color w:val="auto"/>
                <w:w w:val="95"/>
              </w:rPr>
              <w:t>Distribution</w:t>
            </w:r>
          </w:p>
        </w:tc>
        <w:tc>
          <w:tcPr>
            <w:tcW w:w="960" w:type="dxa"/>
            <w:vAlign w:val="bottom"/>
          </w:tcPr>
          <w:p>
            <w:pPr>
              <w:jc w:val="right"/>
              <w:ind w:right="97"/>
              <w:spacing w:after="0" w:line="135" w:lineRule="exact"/>
              <w:rPr>
                <w:sz w:val="20"/>
                <w:szCs w:val="20"/>
                <w:color w:val="auto"/>
              </w:rPr>
            </w:pPr>
            <w:r>
              <w:rPr>
                <w:rFonts w:ascii="Arial" w:cs="Arial" w:eastAsia="Arial" w:hAnsi="Arial"/>
                <w:sz w:val="13"/>
                <w:szCs w:val="13"/>
                <w:color w:val="auto"/>
              </w:rPr>
              <w:t>—</w:t>
            </w:r>
            <w:r>
              <w:rPr>
                <w:rFonts w:ascii="Arial" w:cs="Arial" w:eastAsia="Arial" w:hAnsi="Arial"/>
                <w:sz w:val="10"/>
                <w:szCs w:val="10"/>
                <w:color w:val="auto"/>
              </w:rPr>
              <w:t>(6)</w:t>
            </w:r>
          </w:p>
        </w:tc>
        <w:tc>
          <w:tcPr>
            <w:tcW w:w="7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840" w:type="dxa"/>
            <w:vAlign w:val="bottom"/>
          </w:tcPr>
          <w:p>
            <w:pPr>
              <w:jc w:val="right"/>
              <w:ind w:right="97"/>
              <w:spacing w:after="0" w:line="135" w:lineRule="exact"/>
              <w:rPr>
                <w:sz w:val="20"/>
                <w:szCs w:val="20"/>
                <w:color w:val="auto"/>
              </w:rPr>
            </w:pPr>
            <w:r>
              <w:rPr>
                <w:rFonts w:ascii="Arial" w:cs="Arial" w:eastAsia="Arial" w:hAnsi="Arial"/>
                <w:sz w:val="13"/>
                <w:szCs w:val="13"/>
                <w:color w:val="auto"/>
              </w:rPr>
              <w:t>19,973,519</w:t>
            </w:r>
          </w:p>
        </w:tc>
        <w:tc>
          <w:tcPr>
            <w:tcW w:w="120" w:type="dxa"/>
            <w:vAlign w:val="bottom"/>
          </w:tcPr>
          <w:p>
            <w:pPr>
              <w:spacing w:after="0"/>
              <w:rPr>
                <w:sz w:val="11"/>
                <w:szCs w:val="11"/>
                <w:color w:val="auto"/>
              </w:rPr>
            </w:pPr>
          </w:p>
        </w:tc>
        <w:tc>
          <w:tcPr>
            <w:tcW w:w="7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19,665,701</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17,476,829</w:t>
            </w:r>
          </w:p>
        </w:tc>
        <w:tc>
          <w:tcPr>
            <w:tcW w:w="0" w:type="dxa"/>
            <w:vAlign w:val="bottom"/>
          </w:tcPr>
          <w:p>
            <w:pPr>
              <w:spacing w:after="0"/>
              <w:rPr>
                <w:sz w:val="1"/>
                <w:szCs w:val="1"/>
                <w:color w:val="auto"/>
              </w:rPr>
            </w:pPr>
          </w:p>
        </w:tc>
      </w:tr>
      <w:tr>
        <w:trPr>
          <w:trHeight w:val="135"/>
        </w:trPr>
        <w:tc>
          <w:tcPr>
            <w:tcW w:w="33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MSPark, Inc.</w:t>
            </w:r>
          </w:p>
        </w:tc>
        <w:tc>
          <w:tcPr>
            <w:tcW w:w="1380" w:type="dxa"/>
            <w:vAlign w:val="bottom"/>
            <w:shd w:val="clear" w:color="auto" w:fill="CCEEFF"/>
          </w:tcPr>
          <w:p>
            <w:pPr>
              <w:jc w:val="center"/>
              <w:ind w:left="537"/>
              <w:spacing w:after="0" w:line="135" w:lineRule="exact"/>
              <w:rPr>
                <w:sz w:val="20"/>
                <w:szCs w:val="20"/>
                <w:color w:val="auto"/>
              </w:rPr>
            </w:pPr>
            <w:r>
              <w:rPr>
                <w:rFonts w:ascii="Arial" w:cs="Arial" w:eastAsia="Arial" w:hAnsi="Arial"/>
                <w:sz w:val="13"/>
                <w:szCs w:val="13"/>
                <w:color w:val="auto"/>
                <w:w w:val="89"/>
              </w:rPr>
              <w:t>06/15/2017</w:t>
            </w:r>
          </w:p>
        </w:tc>
        <w:tc>
          <w:tcPr>
            <w:tcW w:w="20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Printing and Publishing</w:t>
            </w:r>
          </w:p>
        </w:tc>
        <w:tc>
          <w:tcPr>
            <w:tcW w:w="9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14.50%</w:t>
            </w:r>
            <w:r>
              <w:rPr>
                <w:rFonts w:ascii="Arial" w:cs="Arial" w:eastAsia="Arial" w:hAnsi="Arial"/>
                <w:sz w:val="10"/>
                <w:szCs w:val="10"/>
                <w:color w:val="auto"/>
              </w:rPr>
              <w:t>(7)</w:t>
            </w:r>
          </w:p>
        </w:tc>
        <w:tc>
          <w:tcPr>
            <w:tcW w:w="7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15,000,000</w:t>
            </w:r>
          </w:p>
        </w:tc>
        <w:tc>
          <w:tcPr>
            <w:tcW w:w="1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14,777,412</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15,000,000</w:t>
            </w:r>
          </w:p>
        </w:tc>
        <w:tc>
          <w:tcPr>
            <w:tcW w:w="0" w:type="dxa"/>
            <w:vAlign w:val="bottom"/>
          </w:tcPr>
          <w:p>
            <w:pPr>
              <w:spacing w:after="0"/>
              <w:rPr>
                <w:sz w:val="1"/>
                <w:szCs w:val="1"/>
                <w:color w:val="auto"/>
              </w:rPr>
            </w:pPr>
          </w:p>
        </w:tc>
      </w:tr>
      <w:tr>
        <w:trPr>
          <w:trHeight w:val="121"/>
        </w:trPr>
        <w:tc>
          <w:tcPr>
            <w:tcW w:w="3360" w:type="dxa"/>
            <w:vAlign w:val="bottom"/>
          </w:tcPr>
          <w:p>
            <w:pPr>
              <w:spacing w:after="0" w:line="121" w:lineRule="exact"/>
              <w:rPr>
                <w:sz w:val="20"/>
                <w:szCs w:val="20"/>
                <w:color w:val="auto"/>
              </w:rPr>
            </w:pPr>
            <w:r>
              <w:rPr>
                <w:rFonts w:ascii="Arial" w:cs="Arial" w:eastAsia="Arial" w:hAnsi="Arial"/>
                <w:sz w:val="13"/>
                <w:szCs w:val="13"/>
                <w:color w:val="auto"/>
              </w:rPr>
              <w:t xml:space="preserve">New Gulf Resources, LLC </w:t>
            </w:r>
            <w:r>
              <w:rPr>
                <w:rFonts w:ascii="Arial" w:cs="Arial" w:eastAsia="Arial" w:hAnsi="Arial"/>
                <w:sz w:val="10"/>
                <w:szCs w:val="10"/>
                <w:color w:val="auto"/>
              </w:rPr>
              <w:t>(5)</w:t>
            </w:r>
          </w:p>
        </w:tc>
        <w:tc>
          <w:tcPr>
            <w:tcW w:w="1380" w:type="dxa"/>
            <w:vAlign w:val="bottom"/>
          </w:tcPr>
          <w:p>
            <w:pPr>
              <w:jc w:val="center"/>
              <w:ind w:left="557"/>
              <w:spacing w:after="0" w:line="121" w:lineRule="exact"/>
              <w:rPr>
                <w:sz w:val="20"/>
                <w:szCs w:val="20"/>
                <w:color w:val="auto"/>
              </w:rPr>
            </w:pPr>
            <w:r>
              <w:rPr>
                <w:rFonts w:ascii="Arial" w:cs="Arial" w:eastAsia="Arial" w:hAnsi="Arial"/>
                <w:sz w:val="13"/>
                <w:szCs w:val="13"/>
                <w:color w:val="auto"/>
                <w:w w:val="86"/>
              </w:rPr>
              <w:t>11/15/2019</w:t>
            </w:r>
          </w:p>
        </w:tc>
        <w:tc>
          <w:tcPr>
            <w:tcW w:w="2060" w:type="dxa"/>
            <w:vAlign w:val="bottom"/>
          </w:tcPr>
          <w:p>
            <w:pPr>
              <w:jc w:val="center"/>
              <w:spacing w:after="0" w:line="121" w:lineRule="exact"/>
              <w:rPr>
                <w:sz w:val="20"/>
                <w:szCs w:val="20"/>
                <w:color w:val="auto"/>
              </w:rPr>
            </w:pPr>
            <w:r>
              <w:rPr>
                <w:rFonts w:ascii="Arial" w:cs="Arial" w:eastAsia="Arial" w:hAnsi="Arial"/>
                <w:sz w:val="13"/>
                <w:szCs w:val="13"/>
                <w:color w:val="auto"/>
                <w:w w:val="87"/>
              </w:rPr>
              <w:t>Oil and Gas</w:t>
            </w:r>
          </w:p>
        </w:tc>
        <w:tc>
          <w:tcPr>
            <w:tcW w:w="960" w:type="dxa"/>
            <w:vAlign w:val="bottom"/>
          </w:tcPr>
          <w:p>
            <w:pPr>
              <w:jc w:val="right"/>
              <w:ind w:right="217"/>
              <w:spacing w:after="0" w:line="121" w:lineRule="exact"/>
              <w:rPr>
                <w:sz w:val="20"/>
                <w:szCs w:val="20"/>
                <w:color w:val="auto"/>
              </w:rPr>
            </w:pPr>
            <w:r>
              <w:rPr>
                <w:rFonts w:ascii="Arial" w:cs="Arial" w:eastAsia="Arial" w:hAnsi="Arial"/>
                <w:sz w:val="13"/>
                <w:szCs w:val="13"/>
                <w:color w:val="auto"/>
              </w:rPr>
              <w:t>12.00</w:t>
            </w:r>
          </w:p>
        </w:tc>
        <w:tc>
          <w:tcPr>
            <w:tcW w:w="780" w:type="dxa"/>
            <w:vAlign w:val="bottom"/>
          </w:tcPr>
          <w:p>
            <w:pPr>
              <w:jc w:val="right"/>
              <w:ind w:right="37"/>
              <w:spacing w:after="0" w:line="121" w:lineRule="exact"/>
              <w:rPr>
                <w:sz w:val="20"/>
                <w:szCs w:val="20"/>
                <w:color w:val="auto"/>
              </w:rPr>
            </w:pPr>
            <w:r>
              <w:rPr>
                <w:rFonts w:ascii="Arial" w:cs="Arial" w:eastAsia="Arial" w:hAnsi="Arial"/>
                <w:sz w:val="13"/>
                <w:szCs w:val="13"/>
                <w:color w:val="auto"/>
              </w:rPr>
              <w:t>—</w:t>
            </w:r>
          </w:p>
        </w:tc>
        <w:tc>
          <w:tcPr>
            <w:tcW w:w="840" w:type="dxa"/>
            <w:vAlign w:val="bottom"/>
          </w:tcPr>
          <w:p>
            <w:pPr>
              <w:jc w:val="right"/>
              <w:ind w:right="97"/>
              <w:spacing w:after="0" w:line="121" w:lineRule="exact"/>
              <w:rPr>
                <w:sz w:val="20"/>
                <w:szCs w:val="20"/>
                <w:color w:val="auto"/>
              </w:rPr>
            </w:pPr>
            <w:r>
              <w:rPr>
                <w:rFonts w:ascii="Arial" w:cs="Arial" w:eastAsia="Arial" w:hAnsi="Arial"/>
                <w:sz w:val="13"/>
                <w:szCs w:val="13"/>
                <w:color w:val="auto"/>
              </w:rPr>
              <w:t>14,337,000</w:t>
            </w:r>
          </w:p>
        </w:tc>
        <w:tc>
          <w:tcPr>
            <w:tcW w:w="120" w:type="dxa"/>
            <w:vAlign w:val="bottom"/>
          </w:tcPr>
          <w:p>
            <w:pPr>
              <w:spacing w:after="0"/>
              <w:rPr>
                <w:sz w:val="10"/>
                <w:szCs w:val="10"/>
                <w:color w:val="auto"/>
              </w:rPr>
            </w:pPr>
          </w:p>
        </w:tc>
        <w:tc>
          <w:tcPr>
            <w:tcW w:w="740" w:type="dxa"/>
            <w:vAlign w:val="bottom"/>
            <w:gridSpan w:val="2"/>
          </w:tcPr>
          <w:p>
            <w:pPr>
              <w:jc w:val="right"/>
              <w:ind w:right="40"/>
              <w:spacing w:after="0" w:line="121" w:lineRule="exact"/>
              <w:rPr>
                <w:sz w:val="20"/>
                <w:szCs w:val="20"/>
                <w:color w:val="auto"/>
              </w:rPr>
            </w:pPr>
            <w:r>
              <w:rPr>
                <w:rFonts w:ascii="Arial" w:cs="Arial" w:eastAsia="Arial" w:hAnsi="Arial"/>
                <w:sz w:val="13"/>
                <w:szCs w:val="13"/>
                <w:color w:val="auto"/>
              </w:rPr>
              <w:t>13,899,525</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7,168,500</w:t>
            </w:r>
          </w:p>
        </w:tc>
        <w:tc>
          <w:tcPr>
            <w:tcW w:w="0" w:type="dxa"/>
            <w:vAlign w:val="bottom"/>
          </w:tcPr>
          <w:p>
            <w:pPr>
              <w:spacing w:after="0"/>
              <w:rPr>
                <w:sz w:val="1"/>
                <w:szCs w:val="1"/>
                <w:color w:val="auto"/>
              </w:rPr>
            </w:pPr>
          </w:p>
        </w:tc>
      </w:tr>
      <w:tr>
        <w:trPr>
          <w:trHeight w:val="161"/>
        </w:trPr>
        <w:tc>
          <w:tcPr>
            <w:tcW w:w="3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960" w:type="dxa"/>
            <w:vAlign w:val="bottom"/>
          </w:tcPr>
          <w:p>
            <w:pPr>
              <w:jc w:val="right"/>
              <w:ind w:right="77"/>
              <w:spacing w:after="0"/>
              <w:rPr>
                <w:sz w:val="20"/>
                <w:szCs w:val="20"/>
                <w:color w:val="auto"/>
              </w:rPr>
            </w:pPr>
            <w:r>
              <w:rPr>
                <w:rFonts w:ascii="Arial" w:cs="Arial" w:eastAsia="Arial" w:hAnsi="Arial"/>
                <w:sz w:val="13"/>
                <w:szCs w:val="13"/>
                <w:color w:val="auto"/>
              </w:rPr>
              <w:t>(PIK 12.00%)</w:t>
            </w: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36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Power Products, LLC</w:t>
            </w:r>
          </w:p>
        </w:tc>
        <w:tc>
          <w:tcPr>
            <w:tcW w:w="1380" w:type="dxa"/>
            <w:vAlign w:val="bottom"/>
            <w:shd w:val="clear" w:color="auto" w:fill="CCEEFF"/>
          </w:tcPr>
          <w:p>
            <w:pPr>
              <w:jc w:val="center"/>
              <w:ind w:left="557"/>
              <w:spacing w:after="0" w:line="136" w:lineRule="exact"/>
              <w:rPr>
                <w:sz w:val="20"/>
                <w:szCs w:val="20"/>
                <w:color w:val="auto"/>
              </w:rPr>
            </w:pPr>
            <w:r>
              <w:rPr>
                <w:rFonts w:ascii="Arial" w:cs="Arial" w:eastAsia="Arial" w:hAnsi="Arial"/>
                <w:sz w:val="13"/>
                <w:szCs w:val="13"/>
                <w:color w:val="auto"/>
                <w:w w:val="86"/>
              </w:rPr>
              <w:t>12/11/2020</w:t>
            </w:r>
          </w:p>
        </w:tc>
        <w:tc>
          <w:tcPr>
            <w:tcW w:w="2060" w:type="dxa"/>
            <w:vAlign w:val="bottom"/>
            <w:shd w:val="clear" w:color="auto" w:fill="CCEEFF"/>
          </w:tcPr>
          <w:p>
            <w:pPr>
              <w:jc w:val="center"/>
              <w:spacing w:after="0" w:line="136" w:lineRule="exact"/>
              <w:rPr>
                <w:sz w:val="20"/>
                <w:szCs w:val="20"/>
                <w:color w:val="auto"/>
              </w:rPr>
            </w:pPr>
            <w:r>
              <w:rPr>
                <w:rFonts w:ascii="Arial" w:cs="Arial" w:eastAsia="Arial" w:hAnsi="Arial"/>
                <w:sz w:val="13"/>
                <w:szCs w:val="13"/>
                <w:color w:val="auto"/>
                <w:w w:val="91"/>
              </w:rPr>
              <w:t>Electronics</w:t>
            </w:r>
          </w:p>
        </w:tc>
        <w:tc>
          <w:tcPr>
            <w:tcW w:w="9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12.75%</w:t>
            </w:r>
            <w:r>
              <w:rPr>
                <w:rFonts w:ascii="Arial" w:cs="Arial" w:eastAsia="Arial" w:hAnsi="Arial"/>
                <w:sz w:val="10"/>
                <w:szCs w:val="10"/>
                <w:color w:val="auto"/>
              </w:rPr>
              <w:t>(7)</w:t>
            </w:r>
          </w:p>
        </w:tc>
        <w:tc>
          <w:tcPr>
            <w:tcW w:w="780" w:type="dxa"/>
            <w:vAlign w:val="bottom"/>
            <w:shd w:val="clear" w:color="auto" w:fill="CCEEFF"/>
          </w:tcPr>
          <w:p>
            <w:pPr>
              <w:jc w:val="right"/>
              <w:ind w:right="37"/>
              <w:spacing w:after="0" w:line="136" w:lineRule="exact"/>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97"/>
              <w:spacing w:after="0" w:line="136" w:lineRule="exact"/>
              <w:rPr>
                <w:sz w:val="20"/>
                <w:szCs w:val="20"/>
                <w:color w:val="auto"/>
              </w:rPr>
            </w:pPr>
            <w:r>
              <w:rPr>
                <w:rFonts w:ascii="Arial" w:cs="Arial" w:eastAsia="Arial" w:hAnsi="Arial"/>
                <w:sz w:val="13"/>
                <w:szCs w:val="13"/>
                <w:color w:val="auto"/>
              </w:rPr>
              <w:t>15,000,000</w:t>
            </w:r>
          </w:p>
        </w:tc>
        <w:tc>
          <w:tcPr>
            <w:tcW w:w="1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rPr>
              <w:t>14,810,560</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3"/>
                <w:szCs w:val="13"/>
                <w:color w:val="auto"/>
              </w:rPr>
              <w:t>15,153,709</w:t>
            </w:r>
          </w:p>
        </w:tc>
        <w:tc>
          <w:tcPr>
            <w:tcW w:w="0" w:type="dxa"/>
            <w:vAlign w:val="bottom"/>
          </w:tcPr>
          <w:p>
            <w:pPr>
              <w:spacing w:after="0"/>
              <w:rPr>
                <w:sz w:val="1"/>
                <w:szCs w:val="1"/>
                <w:color w:val="auto"/>
              </w:rPr>
            </w:pPr>
          </w:p>
        </w:tc>
      </w:tr>
      <w:tr>
        <w:trPr>
          <w:trHeight w:val="135"/>
        </w:trPr>
        <w:tc>
          <w:tcPr>
            <w:tcW w:w="3360" w:type="dxa"/>
            <w:vAlign w:val="bottom"/>
          </w:tcPr>
          <w:p>
            <w:pPr>
              <w:spacing w:after="0" w:line="135" w:lineRule="exact"/>
              <w:rPr>
                <w:sz w:val="20"/>
                <w:szCs w:val="20"/>
                <w:color w:val="auto"/>
              </w:rPr>
            </w:pPr>
            <w:r>
              <w:rPr>
                <w:rFonts w:ascii="Arial" w:cs="Arial" w:eastAsia="Arial" w:hAnsi="Arial"/>
                <w:sz w:val="13"/>
                <w:szCs w:val="13"/>
                <w:color w:val="auto"/>
              </w:rPr>
              <w:t>Randall-Reilly Publishing Company, LLC</w:t>
            </w:r>
          </w:p>
        </w:tc>
        <w:tc>
          <w:tcPr>
            <w:tcW w:w="1380" w:type="dxa"/>
            <w:vAlign w:val="bottom"/>
          </w:tcPr>
          <w:p>
            <w:pPr>
              <w:jc w:val="center"/>
              <w:ind w:left="537"/>
              <w:spacing w:after="0" w:line="135" w:lineRule="exact"/>
              <w:rPr>
                <w:sz w:val="20"/>
                <w:szCs w:val="20"/>
                <w:color w:val="auto"/>
              </w:rPr>
            </w:pPr>
            <w:r>
              <w:rPr>
                <w:rFonts w:ascii="Arial" w:cs="Arial" w:eastAsia="Arial" w:hAnsi="Arial"/>
                <w:sz w:val="13"/>
                <w:szCs w:val="13"/>
                <w:color w:val="auto"/>
                <w:w w:val="89"/>
              </w:rPr>
              <w:t>04/15/2019</w:t>
            </w:r>
          </w:p>
        </w:tc>
        <w:tc>
          <w:tcPr>
            <w:tcW w:w="2060" w:type="dxa"/>
            <w:vAlign w:val="bottom"/>
          </w:tcPr>
          <w:p>
            <w:pPr>
              <w:jc w:val="center"/>
              <w:spacing w:after="0" w:line="135" w:lineRule="exact"/>
              <w:rPr>
                <w:sz w:val="20"/>
                <w:szCs w:val="20"/>
                <w:color w:val="auto"/>
              </w:rPr>
            </w:pPr>
            <w:r>
              <w:rPr>
                <w:rFonts w:ascii="Arial" w:cs="Arial" w:eastAsia="Arial" w:hAnsi="Arial"/>
                <w:sz w:val="13"/>
                <w:szCs w:val="13"/>
                <w:color w:val="auto"/>
                <w:w w:val="89"/>
              </w:rPr>
              <w:t>Other Media</w:t>
            </w:r>
          </w:p>
        </w:tc>
        <w:tc>
          <w:tcPr>
            <w:tcW w:w="960" w:type="dxa"/>
            <w:vAlign w:val="bottom"/>
          </w:tcPr>
          <w:p>
            <w:pPr>
              <w:jc w:val="right"/>
              <w:spacing w:after="0" w:line="135" w:lineRule="exact"/>
              <w:rPr>
                <w:sz w:val="20"/>
                <w:szCs w:val="20"/>
                <w:color w:val="auto"/>
              </w:rPr>
            </w:pPr>
            <w:r>
              <w:rPr>
                <w:rFonts w:ascii="Arial" w:cs="Arial" w:eastAsia="Arial" w:hAnsi="Arial"/>
                <w:sz w:val="13"/>
                <w:szCs w:val="13"/>
                <w:color w:val="auto"/>
              </w:rPr>
              <w:t>12.50%</w:t>
            </w:r>
            <w:r>
              <w:rPr>
                <w:rFonts w:ascii="Arial" w:cs="Arial" w:eastAsia="Arial" w:hAnsi="Arial"/>
                <w:sz w:val="10"/>
                <w:szCs w:val="10"/>
                <w:color w:val="auto"/>
              </w:rPr>
              <w:t>(7)</w:t>
            </w:r>
          </w:p>
        </w:tc>
        <w:tc>
          <w:tcPr>
            <w:tcW w:w="7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840" w:type="dxa"/>
            <w:vAlign w:val="bottom"/>
          </w:tcPr>
          <w:p>
            <w:pPr>
              <w:jc w:val="right"/>
              <w:ind w:right="97"/>
              <w:spacing w:after="0" w:line="135" w:lineRule="exact"/>
              <w:rPr>
                <w:sz w:val="20"/>
                <w:szCs w:val="20"/>
                <w:color w:val="auto"/>
              </w:rPr>
            </w:pPr>
            <w:r>
              <w:rPr>
                <w:rFonts w:ascii="Arial" w:cs="Arial" w:eastAsia="Arial" w:hAnsi="Arial"/>
                <w:sz w:val="13"/>
                <w:szCs w:val="13"/>
                <w:color w:val="auto"/>
              </w:rPr>
              <w:t>30,400,000</w:t>
            </w:r>
          </w:p>
        </w:tc>
        <w:tc>
          <w:tcPr>
            <w:tcW w:w="120" w:type="dxa"/>
            <w:vAlign w:val="bottom"/>
          </w:tcPr>
          <w:p>
            <w:pPr>
              <w:spacing w:after="0"/>
              <w:rPr>
                <w:sz w:val="11"/>
                <w:szCs w:val="11"/>
                <w:color w:val="auto"/>
              </w:rPr>
            </w:pPr>
          </w:p>
        </w:tc>
        <w:tc>
          <w:tcPr>
            <w:tcW w:w="7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29,888,942</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30,593,465</w:t>
            </w:r>
          </w:p>
        </w:tc>
        <w:tc>
          <w:tcPr>
            <w:tcW w:w="0" w:type="dxa"/>
            <w:vAlign w:val="bottom"/>
          </w:tcPr>
          <w:p>
            <w:pPr>
              <w:spacing w:after="0"/>
              <w:rPr>
                <w:sz w:val="1"/>
                <w:szCs w:val="1"/>
                <w:color w:val="auto"/>
              </w:rPr>
            </w:pPr>
          </w:p>
        </w:tc>
      </w:tr>
      <w:tr>
        <w:trPr>
          <w:trHeight w:val="135"/>
        </w:trPr>
        <w:tc>
          <w:tcPr>
            <w:tcW w:w="33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Roto Holdings, Inc.</w:t>
            </w:r>
          </w:p>
        </w:tc>
        <w:tc>
          <w:tcPr>
            <w:tcW w:w="1380" w:type="dxa"/>
            <w:vAlign w:val="bottom"/>
            <w:shd w:val="clear" w:color="auto" w:fill="CCEEFF"/>
          </w:tcPr>
          <w:p>
            <w:pPr>
              <w:jc w:val="center"/>
              <w:ind w:left="537"/>
              <w:spacing w:after="0" w:line="135" w:lineRule="exact"/>
              <w:rPr>
                <w:sz w:val="20"/>
                <w:szCs w:val="20"/>
                <w:color w:val="auto"/>
              </w:rPr>
            </w:pPr>
            <w:r>
              <w:rPr>
                <w:rFonts w:ascii="Arial" w:cs="Arial" w:eastAsia="Arial" w:hAnsi="Arial"/>
                <w:sz w:val="13"/>
                <w:szCs w:val="13"/>
                <w:color w:val="auto"/>
                <w:w w:val="89"/>
              </w:rPr>
              <w:t>05/13/2021</w:t>
            </w:r>
          </w:p>
        </w:tc>
        <w:tc>
          <w:tcPr>
            <w:tcW w:w="20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Manufacturing / Basic Industries</w:t>
            </w:r>
          </w:p>
        </w:tc>
        <w:tc>
          <w:tcPr>
            <w:tcW w:w="96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11.00%</w:t>
            </w:r>
          </w:p>
        </w:tc>
        <w:tc>
          <w:tcPr>
            <w:tcW w:w="7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13,300,000</w:t>
            </w:r>
          </w:p>
        </w:tc>
        <w:tc>
          <w:tcPr>
            <w:tcW w:w="1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13,036,266</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13,034,000</w:t>
            </w:r>
          </w:p>
        </w:tc>
        <w:tc>
          <w:tcPr>
            <w:tcW w:w="0" w:type="dxa"/>
            <w:vAlign w:val="bottom"/>
          </w:tcPr>
          <w:p>
            <w:pPr>
              <w:spacing w:after="0"/>
              <w:rPr>
                <w:sz w:val="1"/>
                <w:szCs w:val="1"/>
                <w:color w:val="auto"/>
              </w:rPr>
            </w:pPr>
          </w:p>
        </w:tc>
      </w:tr>
      <w:tr>
        <w:trPr>
          <w:trHeight w:val="149"/>
        </w:trPr>
        <w:tc>
          <w:tcPr>
            <w:tcW w:w="3360" w:type="dxa"/>
            <w:vAlign w:val="bottom"/>
          </w:tcPr>
          <w:p>
            <w:pPr>
              <w:spacing w:after="0" w:line="142" w:lineRule="exact"/>
              <w:rPr>
                <w:sz w:val="20"/>
                <w:szCs w:val="20"/>
                <w:color w:val="auto"/>
              </w:rPr>
            </w:pPr>
            <w:r>
              <w:rPr>
                <w:rFonts w:ascii="Arial" w:cs="Arial" w:eastAsia="Arial" w:hAnsi="Arial"/>
                <w:sz w:val="13"/>
                <w:szCs w:val="13"/>
                <w:b w:val="1"/>
                <w:bCs w:val="1"/>
                <w:color w:val="auto"/>
              </w:rPr>
              <w:t>Total Subordinated Debt/Corporate Notes</w:t>
            </w:r>
          </w:p>
        </w:tc>
        <w:tc>
          <w:tcPr>
            <w:tcW w:w="13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4"/>
              </w:rPr>
              <w:t>200,385,305</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4"/>
              </w:rPr>
              <w:t>179,525,930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36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 xml:space="preserve">Preferred Equity/Partnership Interests—1.5% </w:t>
            </w:r>
            <w:r>
              <w:rPr>
                <w:rFonts w:ascii="Arial" w:cs="Arial" w:eastAsia="Arial" w:hAnsi="Arial"/>
                <w:sz w:val="10"/>
                <w:szCs w:val="10"/>
                <w:b w:val="1"/>
                <w:bCs w:val="1"/>
                <w:color w:val="auto"/>
              </w:rPr>
              <w:t>(6)</w:t>
            </w:r>
          </w:p>
        </w:tc>
        <w:tc>
          <w:tcPr>
            <w:tcW w:w="1380" w:type="dxa"/>
            <w:vAlign w:val="bottom"/>
            <w:shd w:val="clear" w:color="auto" w:fill="CCEEFF"/>
          </w:tcPr>
          <w:p>
            <w:pPr>
              <w:spacing w:after="0"/>
              <w:rPr>
                <w:sz w:val="11"/>
                <w:szCs w:val="11"/>
                <w:color w:val="auto"/>
              </w:rPr>
            </w:pPr>
          </w:p>
        </w:tc>
        <w:tc>
          <w:tcPr>
            <w:tcW w:w="20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60" w:type="dxa"/>
            <w:vAlign w:val="bottom"/>
          </w:tcPr>
          <w:p>
            <w:pPr>
              <w:spacing w:after="0" w:line="135" w:lineRule="exact"/>
              <w:rPr>
                <w:sz w:val="20"/>
                <w:szCs w:val="20"/>
                <w:color w:val="auto"/>
              </w:rPr>
            </w:pPr>
            <w:r>
              <w:rPr>
                <w:rFonts w:ascii="Arial" w:cs="Arial" w:eastAsia="Arial" w:hAnsi="Arial"/>
                <w:sz w:val="13"/>
                <w:szCs w:val="13"/>
                <w:color w:val="auto"/>
              </w:rPr>
              <w:t>AH Holdings, Inc.</w:t>
            </w:r>
          </w:p>
        </w:tc>
        <w:tc>
          <w:tcPr>
            <w:tcW w:w="1380" w:type="dxa"/>
            <w:vAlign w:val="bottom"/>
          </w:tcPr>
          <w:p>
            <w:pPr>
              <w:jc w:val="center"/>
              <w:ind w:left="557"/>
              <w:spacing w:after="0" w:line="135" w:lineRule="exact"/>
              <w:rPr>
                <w:sz w:val="20"/>
                <w:szCs w:val="20"/>
                <w:color w:val="auto"/>
              </w:rPr>
            </w:pPr>
            <w:r>
              <w:rPr>
                <w:rFonts w:ascii="Arial" w:cs="Arial" w:eastAsia="Arial" w:hAnsi="Arial"/>
                <w:sz w:val="13"/>
                <w:szCs w:val="13"/>
                <w:color w:val="auto"/>
                <w:w w:val="91"/>
              </w:rPr>
              <w:t>—</w:t>
            </w:r>
          </w:p>
        </w:tc>
        <w:tc>
          <w:tcPr>
            <w:tcW w:w="2060" w:type="dxa"/>
            <w:vAlign w:val="bottom"/>
          </w:tcPr>
          <w:p>
            <w:pPr>
              <w:jc w:val="center"/>
              <w:spacing w:after="0" w:line="135" w:lineRule="exact"/>
              <w:rPr>
                <w:sz w:val="20"/>
                <w:szCs w:val="20"/>
                <w:color w:val="auto"/>
              </w:rPr>
            </w:pPr>
            <w:r>
              <w:rPr>
                <w:rFonts w:ascii="Arial" w:cs="Arial" w:eastAsia="Arial" w:hAnsi="Arial"/>
                <w:sz w:val="13"/>
                <w:szCs w:val="13"/>
                <w:color w:val="auto"/>
                <w:w w:val="87"/>
              </w:rPr>
              <w:t>Healthcare, Education and Childcare</w:t>
            </w:r>
          </w:p>
        </w:tc>
        <w:tc>
          <w:tcPr>
            <w:tcW w:w="96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6.00%</w:t>
            </w:r>
          </w:p>
        </w:tc>
        <w:tc>
          <w:tcPr>
            <w:tcW w:w="7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840" w:type="dxa"/>
            <w:vAlign w:val="bottom"/>
          </w:tcPr>
          <w:p>
            <w:pPr>
              <w:jc w:val="right"/>
              <w:ind w:right="97"/>
              <w:spacing w:after="0" w:line="135" w:lineRule="exact"/>
              <w:rPr>
                <w:sz w:val="20"/>
                <w:szCs w:val="20"/>
                <w:color w:val="auto"/>
              </w:rPr>
            </w:pPr>
            <w:r>
              <w:rPr>
                <w:rFonts w:ascii="Arial" w:cs="Arial" w:eastAsia="Arial" w:hAnsi="Arial"/>
                <w:sz w:val="13"/>
                <w:szCs w:val="13"/>
                <w:color w:val="auto"/>
              </w:rPr>
              <w:t>211</w:t>
            </w:r>
          </w:p>
        </w:tc>
        <w:tc>
          <w:tcPr>
            <w:tcW w:w="120" w:type="dxa"/>
            <w:vAlign w:val="bottom"/>
          </w:tcPr>
          <w:p>
            <w:pPr>
              <w:spacing w:after="0"/>
              <w:rPr>
                <w:sz w:val="11"/>
                <w:szCs w:val="11"/>
                <w:color w:val="auto"/>
              </w:rPr>
            </w:pPr>
          </w:p>
        </w:tc>
        <w:tc>
          <w:tcPr>
            <w:tcW w:w="7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500,000</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33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Alegeus Technologies Holdings Corp.</w:t>
            </w:r>
          </w:p>
        </w:tc>
        <w:tc>
          <w:tcPr>
            <w:tcW w:w="1380" w:type="dxa"/>
            <w:vAlign w:val="bottom"/>
            <w:shd w:val="clear" w:color="auto" w:fill="CCEEFF"/>
          </w:tcPr>
          <w:p>
            <w:pPr>
              <w:jc w:val="center"/>
              <w:ind w:left="557"/>
              <w:spacing w:after="0" w:line="121" w:lineRule="exact"/>
              <w:rPr>
                <w:sz w:val="20"/>
                <w:szCs w:val="20"/>
                <w:color w:val="auto"/>
              </w:rPr>
            </w:pPr>
            <w:r>
              <w:rPr>
                <w:rFonts w:ascii="Arial" w:cs="Arial" w:eastAsia="Arial" w:hAnsi="Arial"/>
                <w:sz w:val="13"/>
                <w:szCs w:val="13"/>
                <w:color w:val="auto"/>
                <w:w w:val="91"/>
              </w:rPr>
              <w:t>—</w:t>
            </w:r>
          </w:p>
        </w:tc>
        <w:tc>
          <w:tcPr>
            <w:tcW w:w="206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9"/>
              </w:rPr>
              <w:t>Financial Services</w:t>
            </w:r>
          </w:p>
        </w:tc>
        <w:tc>
          <w:tcPr>
            <w:tcW w:w="960" w:type="dxa"/>
            <w:vAlign w:val="bottom"/>
            <w:shd w:val="clear" w:color="auto" w:fill="CCEEFF"/>
          </w:tcPr>
          <w:p>
            <w:pPr>
              <w:jc w:val="right"/>
              <w:ind w:right="217"/>
              <w:spacing w:after="0" w:line="121" w:lineRule="exact"/>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line="121" w:lineRule="exact"/>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97"/>
              <w:spacing w:after="0" w:line="121" w:lineRule="exact"/>
              <w:rPr>
                <w:sz w:val="20"/>
                <w:szCs w:val="20"/>
                <w:color w:val="auto"/>
              </w:rPr>
            </w:pPr>
            <w:r>
              <w:rPr>
                <w:rFonts w:ascii="Arial" w:cs="Arial" w:eastAsia="Arial" w:hAnsi="Arial"/>
                <w:sz w:val="13"/>
                <w:szCs w:val="13"/>
                <w:color w:val="auto"/>
              </w:rPr>
              <w:t>949</w:t>
            </w:r>
          </w:p>
        </w:tc>
        <w:tc>
          <w:tcPr>
            <w:tcW w:w="12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40"/>
              <w:spacing w:after="0" w:line="121" w:lineRule="exact"/>
              <w:rPr>
                <w:sz w:val="20"/>
                <w:szCs w:val="20"/>
                <w:color w:val="auto"/>
              </w:rPr>
            </w:pPr>
            <w:r>
              <w:rPr>
                <w:rFonts w:ascii="Arial" w:cs="Arial" w:eastAsia="Arial" w:hAnsi="Arial"/>
                <w:sz w:val="13"/>
                <w:szCs w:val="13"/>
                <w:color w:val="auto"/>
              </w:rPr>
              <w:t>949,050</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283,706</w:t>
            </w:r>
          </w:p>
        </w:tc>
        <w:tc>
          <w:tcPr>
            <w:tcW w:w="0" w:type="dxa"/>
            <w:vAlign w:val="bottom"/>
          </w:tcPr>
          <w:p>
            <w:pPr>
              <w:spacing w:after="0"/>
              <w:rPr>
                <w:sz w:val="1"/>
                <w:szCs w:val="1"/>
                <w:color w:val="auto"/>
              </w:rPr>
            </w:pPr>
          </w:p>
        </w:tc>
      </w:tr>
      <w:tr>
        <w:trPr>
          <w:trHeight w:val="149"/>
        </w:trPr>
        <w:tc>
          <w:tcPr>
            <w:tcW w:w="33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(Alegeus Technologies, LLC)</w:t>
            </w:r>
          </w:p>
        </w:tc>
        <w:tc>
          <w:tcPr>
            <w:tcW w:w="138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360" w:type="dxa"/>
            <w:vAlign w:val="bottom"/>
          </w:tcPr>
          <w:p>
            <w:pPr>
              <w:spacing w:after="0" w:line="135" w:lineRule="exact"/>
              <w:rPr>
                <w:sz w:val="20"/>
                <w:szCs w:val="20"/>
                <w:color w:val="auto"/>
              </w:rPr>
            </w:pPr>
            <w:r>
              <w:rPr>
                <w:rFonts w:ascii="Arial" w:cs="Arial" w:eastAsia="Arial" w:hAnsi="Arial"/>
                <w:sz w:val="13"/>
                <w:szCs w:val="13"/>
                <w:color w:val="auto"/>
              </w:rPr>
              <w:t>CI (IHS) Investment Holdings, LLC</w:t>
            </w:r>
          </w:p>
        </w:tc>
        <w:tc>
          <w:tcPr>
            <w:tcW w:w="1380" w:type="dxa"/>
            <w:vAlign w:val="bottom"/>
          </w:tcPr>
          <w:p>
            <w:pPr>
              <w:jc w:val="center"/>
              <w:ind w:left="557"/>
              <w:spacing w:after="0" w:line="135" w:lineRule="exact"/>
              <w:rPr>
                <w:sz w:val="20"/>
                <w:szCs w:val="20"/>
                <w:color w:val="auto"/>
              </w:rPr>
            </w:pPr>
            <w:r>
              <w:rPr>
                <w:rFonts w:ascii="Arial" w:cs="Arial" w:eastAsia="Arial" w:hAnsi="Arial"/>
                <w:sz w:val="13"/>
                <w:szCs w:val="13"/>
                <w:color w:val="auto"/>
                <w:w w:val="91"/>
              </w:rPr>
              <w:t>—</w:t>
            </w:r>
          </w:p>
        </w:tc>
        <w:tc>
          <w:tcPr>
            <w:tcW w:w="2060" w:type="dxa"/>
            <w:vAlign w:val="bottom"/>
          </w:tcPr>
          <w:p>
            <w:pPr>
              <w:jc w:val="center"/>
              <w:spacing w:after="0" w:line="135" w:lineRule="exact"/>
              <w:rPr>
                <w:sz w:val="20"/>
                <w:szCs w:val="20"/>
                <w:color w:val="auto"/>
              </w:rPr>
            </w:pPr>
            <w:r>
              <w:rPr>
                <w:rFonts w:ascii="Arial" w:cs="Arial" w:eastAsia="Arial" w:hAnsi="Arial"/>
                <w:sz w:val="13"/>
                <w:szCs w:val="13"/>
                <w:color w:val="auto"/>
                <w:w w:val="87"/>
              </w:rPr>
              <w:t>Healthcare, Education and Childcare</w:t>
            </w:r>
          </w:p>
        </w:tc>
        <w:tc>
          <w:tcPr>
            <w:tcW w:w="96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8.00%</w:t>
            </w:r>
          </w:p>
        </w:tc>
        <w:tc>
          <w:tcPr>
            <w:tcW w:w="7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840" w:type="dxa"/>
            <w:vAlign w:val="bottom"/>
          </w:tcPr>
          <w:p>
            <w:pPr>
              <w:jc w:val="right"/>
              <w:ind w:right="97"/>
              <w:spacing w:after="0" w:line="135" w:lineRule="exact"/>
              <w:rPr>
                <w:sz w:val="20"/>
                <w:szCs w:val="20"/>
                <w:color w:val="auto"/>
              </w:rPr>
            </w:pPr>
            <w:r>
              <w:rPr>
                <w:rFonts w:ascii="Arial" w:cs="Arial" w:eastAsia="Arial" w:hAnsi="Arial"/>
                <w:sz w:val="13"/>
                <w:szCs w:val="13"/>
                <w:color w:val="auto"/>
              </w:rPr>
              <w:t>76,357</w:t>
            </w:r>
          </w:p>
        </w:tc>
        <w:tc>
          <w:tcPr>
            <w:tcW w:w="120" w:type="dxa"/>
            <w:vAlign w:val="bottom"/>
          </w:tcPr>
          <w:p>
            <w:pPr>
              <w:spacing w:after="0"/>
              <w:rPr>
                <w:sz w:val="11"/>
                <w:szCs w:val="11"/>
                <w:color w:val="auto"/>
              </w:rPr>
            </w:pPr>
          </w:p>
        </w:tc>
        <w:tc>
          <w:tcPr>
            <w:tcW w:w="7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765,307</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2,714,486</w:t>
            </w:r>
          </w:p>
        </w:tc>
        <w:tc>
          <w:tcPr>
            <w:tcW w:w="0" w:type="dxa"/>
            <w:vAlign w:val="bottom"/>
          </w:tcPr>
          <w:p>
            <w:pPr>
              <w:spacing w:after="0"/>
              <w:rPr>
                <w:sz w:val="1"/>
                <w:szCs w:val="1"/>
                <w:color w:val="auto"/>
              </w:rPr>
            </w:pPr>
          </w:p>
        </w:tc>
      </w:tr>
      <w:tr>
        <w:trPr>
          <w:trHeight w:val="135"/>
        </w:trPr>
        <w:tc>
          <w:tcPr>
            <w:tcW w:w="33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CI (IHS) Investment Holdings, LLC </w:t>
            </w:r>
            <w:r>
              <w:rPr>
                <w:rFonts w:ascii="Arial" w:cs="Arial" w:eastAsia="Arial" w:hAnsi="Arial"/>
                <w:sz w:val="10"/>
                <w:szCs w:val="10"/>
                <w:color w:val="auto"/>
              </w:rPr>
              <w:t>(9)</w:t>
            </w:r>
          </w:p>
        </w:tc>
        <w:tc>
          <w:tcPr>
            <w:tcW w:w="1380" w:type="dxa"/>
            <w:vAlign w:val="bottom"/>
            <w:shd w:val="clear" w:color="auto" w:fill="CCEEFF"/>
          </w:tcPr>
          <w:p>
            <w:pPr>
              <w:jc w:val="center"/>
              <w:ind w:left="557"/>
              <w:spacing w:after="0" w:line="135" w:lineRule="exact"/>
              <w:rPr>
                <w:sz w:val="20"/>
                <w:szCs w:val="20"/>
                <w:color w:val="auto"/>
              </w:rPr>
            </w:pPr>
            <w:r>
              <w:rPr>
                <w:rFonts w:ascii="Arial" w:cs="Arial" w:eastAsia="Arial" w:hAnsi="Arial"/>
                <w:sz w:val="13"/>
                <w:szCs w:val="13"/>
                <w:color w:val="auto"/>
                <w:w w:val="91"/>
              </w:rPr>
              <w:t>—</w:t>
            </w:r>
          </w:p>
        </w:tc>
        <w:tc>
          <w:tcPr>
            <w:tcW w:w="20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Healthcare, Education and Childcare</w:t>
            </w:r>
          </w:p>
        </w:tc>
        <w:tc>
          <w:tcPr>
            <w:tcW w:w="96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38,179</w:t>
            </w:r>
          </w:p>
        </w:tc>
        <w:tc>
          <w:tcPr>
            <w:tcW w:w="1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974,589</w:t>
            </w:r>
          </w:p>
        </w:tc>
        <w:tc>
          <w:tcPr>
            <w:tcW w:w="0" w:type="dxa"/>
            <w:vAlign w:val="bottom"/>
          </w:tcPr>
          <w:p>
            <w:pPr>
              <w:spacing w:after="0"/>
              <w:rPr>
                <w:sz w:val="1"/>
                <w:szCs w:val="1"/>
                <w:color w:val="auto"/>
              </w:rPr>
            </w:pPr>
          </w:p>
        </w:tc>
      </w:tr>
      <w:tr>
        <w:trPr>
          <w:trHeight w:val="135"/>
        </w:trPr>
        <w:tc>
          <w:tcPr>
            <w:tcW w:w="3360" w:type="dxa"/>
            <w:vAlign w:val="bottom"/>
          </w:tcPr>
          <w:p>
            <w:pPr>
              <w:spacing w:after="0" w:line="135" w:lineRule="exact"/>
              <w:rPr>
                <w:sz w:val="20"/>
                <w:szCs w:val="20"/>
                <w:color w:val="auto"/>
              </w:rPr>
            </w:pPr>
            <w:r>
              <w:rPr>
                <w:rFonts w:ascii="Arial" w:cs="Arial" w:eastAsia="Arial" w:hAnsi="Arial"/>
                <w:sz w:val="13"/>
                <w:szCs w:val="13"/>
                <w:color w:val="auto"/>
              </w:rPr>
              <w:t>Convergint Technologies Holdings, LLC</w:t>
            </w:r>
          </w:p>
        </w:tc>
        <w:tc>
          <w:tcPr>
            <w:tcW w:w="1380" w:type="dxa"/>
            <w:vAlign w:val="bottom"/>
          </w:tcPr>
          <w:p>
            <w:pPr>
              <w:jc w:val="center"/>
              <w:ind w:left="557"/>
              <w:spacing w:after="0" w:line="135" w:lineRule="exact"/>
              <w:rPr>
                <w:sz w:val="20"/>
                <w:szCs w:val="20"/>
                <w:color w:val="auto"/>
              </w:rPr>
            </w:pPr>
            <w:r>
              <w:rPr>
                <w:rFonts w:ascii="Arial" w:cs="Arial" w:eastAsia="Arial" w:hAnsi="Arial"/>
                <w:sz w:val="13"/>
                <w:szCs w:val="13"/>
                <w:color w:val="auto"/>
                <w:w w:val="91"/>
              </w:rPr>
              <w:t>—</w:t>
            </w:r>
          </w:p>
        </w:tc>
        <w:tc>
          <w:tcPr>
            <w:tcW w:w="2060" w:type="dxa"/>
            <w:vAlign w:val="bottom"/>
          </w:tcPr>
          <w:p>
            <w:pPr>
              <w:jc w:val="center"/>
              <w:spacing w:after="0" w:line="135" w:lineRule="exact"/>
              <w:rPr>
                <w:sz w:val="20"/>
                <w:szCs w:val="20"/>
                <w:color w:val="auto"/>
              </w:rPr>
            </w:pPr>
            <w:r>
              <w:rPr>
                <w:rFonts w:ascii="Arial" w:cs="Arial" w:eastAsia="Arial" w:hAnsi="Arial"/>
                <w:sz w:val="13"/>
                <w:szCs w:val="13"/>
                <w:color w:val="auto"/>
                <w:w w:val="91"/>
              </w:rPr>
              <w:t>Electronics</w:t>
            </w:r>
          </w:p>
        </w:tc>
        <w:tc>
          <w:tcPr>
            <w:tcW w:w="96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8.00%</w:t>
            </w:r>
          </w:p>
        </w:tc>
        <w:tc>
          <w:tcPr>
            <w:tcW w:w="7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840" w:type="dxa"/>
            <w:vAlign w:val="bottom"/>
          </w:tcPr>
          <w:p>
            <w:pPr>
              <w:jc w:val="right"/>
              <w:ind w:right="97"/>
              <w:spacing w:after="0" w:line="135" w:lineRule="exact"/>
              <w:rPr>
                <w:sz w:val="20"/>
                <w:szCs w:val="20"/>
                <w:color w:val="auto"/>
              </w:rPr>
            </w:pPr>
            <w:r>
              <w:rPr>
                <w:rFonts w:ascii="Arial" w:cs="Arial" w:eastAsia="Arial" w:hAnsi="Arial"/>
                <w:sz w:val="13"/>
                <w:szCs w:val="13"/>
                <w:color w:val="auto"/>
              </w:rPr>
              <w:t>2,375</w:t>
            </w:r>
          </w:p>
        </w:tc>
        <w:tc>
          <w:tcPr>
            <w:tcW w:w="120" w:type="dxa"/>
            <w:vAlign w:val="bottom"/>
          </w:tcPr>
          <w:p>
            <w:pPr>
              <w:spacing w:after="0"/>
              <w:rPr>
                <w:sz w:val="11"/>
                <w:szCs w:val="11"/>
                <w:color w:val="auto"/>
              </w:rPr>
            </w:pPr>
          </w:p>
        </w:tc>
        <w:tc>
          <w:tcPr>
            <w:tcW w:w="7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2,088,121</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2,094,647</w:t>
            </w:r>
          </w:p>
        </w:tc>
        <w:tc>
          <w:tcPr>
            <w:tcW w:w="0" w:type="dxa"/>
            <w:vAlign w:val="bottom"/>
          </w:tcPr>
          <w:p>
            <w:pPr>
              <w:spacing w:after="0"/>
              <w:rPr>
                <w:sz w:val="1"/>
                <w:szCs w:val="1"/>
                <w:color w:val="auto"/>
              </w:rPr>
            </w:pPr>
          </w:p>
        </w:tc>
      </w:tr>
      <w:tr>
        <w:trPr>
          <w:trHeight w:val="135"/>
        </w:trPr>
        <w:tc>
          <w:tcPr>
            <w:tcW w:w="33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HW Holdco, LLC (f/k/a Red Point, LLC)</w:t>
            </w:r>
          </w:p>
        </w:tc>
        <w:tc>
          <w:tcPr>
            <w:tcW w:w="1380" w:type="dxa"/>
            <w:vAlign w:val="bottom"/>
            <w:shd w:val="clear" w:color="auto" w:fill="CCEEFF"/>
          </w:tcPr>
          <w:p>
            <w:pPr>
              <w:jc w:val="center"/>
              <w:ind w:left="557"/>
              <w:spacing w:after="0" w:line="135" w:lineRule="exact"/>
              <w:rPr>
                <w:sz w:val="20"/>
                <w:szCs w:val="20"/>
                <w:color w:val="auto"/>
              </w:rPr>
            </w:pPr>
            <w:r>
              <w:rPr>
                <w:rFonts w:ascii="Arial" w:cs="Arial" w:eastAsia="Arial" w:hAnsi="Arial"/>
                <w:sz w:val="13"/>
                <w:szCs w:val="13"/>
                <w:color w:val="auto"/>
                <w:w w:val="91"/>
              </w:rPr>
              <w:t>—</w:t>
            </w:r>
          </w:p>
        </w:tc>
        <w:tc>
          <w:tcPr>
            <w:tcW w:w="20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Other Media</w:t>
            </w:r>
          </w:p>
        </w:tc>
        <w:tc>
          <w:tcPr>
            <w:tcW w:w="96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8.00%</w:t>
            </w:r>
          </w:p>
        </w:tc>
        <w:tc>
          <w:tcPr>
            <w:tcW w:w="7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3,591</w:t>
            </w:r>
          </w:p>
        </w:tc>
        <w:tc>
          <w:tcPr>
            <w:tcW w:w="1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24,177</w:t>
            </w:r>
          </w:p>
        </w:tc>
        <w:tc>
          <w:tcPr>
            <w:tcW w:w="0" w:type="dxa"/>
            <w:vAlign w:val="bottom"/>
          </w:tcPr>
          <w:p>
            <w:pPr>
              <w:spacing w:after="0"/>
              <w:rPr>
                <w:sz w:val="1"/>
                <w:szCs w:val="1"/>
                <w:color w:val="auto"/>
              </w:rPr>
            </w:pPr>
          </w:p>
        </w:tc>
      </w:tr>
      <w:tr>
        <w:trPr>
          <w:trHeight w:val="121"/>
        </w:trPr>
        <w:tc>
          <w:tcPr>
            <w:tcW w:w="3360" w:type="dxa"/>
            <w:vAlign w:val="bottom"/>
          </w:tcPr>
          <w:p>
            <w:pPr>
              <w:spacing w:after="0" w:line="121" w:lineRule="exact"/>
              <w:rPr>
                <w:sz w:val="20"/>
                <w:szCs w:val="20"/>
                <w:color w:val="auto"/>
              </w:rPr>
            </w:pPr>
            <w:r>
              <w:rPr>
                <w:rFonts w:ascii="Arial" w:cs="Arial" w:eastAsia="Arial" w:hAnsi="Arial"/>
                <w:sz w:val="13"/>
                <w:szCs w:val="13"/>
                <w:color w:val="auto"/>
              </w:rPr>
              <w:t>J.A. Cosmetics US, Inc.</w:t>
            </w:r>
          </w:p>
        </w:tc>
        <w:tc>
          <w:tcPr>
            <w:tcW w:w="1380" w:type="dxa"/>
            <w:vAlign w:val="bottom"/>
          </w:tcPr>
          <w:p>
            <w:pPr>
              <w:jc w:val="center"/>
              <w:ind w:left="557"/>
              <w:spacing w:after="0" w:line="121" w:lineRule="exact"/>
              <w:rPr>
                <w:sz w:val="20"/>
                <w:szCs w:val="20"/>
                <w:color w:val="auto"/>
              </w:rPr>
            </w:pPr>
            <w:r>
              <w:rPr>
                <w:rFonts w:ascii="Arial" w:cs="Arial" w:eastAsia="Arial" w:hAnsi="Arial"/>
                <w:sz w:val="13"/>
                <w:szCs w:val="13"/>
                <w:color w:val="auto"/>
                <w:w w:val="91"/>
              </w:rPr>
              <w:t>—</w:t>
            </w:r>
          </w:p>
        </w:tc>
        <w:tc>
          <w:tcPr>
            <w:tcW w:w="2060" w:type="dxa"/>
            <w:vAlign w:val="bottom"/>
          </w:tcPr>
          <w:p>
            <w:pPr>
              <w:jc w:val="center"/>
              <w:spacing w:after="0" w:line="121" w:lineRule="exact"/>
              <w:rPr>
                <w:sz w:val="20"/>
                <w:szCs w:val="20"/>
                <w:color w:val="auto"/>
              </w:rPr>
            </w:pPr>
            <w:r>
              <w:rPr>
                <w:rFonts w:ascii="Arial" w:cs="Arial" w:eastAsia="Arial" w:hAnsi="Arial"/>
                <w:sz w:val="13"/>
                <w:szCs w:val="13"/>
                <w:color w:val="auto"/>
                <w:w w:val="85"/>
              </w:rPr>
              <w:t>Consumer Products</w:t>
            </w:r>
          </w:p>
        </w:tc>
        <w:tc>
          <w:tcPr>
            <w:tcW w:w="960" w:type="dxa"/>
            <w:vAlign w:val="bottom"/>
          </w:tcPr>
          <w:p>
            <w:pPr>
              <w:jc w:val="right"/>
              <w:ind w:right="117"/>
              <w:spacing w:after="0" w:line="121" w:lineRule="exact"/>
              <w:rPr>
                <w:sz w:val="20"/>
                <w:szCs w:val="20"/>
                <w:color w:val="auto"/>
              </w:rPr>
            </w:pPr>
            <w:r>
              <w:rPr>
                <w:rFonts w:ascii="Arial" w:cs="Arial" w:eastAsia="Arial" w:hAnsi="Arial"/>
                <w:sz w:val="13"/>
                <w:szCs w:val="13"/>
                <w:color w:val="auto"/>
              </w:rPr>
              <w:t>8.00%</w:t>
            </w:r>
          </w:p>
        </w:tc>
        <w:tc>
          <w:tcPr>
            <w:tcW w:w="780" w:type="dxa"/>
            <w:vAlign w:val="bottom"/>
          </w:tcPr>
          <w:p>
            <w:pPr>
              <w:jc w:val="right"/>
              <w:ind w:right="37"/>
              <w:spacing w:after="0" w:line="121" w:lineRule="exact"/>
              <w:rPr>
                <w:sz w:val="20"/>
                <w:szCs w:val="20"/>
                <w:color w:val="auto"/>
              </w:rPr>
            </w:pPr>
            <w:r>
              <w:rPr>
                <w:rFonts w:ascii="Arial" w:cs="Arial" w:eastAsia="Arial" w:hAnsi="Arial"/>
                <w:sz w:val="13"/>
                <w:szCs w:val="13"/>
                <w:color w:val="auto"/>
              </w:rPr>
              <w:t>—</w:t>
            </w:r>
          </w:p>
        </w:tc>
        <w:tc>
          <w:tcPr>
            <w:tcW w:w="840" w:type="dxa"/>
            <w:vAlign w:val="bottom"/>
          </w:tcPr>
          <w:p>
            <w:pPr>
              <w:jc w:val="right"/>
              <w:ind w:right="97"/>
              <w:spacing w:after="0" w:line="121" w:lineRule="exact"/>
              <w:rPr>
                <w:sz w:val="20"/>
                <w:szCs w:val="20"/>
                <w:color w:val="auto"/>
              </w:rPr>
            </w:pPr>
            <w:r>
              <w:rPr>
                <w:rFonts w:ascii="Arial" w:cs="Arial" w:eastAsia="Arial" w:hAnsi="Arial"/>
                <w:sz w:val="13"/>
                <w:szCs w:val="13"/>
                <w:color w:val="auto"/>
              </w:rPr>
              <w:t>3,397</w:t>
            </w:r>
          </w:p>
        </w:tc>
        <w:tc>
          <w:tcPr>
            <w:tcW w:w="120" w:type="dxa"/>
            <w:vAlign w:val="bottom"/>
          </w:tcPr>
          <w:p>
            <w:pPr>
              <w:spacing w:after="0"/>
              <w:rPr>
                <w:sz w:val="10"/>
                <w:szCs w:val="10"/>
                <w:color w:val="auto"/>
              </w:rPr>
            </w:pPr>
          </w:p>
        </w:tc>
        <w:tc>
          <w:tcPr>
            <w:tcW w:w="740" w:type="dxa"/>
            <w:vAlign w:val="bottom"/>
            <w:gridSpan w:val="2"/>
          </w:tcPr>
          <w:p>
            <w:pPr>
              <w:jc w:val="right"/>
              <w:ind w:right="40"/>
              <w:spacing w:after="0" w:line="121" w:lineRule="exact"/>
              <w:rPr>
                <w:sz w:val="20"/>
                <w:szCs w:val="20"/>
                <w:color w:val="auto"/>
              </w:rPr>
            </w:pPr>
            <w:r>
              <w:rPr>
                <w:rFonts w:ascii="Arial" w:cs="Arial" w:eastAsia="Arial" w:hAnsi="Arial"/>
                <w:sz w:val="13"/>
                <w:szCs w:val="13"/>
                <w:color w:val="auto"/>
              </w:rPr>
              <w:t>3,397,484</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3,584,155</w:t>
            </w:r>
          </w:p>
        </w:tc>
        <w:tc>
          <w:tcPr>
            <w:tcW w:w="0" w:type="dxa"/>
            <w:vAlign w:val="bottom"/>
          </w:tcPr>
          <w:p>
            <w:pPr>
              <w:spacing w:after="0"/>
              <w:rPr>
                <w:sz w:val="1"/>
                <w:szCs w:val="1"/>
                <w:color w:val="auto"/>
              </w:rPr>
            </w:pPr>
          </w:p>
        </w:tc>
      </w:tr>
      <w:tr>
        <w:trPr>
          <w:trHeight w:val="149"/>
        </w:trPr>
        <w:tc>
          <w:tcPr>
            <w:tcW w:w="3360" w:type="dxa"/>
            <w:vAlign w:val="bottom"/>
          </w:tcPr>
          <w:p>
            <w:pPr>
              <w:ind w:left="140"/>
              <w:spacing w:after="0"/>
              <w:rPr>
                <w:sz w:val="20"/>
                <w:szCs w:val="20"/>
                <w:color w:val="auto"/>
              </w:rPr>
            </w:pPr>
            <w:r>
              <w:rPr>
                <w:rFonts w:ascii="Arial" w:cs="Arial" w:eastAsia="Arial" w:hAnsi="Arial"/>
                <w:sz w:val="13"/>
                <w:szCs w:val="13"/>
                <w:color w:val="auto"/>
              </w:rPr>
              <w:t>(J.A. Cosmetics Holdings, Inc.)</w:t>
            </w:r>
          </w:p>
        </w:tc>
        <w:tc>
          <w:tcPr>
            <w:tcW w:w="13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3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Ride Holdings, Inc.</w:t>
            </w:r>
          </w:p>
        </w:tc>
        <w:tc>
          <w:tcPr>
            <w:tcW w:w="1380" w:type="dxa"/>
            <w:vAlign w:val="bottom"/>
            <w:shd w:val="clear" w:color="auto" w:fill="CCEEFF"/>
          </w:tcPr>
          <w:p>
            <w:pPr>
              <w:jc w:val="center"/>
              <w:ind w:left="557"/>
              <w:spacing w:after="0" w:line="135" w:lineRule="exact"/>
              <w:rPr>
                <w:sz w:val="20"/>
                <w:szCs w:val="20"/>
                <w:color w:val="auto"/>
              </w:rPr>
            </w:pPr>
            <w:r>
              <w:rPr>
                <w:rFonts w:ascii="Arial" w:cs="Arial" w:eastAsia="Arial" w:hAnsi="Arial"/>
                <w:sz w:val="13"/>
                <w:szCs w:val="13"/>
                <w:color w:val="auto"/>
                <w:w w:val="91"/>
              </w:rPr>
              <w:t>—</w:t>
            </w:r>
          </w:p>
        </w:tc>
        <w:tc>
          <w:tcPr>
            <w:tcW w:w="20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Personal Transportation</w:t>
            </w:r>
          </w:p>
        </w:tc>
        <w:tc>
          <w:tcPr>
            <w:tcW w:w="96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8.00%</w:t>
            </w:r>
          </w:p>
        </w:tc>
        <w:tc>
          <w:tcPr>
            <w:tcW w:w="7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1,966,667</w:t>
            </w:r>
          </w:p>
        </w:tc>
        <w:tc>
          <w:tcPr>
            <w:tcW w:w="1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2,251,667</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1,062,877</w:t>
            </w:r>
          </w:p>
        </w:tc>
        <w:tc>
          <w:tcPr>
            <w:tcW w:w="0" w:type="dxa"/>
            <w:vAlign w:val="bottom"/>
          </w:tcPr>
          <w:p>
            <w:pPr>
              <w:spacing w:after="0"/>
              <w:rPr>
                <w:sz w:val="1"/>
                <w:szCs w:val="1"/>
                <w:color w:val="auto"/>
              </w:rPr>
            </w:pPr>
          </w:p>
        </w:tc>
      </w:tr>
      <w:tr>
        <w:trPr>
          <w:trHeight w:val="135"/>
        </w:trPr>
        <w:tc>
          <w:tcPr>
            <w:tcW w:w="3360" w:type="dxa"/>
            <w:vAlign w:val="bottom"/>
          </w:tcPr>
          <w:p>
            <w:pPr>
              <w:spacing w:after="0" w:line="135" w:lineRule="exact"/>
              <w:rPr>
                <w:sz w:val="20"/>
                <w:szCs w:val="20"/>
                <w:color w:val="auto"/>
              </w:rPr>
            </w:pPr>
            <w:r>
              <w:rPr>
                <w:rFonts w:ascii="Arial" w:cs="Arial" w:eastAsia="Arial" w:hAnsi="Arial"/>
                <w:sz w:val="13"/>
                <w:szCs w:val="13"/>
                <w:color w:val="auto"/>
              </w:rPr>
              <w:t>Roto Holdings, Inc.</w:t>
            </w:r>
          </w:p>
        </w:tc>
        <w:tc>
          <w:tcPr>
            <w:tcW w:w="1380" w:type="dxa"/>
            <w:vAlign w:val="bottom"/>
          </w:tcPr>
          <w:p>
            <w:pPr>
              <w:jc w:val="center"/>
              <w:ind w:left="557"/>
              <w:spacing w:after="0" w:line="135" w:lineRule="exact"/>
              <w:rPr>
                <w:sz w:val="20"/>
                <w:szCs w:val="20"/>
                <w:color w:val="auto"/>
              </w:rPr>
            </w:pPr>
            <w:r>
              <w:rPr>
                <w:rFonts w:ascii="Arial" w:cs="Arial" w:eastAsia="Arial" w:hAnsi="Arial"/>
                <w:sz w:val="13"/>
                <w:szCs w:val="13"/>
                <w:color w:val="auto"/>
                <w:w w:val="91"/>
              </w:rPr>
              <w:t>—</w:t>
            </w:r>
          </w:p>
        </w:tc>
        <w:tc>
          <w:tcPr>
            <w:tcW w:w="2060" w:type="dxa"/>
            <w:vAlign w:val="bottom"/>
          </w:tcPr>
          <w:p>
            <w:pPr>
              <w:jc w:val="center"/>
              <w:spacing w:after="0" w:line="135" w:lineRule="exact"/>
              <w:rPr>
                <w:sz w:val="20"/>
                <w:szCs w:val="20"/>
                <w:color w:val="auto"/>
              </w:rPr>
            </w:pPr>
            <w:r>
              <w:rPr>
                <w:rFonts w:ascii="Arial" w:cs="Arial" w:eastAsia="Arial" w:hAnsi="Arial"/>
                <w:sz w:val="13"/>
                <w:szCs w:val="13"/>
                <w:color w:val="auto"/>
                <w:w w:val="89"/>
              </w:rPr>
              <w:t>Manufacturing / Basic Industries</w:t>
            </w:r>
          </w:p>
        </w:tc>
        <w:tc>
          <w:tcPr>
            <w:tcW w:w="960" w:type="dxa"/>
            <w:vAlign w:val="bottom"/>
          </w:tcPr>
          <w:p>
            <w:pPr>
              <w:jc w:val="right"/>
              <w:ind w:right="217"/>
              <w:spacing w:after="0" w:line="135" w:lineRule="exact"/>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840" w:type="dxa"/>
            <w:vAlign w:val="bottom"/>
          </w:tcPr>
          <w:p>
            <w:pPr>
              <w:jc w:val="right"/>
              <w:ind w:right="97"/>
              <w:spacing w:after="0" w:line="135" w:lineRule="exact"/>
              <w:rPr>
                <w:sz w:val="20"/>
                <w:szCs w:val="20"/>
                <w:color w:val="auto"/>
              </w:rPr>
            </w:pPr>
            <w:r>
              <w:rPr>
                <w:rFonts w:ascii="Arial" w:cs="Arial" w:eastAsia="Arial" w:hAnsi="Arial"/>
                <w:sz w:val="13"/>
                <w:szCs w:val="13"/>
                <w:color w:val="auto"/>
              </w:rPr>
              <w:t>1,197</w:t>
            </w:r>
          </w:p>
        </w:tc>
        <w:tc>
          <w:tcPr>
            <w:tcW w:w="120" w:type="dxa"/>
            <w:vAlign w:val="bottom"/>
          </w:tcPr>
          <w:p>
            <w:pPr>
              <w:spacing w:after="0"/>
              <w:rPr>
                <w:sz w:val="11"/>
                <w:szCs w:val="11"/>
                <w:color w:val="auto"/>
              </w:rPr>
            </w:pPr>
          </w:p>
        </w:tc>
        <w:tc>
          <w:tcPr>
            <w:tcW w:w="7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1,197,000</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1,197,000</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336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Preferred Equity/Partnership Interests</w:t>
            </w:r>
          </w:p>
        </w:tc>
        <w:tc>
          <w:tcPr>
            <w:tcW w:w="1380" w:type="dxa"/>
            <w:vAlign w:val="bottom"/>
            <w:shd w:val="clear" w:color="auto" w:fill="CCEEFF"/>
          </w:tcPr>
          <w:p>
            <w:pPr>
              <w:spacing w:after="0"/>
              <w:rPr>
                <w:sz w:val="11"/>
                <w:szCs w:val="11"/>
                <w:color w:val="auto"/>
              </w:rPr>
            </w:pPr>
          </w:p>
        </w:tc>
        <w:tc>
          <w:tcPr>
            <w:tcW w:w="20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11,148,629</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11,935,637</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NOTES TO CONSOLIDATED FINANCIAL STATEMENTS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240"/>
          </w:cols>
          <w:pgMar w:left="320" w:top="459"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 – (Continued)</w:t>
      </w:r>
    </w:p>
    <w:p>
      <w:pPr>
        <w:jc w:val="center"/>
        <w:spacing w:after="0" w:line="221" w:lineRule="auto"/>
        <w:rPr>
          <w:sz w:val="20"/>
          <w:szCs w:val="20"/>
          <w:color w:val="auto"/>
        </w:rPr>
      </w:pPr>
      <w:r>
        <w:rPr>
          <w:rFonts w:ascii="Arial" w:cs="Arial" w:eastAsia="Arial" w:hAnsi="Arial"/>
          <w:sz w:val="14"/>
          <w:szCs w:val="14"/>
          <w:b w:val="1"/>
          <w:bCs w:val="1"/>
          <w:color w:val="auto"/>
        </w:rPr>
        <w:t>DECEMBER 31, 2014</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w w:val="81"/>
              </w:rPr>
              <w:t>Basis Point</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100" w:type="dxa"/>
            <w:vAlign w:val="bottom"/>
            <w:vMerge w:val="restart"/>
          </w:tcPr>
          <w:p>
            <w:pPr>
              <w:spacing w:after="0"/>
              <w:rPr>
                <w:sz w:val="20"/>
                <w:szCs w:val="20"/>
                <w:color w:val="auto"/>
              </w:rPr>
            </w:pPr>
            <w:r>
              <w:rPr>
                <w:rFonts w:ascii="Arial" w:cs="Arial" w:eastAsia="Arial" w:hAnsi="Arial"/>
                <w:sz w:val="13"/>
                <w:szCs w:val="13"/>
                <w:b w:val="1"/>
                <w:bCs w:val="1"/>
                <w:color w:val="auto"/>
              </w:rPr>
              <w:t>Issuer</w:t>
            </w:r>
          </w:p>
        </w:tc>
        <w:tc>
          <w:tcPr>
            <w:tcW w:w="80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0"/>
              </w:rPr>
              <w:t>Spread</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4100" w:type="dxa"/>
            <w:vAlign w:val="bottom"/>
            <w:vMerge w:val="continue"/>
          </w:tcPr>
          <w:p>
            <w:pPr>
              <w:spacing w:after="0"/>
              <w:rPr>
                <w:sz w:val="10"/>
                <w:szCs w:val="10"/>
                <w:color w:val="auto"/>
              </w:rPr>
            </w:pPr>
          </w:p>
        </w:tc>
        <w:tc>
          <w:tcPr>
            <w:tcW w:w="800" w:type="dxa"/>
            <w:vAlign w:val="bottom"/>
          </w:tcPr>
          <w:p>
            <w:pPr>
              <w:ind w:left="160"/>
              <w:spacing w:after="0" w:line="126" w:lineRule="exact"/>
              <w:rPr>
                <w:sz w:val="20"/>
                <w:szCs w:val="20"/>
                <w:color w:val="auto"/>
              </w:rPr>
            </w:pPr>
            <w:r>
              <w:rPr>
                <w:rFonts w:ascii="Arial" w:cs="Arial" w:eastAsia="Arial" w:hAnsi="Arial"/>
                <w:sz w:val="13"/>
                <w:szCs w:val="13"/>
                <w:b w:val="1"/>
                <w:bCs w:val="1"/>
                <w:color w:val="auto"/>
              </w:rPr>
              <w:t>Maturity /</w:t>
            </w:r>
          </w:p>
        </w:tc>
        <w:tc>
          <w:tcPr>
            <w:tcW w:w="1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jc w:val="right"/>
              <w:ind w:right="220"/>
              <w:spacing w:after="0" w:line="126" w:lineRule="exact"/>
              <w:rPr>
                <w:sz w:val="20"/>
                <w:szCs w:val="20"/>
                <w:color w:val="auto"/>
              </w:rPr>
            </w:pPr>
            <w:r>
              <w:rPr>
                <w:rFonts w:ascii="Arial" w:cs="Arial" w:eastAsia="Arial" w:hAnsi="Arial"/>
                <w:sz w:val="13"/>
                <w:szCs w:val="13"/>
                <w:b w:val="1"/>
                <w:bCs w:val="1"/>
                <w:color w:val="auto"/>
                <w:w w:val="89"/>
              </w:rPr>
              <w:t>Current</w:t>
            </w:r>
          </w:p>
        </w:tc>
        <w:tc>
          <w:tcPr>
            <w:tcW w:w="800" w:type="dxa"/>
            <w:vAlign w:val="bottom"/>
            <w:gridSpan w:val="2"/>
          </w:tcPr>
          <w:p>
            <w:pPr>
              <w:jc w:val="center"/>
              <w:ind w:right="200"/>
              <w:spacing w:after="0" w:line="126" w:lineRule="exact"/>
              <w:rPr>
                <w:sz w:val="20"/>
                <w:szCs w:val="20"/>
                <w:color w:val="auto"/>
              </w:rPr>
            </w:pPr>
            <w:r>
              <w:rPr>
                <w:rFonts w:ascii="Arial" w:cs="Arial" w:eastAsia="Arial" w:hAnsi="Arial"/>
                <w:sz w:val="13"/>
                <w:szCs w:val="13"/>
                <w:b w:val="1"/>
                <w:bCs w:val="1"/>
                <w:color w:val="auto"/>
                <w:w w:val="90"/>
              </w:rPr>
              <w:t>Above</w:t>
            </w:r>
          </w:p>
        </w:tc>
        <w:tc>
          <w:tcPr>
            <w:tcW w:w="660" w:type="dxa"/>
            <w:vAlign w:val="bottom"/>
            <w:gridSpan w:val="2"/>
          </w:tcPr>
          <w:p>
            <w:pPr>
              <w:jc w:val="center"/>
              <w:ind w:right="80"/>
              <w:spacing w:after="0" w:line="126" w:lineRule="exact"/>
              <w:rPr>
                <w:sz w:val="20"/>
                <w:szCs w:val="20"/>
                <w:color w:val="auto"/>
              </w:rPr>
            </w:pPr>
            <w:r>
              <w:rPr>
                <w:rFonts w:ascii="Arial" w:cs="Arial" w:eastAsia="Arial" w:hAnsi="Arial"/>
                <w:sz w:val="13"/>
                <w:szCs w:val="13"/>
                <w:b w:val="1"/>
                <w:bCs w:val="1"/>
                <w:color w:val="auto"/>
                <w:w w:val="92"/>
              </w:rPr>
              <w:t>Par /</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410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800" w:type="dxa"/>
            <w:vAlign w:val="bottom"/>
          </w:tcPr>
          <w:p>
            <w:pPr>
              <w:ind w:left="140"/>
              <w:spacing w:after="0"/>
              <w:rPr>
                <w:sz w:val="20"/>
                <w:szCs w:val="20"/>
                <w:color w:val="auto"/>
              </w:rPr>
            </w:pPr>
            <w:r>
              <w:rPr>
                <w:rFonts w:ascii="Arial" w:cs="Arial" w:eastAsia="Arial" w:hAnsi="Arial"/>
                <w:sz w:val="13"/>
                <w:szCs w:val="13"/>
                <w:b w:val="1"/>
                <w:bCs w:val="1"/>
                <w:color w:val="auto"/>
              </w:rPr>
              <w:t>Expiration</w:t>
            </w:r>
          </w:p>
        </w:tc>
        <w:tc>
          <w:tcPr>
            <w:tcW w:w="208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93"/>
              </w:rPr>
              <w:t>Industry</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w w:val="85"/>
              </w:rPr>
              <w:t>Coupon</w:t>
            </w:r>
          </w:p>
        </w:tc>
        <w:tc>
          <w:tcPr>
            <w:tcW w:w="8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6"/>
              </w:rPr>
              <w:t xml:space="preserve">Index </w:t>
            </w:r>
            <w:r>
              <w:rPr>
                <w:rFonts w:ascii="Arial" w:cs="Arial" w:eastAsia="Arial" w:hAnsi="Arial"/>
                <w:sz w:val="10"/>
                <w:szCs w:val="10"/>
                <w:b w:val="1"/>
                <w:bCs w:val="1"/>
                <w:color w:val="auto"/>
                <w:w w:val="96"/>
              </w:rPr>
              <w:t>(4)</w:t>
            </w:r>
          </w:p>
        </w:tc>
        <w:tc>
          <w:tcPr>
            <w:tcW w:w="6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2"/>
              </w:rPr>
              <w:t>Shares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3"/>
          </w:tcPr>
          <w:p>
            <w:pPr>
              <w:ind w:left="200"/>
              <w:spacing w:after="0"/>
              <w:rPr>
                <w:sz w:val="20"/>
                <w:szCs w:val="20"/>
                <w:color w:val="auto"/>
              </w:rPr>
            </w:pPr>
            <w:r>
              <w:rPr>
                <w:rFonts w:ascii="Arial" w:cs="Arial" w:eastAsia="Arial" w:hAnsi="Arial"/>
                <w:sz w:val="13"/>
                <w:szCs w:val="13"/>
                <w:b w:val="1"/>
                <w:bCs w:val="1"/>
                <w:color w:val="auto"/>
              </w:rPr>
              <w:t>Cost</w:t>
            </w:r>
          </w:p>
        </w:tc>
        <w:tc>
          <w:tcPr>
            <w:tcW w:w="80" w:type="dxa"/>
            <w:vAlign w:val="bottom"/>
          </w:tcPr>
          <w:p>
            <w:pPr>
              <w:spacing w:after="0"/>
              <w:rPr>
                <w:sz w:val="14"/>
                <w:szCs w:val="14"/>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w w:val="92"/>
              </w:rPr>
              <w:t xml:space="preserve">Fair Value </w:t>
            </w:r>
            <w:r>
              <w:rPr>
                <w:rFonts w:ascii="Arial" w:cs="Arial" w:eastAsia="Arial" w:hAnsi="Arial"/>
                <w:sz w:val="10"/>
                <w:szCs w:val="10"/>
                <w:b w:val="1"/>
                <w:bCs w:val="1"/>
                <w:color w:val="auto"/>
                <w:w w:val="92"/>
              </w:rPr>
              <w:t>(3)</w:t>
            </w:r>
          </w:p>
        </w:tc>
        <w:tc>
          <w:tcPr>
            <w:tcW w:w="0" w:type="dxa"/>
            <w:vAlign w:val="bottom"/>
          </w:tcPr>
          <w:p>
            <w:pPr>
              <w:spacing w:after="0"/>
              <w:rPr>
                <w:sz w:val="1"/>
                <w:szCs w:val="1"/>
                <w:color w:val="auto"/>
              </w:rPr>
            </w:pPr>
          </w:p>
        </w:tc>
      </w:tr>
      <w:tr>
        <w:trPr>
          <w:trHeight w:val="128"/>
        </w:trPr>
        <w:tc>
          <w:tcPr>
            <w:tcW w:w="41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 xml:space="preserve">Common Equity/Partnership Interests/Warrants—8.4% </w:t>
            </w:r>
            <w:r>
              <w:rPr>
                <w:rFonts w:ascii="Arial" w:cs="Arial" w:eastAsia="Arial" w:hAnsi="Arial"/>
                <w:sz w:val="10"/>
                <w:szCs w:val="10"/>
                <w:b w:val="1"/>
                <w:bCs w:val="1"/>
                <w:color w:val="auto"/>
              </w:rPr>
              <w:t>(6)</w:t>
            </w:r>
          </w:p>
        </w:tc>
        <w:tc>
          <w:tcPr>
            <w:tcW w:w="800" w:type="dxa"/>
            <w:vAlign w:val="bottom"/>
            <w:tcBorders>
              <w:top w:val="single" w:sz="8" w:color="auto"/>
            </w:tcBorders>
            <w:shd w:val="clear" w:color="auto" w:fill="CCEEFF"/>
          </w:tcPr>
          <w:p>
            <w:pPr>
              <w:spacing w:after="0"/>
              <w:rPr>
                <w:sz w:val="11"/>
                <w:szCs w:val="11"/>
                <w:color w:val="auto"/>
              </w:rPr>
            </w:pPr>
          </w:p>
        </w:tc>
        <w:tc>
          <w:tcPr>
            <w:tcW w:w="19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00" w:type="dxa"/>
            <w:vAlign w:val="bottom"/>
          </w:tcPr>
          <w:p>
            <w:pPr>
              <w:spacing w:after="0" w:line="135" w:lineRule="exact"/>
              <w:rPr>
                <w:sz w:val="20"/>
                <w:szCs w:val="20"/>
                <w:color w:val="auto"/>
              </w:rPr>
            </w:pPr>
            <w:r>
              <w:rPr>
                <w:rFonts w:ascii="Arial" w:cs="Arial" w:eastAsia="Arial" w:hAnsi="Arial"/>
                <w:sz w:val="13"/>
                <w:szCs w:val="13"/>
                <w:color w:val="auto"/>
              </w:rPr>
              <w:t xml:space="preserve">Acentia, LLC, Class A Units </w:t>
            </w:r>
            <w:r>
              <w:rPr>
                <w:rFonts w:ascii="Arial" w:cs="Arial" w:eastAsia="Arial" w:hAnsi="Arial"/>
                <w:sz w:val="10"/>
                <w:szCs w:val="10"/>
                <w:color w:val="auto"/>
              </w:rPr>
              <w:t>(11)</w:t>
            </w:r>
          </w:p>
        </w:tc>
        <w:tc>
          <w:tcPr>
            <w:tcW w:w="800" w:type="dxa"/>
            <w:vAlign w:val="bottom"/>
          </w:tcPr>
          <w:p>
            <w:pPr>
              <w:jc w:val="center"/>
              <w:spacing w:after="0" w:line="135" w:lineRule="exact"/>
              <w:rPr>
                <w:sz w:val="20"/>
                <w:szCs w:val="20"/>
                <w:color w:val="auto"/>
              </w:rPr>
            </w:pPr>
            <w:r>
              <w:rPr>
                <w:rFonts w:ascii="Arial" w:cs="Arial" w:eastAsia="Arial" w:hAnsi="Arial"/>
                <w:sz w:val="13"/>
                <w:szCs w:val="13"/>
                <w:color w:val="auto"/>
              </w:rPr>
              <w:t>—</w:t>
            </w:r>
          </w:p>
        </w:tc>
        <w:tc>
          <w:tcPr>
            <w:tcW w:w="2080" w:type="dxa"/>
            <w:vAlign w:val="bottom"/>
            <w:gridSpan w:val="2"/>
          </w:tcPr>
          <w:p>
            <w:pPr>
              <w:jc w:val="center"/>
              <w:ind w:right="40"/>
              <w:spacing w:after="0" w:line="135" w:lineRule="exact"/>
              <w:rPr>
                <w:sz w:val="20"/>
                <w:szCs w:val="20"/>
                <w:color w:val="auto"/>
              </w:rPr>
            </w:pPr>
            <w:r>
              <w:rPr>
                <w:rFonts w:ascii="Arial" w:cs="Arial" w:eastAsia="Arial" w:hAnsi="Arial"/>
                <w:sz w:val="13"/>
                <w:szCs w:val="13"/>
                <w:color w:val="auto"/>
                <w:w w:val="88"/>
              </w:rPr>
              <w:t>Electronics</w:t>
            </w:r>
          </w:p>
        </w:tc>
        <w:tc>
          <w:tcPr>
            <w:tcW w:w="6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1,998</w:t>
            </w:r>
          </w:p>
        </w:tc>
        <w:tc>
          <w:tcPr>
            <w:tcW w:w="2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2,000,000</w:t>
            </w:r>
          </w:p>
        </w:tc>
        <w:tc>
          <w:tcPr>
            <w:tcW w:w="10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847,300</w:t>
            </w:r>
          </w:p>
        </w:tc>
        <w:tc>
          <w:tcPr>
            <w:tcW w:w="0" w:type="dxa"/>
            <w:vAlign w:val="bottom"/>
          </w:tcPr>
          <w:p>
            <w:pPr>
              <w:spacing w:after="0"/>
              <w:rPr>
                <w:sz w:val="1"/>
                <w:szCs w:val="1"/>
                <w:color w:val="auto"/>
              </w:rPr>
            </w:pPr>
          </w:p>
        </w:tc>
      </w:tr>
      <w:tr>
        <w:trPr>
          <w:trHeight w:val="121"/>
        </w:trPr>
        <w:tc>
          <w:tcPr>
            <w:tcW w:w="41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Affinion Group Holdings, Inc., Series A</w:t>
            </w:r>
          </w:p>
        </w:tc>
        <w:tc>
          <w:tcPr>
            <w:tcW w:w="80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9"/>
              </w:rPr>
              <w:t>12/12/2023</w:t>
            </w:r>
          </w:p>
        </w:tc>
        <w:tc>
          <w:tcPr>
            <w:tcW w:w="2080" w:type="dxa"/>
            <w:vAlign w:val="bottom"/>
            <w:gridSpan w:val="2"/>
            <w:shd w:val="clear" w:color="auto" w:fill="CCEEFF"/>
          </w:tcPr>
          <w:p>
            <w:pPr>
              <w:jc w:val="center"/>
              <w:ind w:right="40"/>
              <w:spacing w:after="0" w:line="121" w:lineRule="exact"/>
              <w:rPr>
                <w:sz w:val="20"/>
                <w:szCs w:val="20"/>
                <w:color w:val="auto"/>
              </w:rPr>
            </w:pPr>
            <w:r>
              <w:rPr>
                <w:rFonts w:ascii="Arial" w:cs="Arial" w:eastAsia="Arial" w:hAnsi="Arial"/>
                <w:sz w:val="13"/>
                <w:szCs w:val="13"/>
                <w:color w:val="auto"/>
                <w:w w:val="87"/>
              </w:rPr>
              <w:t>Consumer Products</w:t>
            </w:r>
          </w:p>
        </w:tc>
        <w:tc>
          <w:tcPr>
            <w:tcW w:w="660" w:type="dxa"/>
            <w:vAlign w:val="bottom"/>
            <w:gridSpan w:val="2"/>
            <w:shd w:val="clear" w:color="auto" w:fill="CCEEFF"/>
          </w:tcPr>
          <w:p>
            <w:pPr>
              <w:jc w:val="right"/>
              <w:ind w:right="200"/>
              <w:spacing w:after="0" w:line="121"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200"/>
              <w:spacing w:after="0" w:line="121"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3"/>
                <w:szCs w:val="13"/>
                <w:color w:val="auto"/>
                <w:w w:val="93"/>
              </w:rPr>
              <w:t>4,798,624</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20"/>
              <w:spacing w:after="0" w:line="121" w:lineRule="exact"/>
              <w:rPr>
                <w:sz w:val="20"/>
                <w:szCs w:val="20"/>
                <w:color w:val="auto"/>
              </w:rPr>
            </w:pPr>
            <w:r>
              <w:rPr>
                <w:rFonts w:ascii="Arial" w:cs="Arial" w:eastAsia="Arial" w:hAnsi="Arial"/>
                <w:sz w:val="13"/>
                <w:szCs w:val="13"/>
                <w:color w:val="auto"/>
              </w:rPr>
              <w:t>10,265,972</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8,653,170</w:t>
            </w:r>
          </w:p>
        </w:tc>
        <w:tc>
          <w:tcPr>
            <w:tcW w:w="0" w:type="dxa"/>
            <w:vAlign w:val="bottom"/>
          </w:tcPr>
          <w:p>
            <w:pPr>
              <w:spacing w:after="0"/>
              <w:rPr>
                <w:sz w:val="1"/>
                <w:szCs w:val="1"/>
                <w:color w:val="auto"/>
              </w:rPr>
            </w:pPr>
          </w:p>
        </w:tc>
      </w:tr>
      <w:tr>
        <w:trPr>
          <w:trHeight w:val="149"/>
        </w:trPr>
        <w:tc>
          <w:tcPr>
            <w:tcW w:w="4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(Warrants)</w:t>
            </w:r>
          </w:p>
        </w:tc>
        <w:tc>
          <w:tcPr>
            <w:tcW w:w="800" w:type="dxa"/>
            <w:vAlign w:val="bottom"/>
            <w:shd w:val="clear" w:color="auto" w:fill="CCEEFF"/>
          </w:tcPr>
          <w:p>
            <w:pPr>
              <w:spacing w:after="0"/>
              <w:rPr>
                <w:sz w:val="12"/>
                <w:szCs w:val="12"/>
                <w:color w:val="auto"/>
              </w:rPr>
            </w:pPr>
          </w:p>
        </w:tc>
        <w:tc>
          <w:tcPr>
            <w:tcW w:w="1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4100" w:type="dxa"/>
            <w:vAlign w:val="bottom"/>
          </w:tcPr>
          <w:p>
            <w:pPr>
              <w:spacing w:after="0" w:line="121" w:lineRule="exact"/>
              <w:rPr>
                <w:sz w:val="20"/>
                <w:szCs w:val="20"/>
                <w:color w:val="auto"/>
              </w:rPr>
            </w:pPr>
            <w:r>
              <w:rPr>
                <w:rFonts w:ascii="Arial" w:cs="Arial" w:eastAsia="Arial" w:hAnsi="Arial"/>
                <w:sz w:val="13"/>
                <w:szCs w:val="13"/>
                <w:color w:val="auto"/>
              </w:rPr>
              <w:t>Affinion Group Holdings, Inc., Series B</w:t>
            </w:r>
          </w:p>
        </w:tc>
        <w:tc>
          <w:tcPr>
            <w:tcW w:w="800" w:type="dxa"/>
            <w:vAlign w:val="bottom"/>
          </w:tcPr>
          <w:p>
            <w:pPr>
              <w:jc w:val="center"/>
              <w:spacing w:after="0" w:line="121" w:lineRule="exact"/>
              <w:rPr>
                <w:sz w:val="20"/>
                <w:szCs w:val="20"/>
                <w:color w:val="auto"/>
              </w:rPr>
            </w:pPr>
            <w:r>
              <w:rPr>
                <w:rFonts w:ascii="Arial" w:cs="Arial" w:eastAsia="Arial" w:hAnsi="Arial"/>
                <w:sz w:val="13"/>
                <w:szCs w:val="13"/>
                <w:color w:val="auto"/>
                <w:w w:val="89"/>
              </w:rPr>
              <w:t>12/12/2023</w:t>
            </w:r>
          </w:p>
        </w:tc>
        <w:tc>
          <w:tcPr>
            <w:tcW w:w="2080" w:type="dxa"/>
            <w:vAlign w:val="bottom"/>
            <w:gridSpan w:val="2"/>
          </w:tcPr>
          <w:p>
            <w:pPr>
              <w:jc w:val="center"/>
              <w:ind w:right="40"/>
              <w:spacing w:after="0" w:line="121" w:lineRule="exact"/>
              <w:rPr>
                <w:sz w:val="20"/>
                <w:szCs w:val="20"/>
                <w:color w:val="auto"/>
              </w:rPr>
            </w:pPr>
            <w:r>
              <w:rPr>
                <w:rFonts w:ascii="Arial" w:cs="Arial" w:eastAsia="Arial" w:hAnsi="Arial"/>
                <w:sz w:val="13"/>
                <w:szCs w:val="13"/>
                <w:color w:val="auto"/>
                <w:w w:val="87"/>
              </w:rPr>
              <w:t>Consumer Products</w:t>
            </w:r>
          </w:p>
        </w:tc>
        <w:tc>
          <w:tcPr>
            <w:tcW w:w="660" w:type="dxa"/>
            <w:vAlign w:val="bottom"/>
            <w:gridSpan w:val="2"/>
          </w:tcPr>
          <w:p>
            <w:pPr>
              <w:jc w:val="right"/>
              <w:ind w:right="200"/>
              <w:spacing w:after="0" w:line="121"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00"/>
              <w:spacing w:after="0" w:line="121"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00"/>
              <w:spacing w:after="0" w:line="121" w:lineRule="exact"/>
              <w:rPr>
                <w:sz w:val="20"/>
                <w:szCs w:val="20"/>
                <w:color w:val="auto"/>
              </w:rPr>
            </w:pPr>
            <w:r>
              <w:rPr>
                <w:rFonts w:ascii="Arial" w:cs="Arial" w:eastAsia="Arial" w:hAnsi="Arial"/>
                <w:sz w:val="13"/>
                <w:szCs w:val="13"/>
                <w:color w:val="auto"/>
                <w:w w:val="93"/>
              </w:rPr>
              <w:t>9,822,196</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3"/>
          </w:tcPr>
          <w:p>
            <w:pPr>
              <w:jc w:val="right"/>
              <w:ind w:right="120"/>
              <w:spacing w:after="0" w:line="121"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92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4100" w:type="dxa"/>
            <w:vAlign w:val="bottom"/>
          </w:tcPr>
          <w:p>
            <w:pPr>
              <w:ind w:left="140"/>
              <w:spacing w:after="0"/>
              <w:rPr>
                <w:sz w:val="20"/>
                <w:szCs w:val="20"/>
                <w:color w:val="auto"/>
              </w:rPr>
            </w:pPr>
            <w:r>
              <w:rPr>
                <w:rFonts w:ascii="Arial" w:cs="Arial" w:eastAsia="Arial" w:hAnsi="Arial"/>
                <w:sz w:val="13"/>
                <w:szCs w:val="13"/>
                <w:color w:val="auto"/>
              </w:rPr>
              <w:t>(Warrants)</w:t>
            </w:r>
          </w:p>
        </w:tc>
        <w:tc>
          <w:tcPr>
            <w:tcW w:w="8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1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AH Holdings, Inc. (Warrants)</w:t>
            </w:r>
          </w:p>
        </w:tc>
        <w:tc>
          <w:tcPr>
            <w:tcW w:w="2880" w:type="dxa"/>
            <w:vAlign w:val="bottom"/>
            <w:gridSpan w:val="3"/>
            <w:shd w:val="clear" w:color="auto" w:fill="CCEEFF"/>
          </w:tcPr>
          <w:p>
            <w:pPr>
              <w:ind w:left="140"/>
              <w:spacing w:after="0" w:line="135" w:lineRule="exact"/>
              <w:rPr>
                <w:sz w:val="20"/>
                <w:szCs w:val="20"/>
                <w:color w:val="auto"/>
              </w:rPr>
            </w:pPr>
            <w:r>
              <w:rPr>
                <w:rFonts w:ascii="Arial" w:cs="Arial" w:eastAsia="Arial" w:hAnsi="Arial"/>
                <w:sz w:val="13"/>
                <w:szCs w:val="13"/>
                <w:color w:val="auto"/>
                <w:w w:val="94"/>
              </w:rPr>
              <w:t>03/23/2021   Healthcare, Education and Childcare</w:t>
            </w:r>
          </w:p>
        </w:tc>
        <w:tc>
          <w:tcPr>
            <w:tcW w:w="6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753</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4100" w:type="dxa"/>
            <w:vAlign w:val="bottom"/>
          </w:tcPr>
          <w:p>
            <w:pPr>
              <w:spacing w:after="0" w:line="121" w:lineRule="exact"/>
              <w:rPr>
                <w:sz w:val="20"/>
                <w:szCs w:val="20"/>
                <w:color w:val="auto"/>
              </w:rPr>
            </w:pPr>
            <w:r>
              <w:rPr>
                <w:rFonts w:ascii="Arial" w:cs="Arial" w:eastAsia="Arial" w:hAnsi="Arial"/>
                <w:sz w:val="13"/>
                <w:szCs w:val="13"/>
                <w:color w:val="auto"/>
              </w:rPr>
              <w:t>Alegeus Technologies Holding Corp.</w:t>
            </w:r>
          </w:p>
        </w:tc>
        <w:tc>
          <w:tcPr>
            <w:tcW w:w="800" w:type="dxa"/>
            <w:vAlign w:val="bottom"/>
          </w:tcPr>
          <w:p>
            <w:pPr>
              <w:jc w:val="center"/>
              <w:spacing w:after="0" w:line="121" w:lineRule="exact"/>
              <w:rPr>
                <w:sz w:val="20"/>
                <w:szCs w:val="20"/>
                <w:color w:val="auto"/>
              </w:rPr>
            </w:pPr>
            <w:r>
              <w:rPr>
                <w:rFonts w:ascii="Arial" w:cs="Arial" w:eastAsia="Arial" w:hAnsi="Arial"/>
                <w:sz w:val="13"/>
                <w:szCs w:val="13"/>
                <w:color w:val="auto"/>
              </w:rPr>
              <w:t>—</w:t>
            </w:r>
          </w:p>
        </w:tc>
        <w:tc>
          <w:tcPr>
            <w:tcW w:w="2080" w:type="dxa"/>
            <w:vAlign w:val="bottom"/>
            <w:gridSpan w:val="2"/>
          </w:tcPr>
          <w:p>
            <w:pPr>
              <w:jc w:val="center"/>
              <w:ind w:right="40"/>
              <w:spacing w:after="0" w:line="121" w:lineRule="exact"/>
              <w:rPr>
                <w:sz w:val="20"/>
                <w:szCs w:val="20"/>
                <w:color w:val="auto"/>
              </w:rPr>
            </w:pPr>
            <w:r>
              <w:rPr>
                <w:rFonts w:ascii="Arial" w:cs="Arial" w:eastAsia="Arial" w:hAnsi="Arial"/>
                <w:sz w:val="13"/>
                <w:szCs w:val="13"/>
                <w:color w:val="auto"/>
                <w:w w:val="87"/>
              </w:rPr>
              <w:t>Financial Services</w:t>
            </w:r>
          </w:p>
        </w:tc>
        <w:tc>
          <w:tcPr>
            <w:tcW w:w="660" w:type="dxa"/>
            <w:vAlign w:val="bottom"/>
            <w:gridSpan w:val="2"/>
          </w:tcPr>
          <w:p>
            <w:pPr>
              <w:jc w:val="right"/>
              <w:ind w:right="200"/>
              <w:spacing w:after="0" w:line="121"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00"/>
              <w:spacing w:after="0" w:line="121"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00"/>
              <w:spacing w:after="0" w:line="121" w:lineRule="exact"/>
              <w:rPr>
                <w:sz w:val="20"/>
                <w:szCs w:val="20"/>
                <w:color w:val="auto"/>
              </w:rPr>
            </w:pPr>
            <w:r>
              <w:rPr>
                <w:rFonts w:ascii="Arial" w:cs="Arial" w:eastAsia="Arial" w:hAnsi="Arial"/>
                <w:sz w:val="13"/>
                <w:szCs w:val="13"/>
                <w:color w:val="auto"/>
              </w:rPr>
              <w:t>1</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2"/>
          </w:tcPr>
          <w:p>
            <w:pPr>
              <w:jc w:val="right"/>
              <w:ind w:right="20"/>
              <w:spacing w:after="0" w:line="121" w:lineRule="exact"/>
              <w:rPr>
                <w:sz w:val="20"/>
                <w:szCs w:val="20"/>
                <w:color w:val="auto"/>
              </w:rPr>
            </w:pPr>
            <w:r>
              <w:rPr>
                <w:rFonts w:ascii="Arial" w:cs="Arial" w:eastAsia="Arial" w:hAnsi="Arial"/>
                <w:sz w:val="13"/>
                <w:szCs w:val="13"/>
                <w:color w:val="auto"/>
              </w:rPr>
              <w:t>950</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284</w:t>
            </w:r>
          </w:p>
        </w:tc>
        <w:tc>
          <w:tcPr>
            <w:tcW w:w="0" w:type="dxa"/>
            <w:vAlign w:val="bottom"/>
          </w:tcPr>
          <w:p>
            <w:pPr>
              <w:spacing w:after="0"/>
              <w:rPr>
                <w:sz w:val="1"/>
                <w:szCs w:val="1"/>
                <w:color w:val="auto"/>
              </w:rPr>
            </w:pPr>
          </w:p>
        </w:tc>
      </w:tr>
      <w:tr>
        <w:trPr>
          <w:trHeight w:val="149"/>
        </w:trPr>
        <w:tc>
          <w:tcPr>
            <w:tcW w:w="4100" w:type="dxa"/>
            <w:vAlign w:val="bottom"/>
          </w:tcPr>
          <w:p>
            <w:pPr>
              <w:ind w:left="140"/>
              <w:spacing w:after="0"/>
              <w:rPr>
                <w:sz w:val="20"/>
                <w:szCs w:val="20"/>
                <w:color w:val="auto"/>
              </w:rPr>
            </w:pPr>
            <w:r>
              <w:rPr>
                <w:rFonts w:ascii="Arial" w:cs="Arial" w:eastAsia="Arial" w:hAnsi="Arial"/>
                <w:sz w:val="13"/>
                <w:szCs w:val="13"/>
                <w:color w:val="auto"/>
              </w:rPr>
              <w:t>(Alegeus Technologies, LLC)</w:t>
            </w:r>
          </w:p>
        </w:tc>
        <w:tc>
          <w:tcPr>
            <w:tcW w:w="8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1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ASP LCG Holdings, Inc. (Warrants)</w:t>
            </w:r>
          </w:p>
        </w:tc>
        <w:tc>
          <w:tcPr>
            <w:tcW w:w="8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05/05/2026</w:t>
            </w:r>
          </w:p>
        </w:tc>
        <w:tc>
          <w:tcPr>
            <w:tcW w:w="2080" w:type="dxa"/>
            <w:vAlign w:val="bottom"/>
            <w:gridSpan w:val="2"/>
            <w:shd w:val="clear" w:color="auto" w:fill="CCEEFF"/>
          </w:tcPr>
          <w:p>
            <w:pPr>
              <w:jc w:val="center"/>
              <w:ind w:right="40"/>
              <w:spacing w:after="0" w:line="135" w:lineRule="exact"/>
              <w:rPr>
                <w:sz w:val="20"/>
                <w:szCs w:val="20"/>
                <w:color w:val="auto"/>
              </w:rPr>
            </w:pPr>
            <w:r>
              <w:rPr>
                <w:rFonts w:ascii="Arial" w:cs="Arial" w:eastAsia="Arial" w:hAnsi="Arial"/>
                <w:sz w:val="13"/>
                <w:szCs w:val="13"/>
                <w:color w:val="auto"/>
                <w:w w:val="89"/>
              </w:rPr>
              <w:t>Education</w:t>
            </w:r>
          </w:p>
        </w:tc>
        <w:tc>
          <w:tcPr>
            <w:tcW w:w="6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933</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586,975</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617,968</w:t>
            </w:r>
          </w:p>
        </w:tc>
        <w:tc>
          <w:tcPr>
            <w:tcW w:w="0" w:type="dxa"/>
            <w:vAlign w:val="bottom"/>
          </w:tcPr>
          <w:p>
            <w:pPr>
              <w:spacing w:after="0"/>
              <w:rPr>
                <w:sz w:val="1"/>
                <w:szCs w:val="1"/>
                <w:color w:val="auto"/>
              </w:rPr>
            </w:pPr>
          </w:p>
        </w:tc>
      </w:tr>
      <w:tr>
        <w:trPr>
          <w:trHeight w:val="135"/>
        </w:trPr>
        <w:tc>
          <w:tcPr>
            <w:tcW w:w="4100" w:type="dxa"/>
            <w:vAlign w:val="bottom"/>
          </w:tcPr>
          <w:p>
            <w:pPr>
              <w:spacing w:after="0" w:line="135" w:lineRule="exact"/>
              <w:rPr>
                <w:sz w:val="20"/>
                <w:szCs w:val="20"/>
                <w:color w:val="auto"/>
              </w:rPr>
            </w:pPr>
            <w:r>
              <w:rPr>
                <w:rFonts w:ascii="Arial" w:cs="Arial" w:eastAsia="Arial" w:hAnsi="Arial"/>
                <w:sz w:val="13"/>
                <w:szCs w:val="13"/>
                <w:color w:val="auto"/>
              </w:rPr>
              <w:t>Autumn Games, LLC</w:t>
            </w:r>
          </w:p>
        </w:tc>
        <w:tc>
          <w:tcPr>
            <w:tcW w:w="800" w:type="dxa"/>
            <w:vAlign w:val="bottom"/>
          </w:tcPr>
          <w:p>
            <w:pPr>
              <w:jc w:val="center"/>
              <w:spacing w:after="0" w:line="135" w:lineRule="exact"/>
              <w:rPr>
                <w:sz w:val="20"/>
                <w:szCs w:val="20"/>
                <w:color w:val="auto"/>
              </w:rPr>
            </w:pPr>
            <w:r>
              <w:rPr>
                <w:rFonts w:ascii="Arial" w:cs="Arial" w:eastAsia="Arial" w:hAnsi="Arial"/>
                <w:sz w:val="13"/>
                <w:szCs w:val="13"/>
                <w:color w:val="auto"/>
              </w:rPr>
              <w:t>—</w:t>
            </w:r>
          </w:p>
        </w:tc>
        <w:tc>
          <w:tcPr>
            <w:tcW w:w="2080" w:type="dxa"/>
            <w:vAlign w:val="bottom"/>
            <w:gridSpan w:val="2"/>
          </w:tcPr>
          <w:p>
            <w:pPr>
              <w:jc w:val="center"/>
              <w:ind w:right="40"/>
              <w:spacing w:after="0" w:line="135" w:lineRule="exact"/>
              <w:rPr>
                <w:sz w:val="20"/>
                <w:szCs w:val="20"/>
                <w:color w:val="auto"/>
              </w:rPr>
            </w:pPr>
            <w:r>
              <w:rPr>
                <w:rFonts w:ascii="Arial" w:cs="Arial" w:eastAsia="Arial" w:hAnsi="Arial"/>
                <w:sz w:val="13"/>
                <w:szCs w:val="13"/>
                <w:color w:val="auto"/>
                <w:w w:val="88"/>
              </w:rPr>
              <w:t>Broadcasting and Entertainment</w:t>
            </w:r>
          </w:p>
        </w:tc>
        <w:tc>
          <w:tcPr>
            <w:tcW w:w="6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w w:val="93"/>
              </w:rPr>
              <w:t>1,333,330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3,000,000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41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 xml:space="preserve">Cardinal Logistics Holdings LLC </w:t>
            </w:r>
            <w:r>
              <w:rPr>
                <w:rFonts w:ascii="Arial" w:cs="Arial" w:eastAsia="Arial" w:hAnsi="Arial"/>
                <w:sz w:val="10"/>
                <w:szCs w:val="10"/>
                <w:color w:val="auto"/>
              </w:rPr>
              <w:t>(11)</w:t>
            </w:r>
          </w:p>
        </w:tc>
        <w:tc>
          <w:tcPr>
            <w:tcW w:w="80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rPr>
              <w:t>—</w:t>
            </w:r>
          </w:p>
        </w:tc>
        <w:tc>
          <w:tcPr>
            <w:tcW w:w="2080" w:type="dxa"/>
            <w:vAlign w:val="bottom"/>
            <w:gridSpan w:val="2"/>
            <w:shd w:val="clear" w:color="auto" w:fill="CCEEFF"/>
          </w:tcPr>
          <w:p>
            <w:pPr>
              <w:jc w:val="center"/>
              <w:ind w:right="40"/>
              <w:spacing w:after="0" w:line="121" w:lineRule="exact"/>
              <w:rPr>
                <w:sz w:val="20"/>
                <w:szCs w:val="20"/>
                <w:color w:val="auto"/>
              </w:rPr>
            </w:pPr>
            <w:r>
              <w:rPr>
                <w:rFonts w:ascii="Arial" w:cs="Arial" w:eastAsia="Arial" w:hAnsi="Arial"/>
                <w:sz w:val="13"/>
                <w:szCs w:val="13"/>
                <w:color w:val="auto"/>
                <w:w w:val="88"/>
              </w:rPr>
              <w:t>Cargo Transport</w:t>
            </w:r>
          </w:p>
        </w:tc>
        <w:tc>
          <w:tcPr>
            <w:tcW w:w="660" w:type="dxa"/>
            <w:vAlign w:val="bottom"/>
            <w:gridSpan w:val="2"/>
            <w:shd w:val="clear" w:color="auto" w:fill="CCEEFF"/>
          </w:tcPr>
          <w:p>
            <w:pPr>
              <w:jc w:val="right"/>
              <w:ind w:right="200"/>
              <w:spacing w:after="0" w:line="121"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200"/>
              <w:spacing w:after="0" w:line="121"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3"/>
                <w:szCs w:val="13"/>
                <w:color w:val="auto"/>
              </w:rPr>
              <w:t>137,923</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20"/>
              <w:spacing w:after="0" w:line="121" w:lineRule="exact"/>
              <w:rPr>
                <w:sz w:val="20"/>
                <w:szCs w:val="20"/>
                <w:color w:val="auto"/>
              </w:rPr>
            </w:pPr>
            <w:r>
              <w:rPr>
                <w:rFonts w:ascii="Arial" w:cs="Arial" w:eastAsia="Arial" w:hAnsi="Arial"/>
                <w:sz w:val="13"/>
                <w:szCs w:val="13"/>
                <w:color w:val="auto"/>
              </w:rPr>
              <w:t>2,111,588</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4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(Intermediate Transportation 100, L.L.C.)</w:t>
            </w:r>
          </w:p>
        </w:tc>
        <w:tc>
          <w:tcPr>
            <w:tcW w:w="800" w:type="dxa"/>
            <w:vAlign w:val="bottom"/>
            <w:shd w:val="clear" w:color="auto" w:fill="CCEEFF"/>
          </w:tcPr>
          <w:p>
            <w:pPr>
              <w:spacing w:after="0"/>
              <w:rPr>
                <w:sz w:val="12"/>
                <w:szCs w:val="12"/>
                <w:color w:val="auto"/>
              </w:rPr>
            </w:pPr>
          </w:p>
        </w:tc>
        <w:tc>
          <w:tcPr>
            <w:tcW w:w="1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4100" w:type="dxa"/>
            <w:vAlign w:val="bottom"/>
          </w:tcPr>
          <w:p>
            <w:pPr>
              <w:spacing w:after="0" w:line="121" w:lineRule="exact"/>
              <w:rPr>
                <w:sz w:val="20"/>
                <w:szCs w:val="20"/>
                <w:color w:val="auto"/>
              </w:rPr>
            </w:pPr>
            <w:r>
              <w:rPr>
                <w:rFonts w:ascii="Arial" w:cs="Arial" w:eastAsia="Arial" w:hAnsi="Arial"/>
                <w:sz w:val="13"/>
                <w:szCs w:val="13"/>
                <w:color w:val="auto"/>
              </w:rPr>
              <w:t xml:space="preserve">CI (FBM) Holdings, LLC </w:t>
            </w:r>
            <w:r>
              <w:rPr>
                <w:rFonts w:ascii="Arial" w:cs="Arial" w:eastAsia="Arial" w:hAnsi="Arial"/>
                <w:sz w:val="10"/>
                <w:szCs w:val="10"/>
                <w:color w:val="auto"/>
              </w:rPr>
              <w:t>(11)</w:t>
            </w:r>
          </w:p>
        </w:tc>
        <w:tc>
          <w:tcPr>
            <w:tcW w:w="800" w:type="dxa"/>
            <w:vAlign w:val="bottom"/>
          </w:tcPr>
          <w:p>
            <w:pPr>
              <w:jc w:val="center"/>
              <w:spacing w:after="0" w:line="121" w:lineRule="exact"/>
              <w:rPr>
                <w:sz w:val="20"/>
                <w:szCs w:val="20"/>
                <w:color w:val="auto"/>
              </w:rPr>
            </w:pPr>
            <w:r>
              <w:rPr>
                <w:rFonts w:ascii="Arial" w:cs="Arial" w:eastAsia="Arial" w:hAnsi="Arial"/>
                <w:sz w:val="13"/>
                <w:szCs w:val="13"/>
                <w:color w:val="auto"/>
              </w:rPr>
              <w:t>—</w:t>
            </w:r>
          </w:p>
        </w:tc>
        <w:tc>
          <w:tcPr>
            <w:tcW w:w="2080" w:type="dxa"/>
            <w:vAlign w:val="bottom"/>
            <w:gridSpan w:val="2"/>
          </w:tcPr>
          <w:p>
            <w:pPr>
              <w:jc w:val="center"/>
              <w:ind w:right="40"/>
              <w:spacing w:after="0" w:line="121" w:lineRule="exact"/>
              <w:rPr>
                <w:sz w:val="20"/>
                <w:szCs w:val="20"/>
                <w:color w:val="auto"/>
              </w:rPr>
            </w:pPr>
            <w:r>
              <w:rPr>
                <w:rFonts w:ascii="Arial" w:cs="Arial" w:eastAsia="Arial" w:hAnsi="Arial"/>
                <w:sz w:val="13"/>
                <w:szCs w:val="13"/>
                <w:color w:val="auto"/>
                <w:w w:val="93"/>
              </w:rPr>
              <w:t>Building Materials</w:t>
            </w:r>
          </w:p>
        </w:tc>
        <w:tc>
          <w:tcPr>
            <w:tcW w:w="660" w:type="dxa"/>
            <w:vAlign w:val="bottom"/>
            <w:gridSpan w:val="2"/>
          </w:tcPr>
          <w:p>
            <w:pPr>
              <w:jc w:val="right"/>
              <w:ind w:right="200"/>
              <w:spacing w:after="0" w:line="121"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00"/>
              <w:spacing w:after="0" w:line="121"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00"/>
              <w:spacing w:after="0" w:line="121" w:lineRule="exact"/>
              <w:rPr>
                <w:sz w:val="20"/>
                <w:szCs w:val="20"/>
                <w:color w:val="auto"/>
              </w:rPr>
            </w:pPr>
            <w:r>
              <w:rPr>
                <w:rFonts w:ascii="Arial" w:cs="Arial" w:eastAsia="Arial" w:hAnsi="Arial"/>
                <w:sz w:val="13"/>
                <w:szCs w:val="13"/>
                <w:color w:val="auto"/>
              </w:rPr>
              <w:t>207,242</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2"/>
          </w:tcPr>
          <w:p>
            <w:pPr>
              <w:jc w:val="right"/>
              <w:ind w:right="20"/>
              <w:spacing w:after="0" w:line="121" w:lineRule="exact"/>
              <w:rPr>
                <w:sz w:val="20"/>
                <w:szCs w:val="20"/>
                <w:color w:val="auto"/>
              </w:rPr>
            </w:pPr>
            <w:r>
              <w:rPr>
                <w:rFonts w:ascii="Arial" w:cs="Arial" w:eastAsia="Arial" w:hAnsi="Arial"/>
                <w:sz w:val="13"/>
                <w:szCs w:val="13"/>
                <w:color w:val="auto"/>
              </w:rPr>
              <w:t>2,250,000</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1,631,572</w:t>
            </w:r>
          </w:p>
        </w:tc>
        <w:tc>
          <w:tcPr>
            <w:tcW w:w="0" w:type="dxa"/>
            <w:vAlign w:val="bottom"/>
          </w:tcPr>
          <w:p>
            <w:pPr>
              <w:spacing w:after="0"/>
              <w:rPr>
                <w:sz w:val="1"/>
                <w:szCs w:val="1"/>
                <w:color w:val="auto"/>
              </w:rPr>
            </w:pPr>
          </w:p>
        </w:tc>
      </w:tr>
      <w:tr>
        <w:trPr>
          <w:trHeight w:val="149"/>
        </w:trPr>
        <w:tc>
          <w:tcPr>
            <w:tcW w:w="4100" w:type="dxa"/>
            <w:vAlign w:val="bottom"/>
          </w:tcPr>
          <w:p>
            <w:pPr>
              <w:ind w:left="140"/>
              <w:spacing w:after="0"/>
              <w:rPr>
                <w:sz w:val="20"/>
                <w:szCs w:val="20"/>
                <w:color w:val="auto"/>
              </w:rPr>
            </w:pPr>
            <w:r>
              <w:rPr>
                <w:rFonts w:ascii="Arial" w:cs="Arial" w:eastAsia="Arial" w:hAnsi="Arial"/>
                <w:sz w:val="13"/>
                <w:szCs w:val="13"/>
                <w:color w:val="auto"/>
              </w:rPr>
              <w:t>(Foundation Building Materials, LLC)</w:t>
            </w:r>
          </w:p>
        </w:tc>
        <w:tc>
          <w:tcPr>
            <w:tcW w:w="8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41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 xml:space="preserve">CI (FBM) Holdings, LLC </w:t>
            </w:r>
            <w:r>
              <w:rPr>
                <w:rFonts w:ascii="Arial" w:cs="Arial" w:eastAsia="Arial" w:hAnsi="Arial"/>
                <w:sz w:val="10"/>
                <w:szCs w:val="10"/>
                <w:color w:val="auto"/>
              </w:rPr>
              <w:t>(9), (11)</w:t>
            </w:r>
          </w:p>
        </w:tc>
        <w:tc>
          <w:tcPr>
            <w:tcW w:w="80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rPr>
              <w:t>—</w:t>
            </w:r>
          </w:p>
        </w:tc>
        <w:tc>
          <w:tcPr>
            <w:tcW w:w="2080" w:type="dxa"/>
            <w:vAlign w:val="bottom"/>
            <w:gridSpan w:val="2"/>
            <w:shd w:val="clear" w:color="auto" w:fill="CCEEFF"/>
          </w:tcPr>
          <w:p>
            <w:pPr>
              <w:jc w:val="center"/>
              <w:ind w:right="40"/>
              <w:spacing w:after="0" w:line="121" w:lineRule="exact"/>
              <w:rPr>
                <w:sz w:val="20"/>
                <w:szCs w:val="20"/>
                <w:color w:val="auto"/>
              </w:rPr>
            </w:pPr>
            <w:r>
              <w:rPr>
                <w:rFonts w:ascii="Arial" w:cs="Arial" w:eastAsia="Arial" w:hAnsi="Arial"/>
                <w:sz w:val="13"/>
                <w:szCs w:val="13"/>
                <w:color w:val="auto"/>
                <w:w w:val="93"/>
              </w:rPr>
              <w:t>Building Materials</w:t>
            </w:r>
          </w:p>
        </w:tc>
        <w:tc>
          <w:tcPr>
            <w:tcW w:w="660" w:type="dxa"/>
            <w:vAlign w:val="bottom"/>
            <w:gridSpan w:val="2"/>
            <w:shd w:val="clear" w:color="auto" w:fill="CCEEFF"/>
          </w:tcPr>
          <w:p>
            <w:pPr>
              <w:jc w:val="right"/>
              <w:ind w:right="200"/>
              <w:spacing w:after="0" w:line="121"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200"/>
              <w:spacing w:after="0" w:line="121"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3"/>
                <w:szCs w:val="13"/>
                <w:color w:val="auto"/>
              </w:rPr>
              <w:t>103,621</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00" w:type="dxa"/>
            <w:vAlign w:val="bottom"/>
            <w:gridSpan w:val="3"/>
            <w:shd w:val="clear" w:color="auto" w:fill="CCEEFF"/>
          </w:tcPr>
          <w:p>
            <w:pPr>
              <w:jc w:val="right"/>
              <w:ind w:right="120"/>
              <w:spacing w:after="0" w:line="121"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40"/>
              <w:spacing w:after="0" w:line="121" w:lineRule="exact"/>
              <w:rPr>
                <w:sz w:val="20"/>
                <w:szCs w:val="20"/>
                <w:color w:val="auto"/>
              </w:rPr>
            </w:pPr>
            <w:r>
              <w:rPr>
                <w:rFonts w:ascii="Arial" w:cs="Arial" w:eastAsia="Arial" w:hAnsi="Arial"/>
                <w:sz w:val="13"/>
                <w:szCs w:val="13"/>
                <w:color w:val="auto"/>
              </w:rPr>
              <w:t>(309,214)</w:t>
            </w:r>
          </w:p>
        </w:tc>
        <w:tc>
          <w:tcPr>
            <w:tcW w:w="0" w:type="dxa"/>
            <w:vAlign w:val="bottom"/>
          </w:tcPr>
          <w:p>
            <w:pPr>
              <w:spacing w:after="0"/>
              <w:rPr>
                <w:sz w:val="1"/>
                <w:szCs w:val="1"/>
                <w:color w:val="auto"/>
              </w:rPr>
            </w:pPr>
          </w:p>
        </w:tc>
      </w:tr>
      <w:tr>
        <w:trPr>
          <w:trHeight w:val="149"/>
        </w:trPr>
        <w:tc>
          <w:tcPr>
            <w:tcW w:w="4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(Foundation Building Materials, LLC)</w:t>
            </w:r>
          </w:p>
        </w:tc>
        <w:tc>
          <w:tcPr>
            <w:tcW w:w="800" w:type="dxa"/>
            <w:vAlign w:val="bottom"/>
            <w:shd w:val="clear" w:color="auto" w:fill="CCEEFF"/>
          </w:tcPr>
          <w:p>
            <w:pPr>
              <w:spacing w:after="0"/>
              <w:rPr>
                <w:sz w:val="12"/>
                <w:szCs w:val="12"/>
                <w:color w:val="auto"/>
              </w:rPr>
            </w:pPr>
          </w:p>
        </w:tc>
        <w:tc>
          <w:tcPr>
            <w:tcW w:w="1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100" w:type="dxa"/>
            <w:vAlign w:val="bottom"/>
          </w:tcPr>
          <w:p>
            <w:pPr>
              <w:spacing w:after="0" w:line="135" w:lineRule="exact"/>
              <w:rPr>
                <w:sz w:val="20"/>
                <w:szCs w:val="20"/>
                <w:color w:val="auto"/>
              </w:rPr>
            </w:pPr>
            <w:r>
              <w:rPr>
                <w:rFonts w:ascii="Arial" w:cs="Arial" w:eastAsia="Arial" w:hAnsi="Arial"/>
                <w:sz w:val="13"/>
                <w:szCs w:val="13"/>
                <w:color w:val="auto"/>
              </w:rPr>
              <w:t xml:space="preserve">CI (Galls) Prime Investment Holdings, LLC </w:t>
            </w:r>
            <w:r>
              <w:rPr>
                <w:rFonts w:ascii="Arial" w:cs="Arial" w:eastAsia="Arial" w:hAnsi="Arial"/>
                <w:sz w:val="10"/>
                <w:szCs w:val="10"/>
                <w:color w:val="auto"/>
              </w:rPr>
              <w:t>(11)</w:t>
            </w:r>
          </w:p>
        </w:tc>
        <w:tc>
          <w:tcPr>
            <w:tcW w:w="800" w:type="dxa"/>
            <w:vAlign w:val="bottom"/>
          </w:tcPr>
          <w:p>
            <w:pPr>
              <w:jc w:val="center"/>
              <w:spacing w:after="0" w:line="135" w:lineRule="exact"/>
              <w:rPr>
                <w:sz w:val="20"/>
                <w:szCs w:val="20"/>
                <w:color w:val="auto"/>
              </w:rPr>
            </w:pPr>
            <w:r>
              <w:rPr>
                <w:rFonts w:ascii="Arial" w:cs="Arial" w:eastAsia="Arial" w:hAnsi="Arial"/>
                <w:sz w:val="13"/>
                <w:szCs w:val="13"/>
                <w:color w:val="auto"/>
              </w:rPr>
              <w:t>—</w:t>
            </w:r>
          </w:p>
        </w:tc>
        <w:tc>
          <w:tcPr>
            <w:tcW w:w="2080" w:type="dxa"/>
            <w:vAlign w:val="bottom"/>
            <w:gridSpan w:val="2"/>
          </w:tcPr>
          <w:p>
            <w:pPr>
              <w:jc w:val="center"/>
              <w:ind w:right="40"/>
              <w:spacing w:after="0" w:line="135" w:lineRule="exact"/>
              <w:rPr>
                <w:sz w:val="20"/>
                <w:szCs w:val="20"/>
                <w:color w:val="auto"/>
              </w:rPr>
            </w:pPr>
            <w:r>
              <w:rPr>
                <w:rFonts w:ascii="Arial" w:cs="Arial" w:eastAsia="Arial" w:hAnsi="Arial"/>
                <w:sz w:val="13"/>
                <w:szCs w:val="13"/>
                <w:color w:val="auto"/>
                <w:w w:val="92"/>
              </w:rPr>
              <w:t>Distribution</w:t>
            </w:r>
          </w:p>
        </w:tc>
        <w:tc>
          <w:tcPr>
            <w:tcW w:w="6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w w:val="93"/>
              </w:rPr>
              <w:t>1,505,000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1,505,000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2,260,146</w:t>
            </w:r>
          </w:p>
        </w:tc>
        <w:tc>
          <w:tcPr>
            <w:tcW w:w="0" w:type="dxa"/>
            <w:vAlign w:val="bottom"/>
          </w:tcPr>
          <w:p>
            <w:pPr>
              <w:spacing w:after="0"/>
              <w:rPr>
                <w:sz w:val="1"/>
                <w:szCs w:val="1"/>
                <w:color w:val="auto"/>
              </w:rPr>
            </w:pPr>
          </w:p>
        </w:tc>
      </w:tr>
      <w:tr>
        <w:trPr>
          <w:trHeight w:val="135"/>
        </w:trPr>
        <w:tc>
          <w:tcPr>
            <w:tcW w:w="41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CI (IHS) Investment Holdings, LLC</w:t>
            </w:r>
          </w:p>
        </w:tc>
        <w:tc>
          <w:tcPr>
            <w:tcW w:w="8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rPr>
              <w:t>—</w:t>
            </w:r>
          </w:p>
        </w:tc>
        <w:tc>
          <w:tcPr>
            <w:tcW w:w="2080" w:type="dxa"/>
            <w:vAlign w:val="bottom"/>
            <w:gridSpan w:val="2"/>
            <w:shd w:val="clear" w:color="auto" w:fill="CCEEFF"/>
          </w:tcPr>
          <w:p>
            <w:pPr>
              <w:jc w:val="center"/>
              <w:ind w:right="40"/>
              <w:spacing w:after="0" w:line="135" w:lineRule="exact"/>
              <w:rPr>
                <w:sz w:val="20"/>
                <w:szCs w:val="20"/>
                <w:color w:val="auto"/>
              </w:rPr>
            </w:pPr>
            <w:r>
              <w:rPr>
                <w:rFonts w:ascii="Arial" w:cs="Arial" w:eastAsia="Arial" w:hAnsi="Arial"/>
                <w:sz w:val="13"/>
                <w:szCs w:val="13"/>
                <w:color w:val="auto"/>
                <w:w w:val="86"/>
              </w:rPr>
              <w:t>Healthcare, Education and Childcare</w:t>
            </w:r>
          </w:p>
        </w:tc>
        <w:tc>
          <w:tcPr>
            <w:tcW w:w="6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23,416</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234,693</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832,480</w:t>
            </w:r>
          </w:p>
        </w:tc>
        <w:tc>
          <w:tcPr>
            <w:tcW w:w="0" w:type="dxa"/>
            <w:vAlign w:val="bottom"/>
          </w:tcPr>
          <w:p>
            <w:pPr>
              <w:spacing w:after="0"/>
              <w:rPr>
                <w:sz w:val="1"/>
                <w:szCs w:val="1"/>
                <w:color w:val="auto"/>
              </w:rPr>
            </w:pPr>
          </w:p>
        </w:tc>
      </w:tr>
      <w:tr>
        <w:trPr>
          <w:trHeight w:val="135"/>
        </w:trPr>
        <w:tc>
          <w:tcPr>
            <w:tcW w:w="4100" w:type="dxa"/>
            <w:vAlign w:val="bottom"/>
          </w:tcPr>
          <w:p>
            <w:pPr>
              <w:spacing w:after="0" w:line="135" w:lineRule="exact"/>
              <w:rPr>
                <w:sz w:val="20"/>
                <w:szCs w:val="20"/>
                <w:color w:val="auto"/>
              </w:rPr>
            </w:pPr>
            <w:r>
              <w:rPr>
                <w:rFonts w:ascii="Arial" w:cs="Arial" w:eastAsia="Arial" w:hAnsi="Arial"/>
                <w:sz w:val="13"/>
                <w:szCs w:val="13"/>
                <w:color w:val="auto"/>
              </w:rPr>
              <w:t xml:space="preserve">CI (IHS) Investment Holdings, LLC </w:t>
            </w:r>
            <w:r>
              <w:rPr>
                <w:rFonts w:ascii="Arial" w:cs="Arial" w:eastAsia="Arial" w:hAnsi="Arial"/>
                <w:sz w:val="10"/>
                <w:szCs w:val="10"/>
                <w:color w:val="auto"/>
              </w:rPr>
              <w:t>(9)</w:t>
            </w:r>
          </w:p>
        </w:tc>
        <w:tc>
          <w:tcPr>
            <w:tcW w:w="800" w:type="dxa"/>
            <w:vAlign w:val="bottom"/>
          </w:tcPr>
          <w:p>
            <w:pPr>
              <w:jc w:val="center"/>
              <w:spacing w:after="0" w:line="135" w:lineRule="exact"/>
              <w:rPr>
                <w:sz w:val="20"/>
                <w:szCs w:val="20"/>
                <w:color w:val="auto"/>
              </w:rPr>
            </w:pPr>
            <w:r>
              <w:rPr>
                <w:rFonts w:ascii="Arial" w:cs="Arial" w:eastAsia="Arial" w:hAnsi="Arial"/>
                <w:sz w:val="13"/>
                <w:szCs w:val="13"/>
                <w:color w:val="auto"/>
              </w:rPr>
              <w:t>—</w:t>
            </w:r>
          </w:p>
        </w:tc>
        <w:tc>
          <w:tcPr>
            <w:tcW w:w="2080" w:type="dxa"/>
            <w:vAlign w:val="bottom"/>
            <w:gridSpan w:val="2"/>
          </w:tcPr>
          <w:p>
            <w:pPr>
              <w:jc w:val="center"/>
              <w:ind w:right="40"/>
              <w:spacing w:after="0" w:line="135" w:lineRule="exact"/>
              <w:rPr>
                <w:sz w:val="20"/>
                <w:szCs w:val="20"/>
                <w:color w:val="auto"/>
              </w:rPr>
            </w:pPr>
            <w:r>
              <w:rPr>
                <w:rFonts w:ascii="Arial" w:cs="Arial" w:eastAsia="Arial" w:hAnsi="Arial"/>
                <w:sz w:val="13"/>
                <w:szCs w:val="13"/>
                <w:color w:val="auto"/>
                <w:w w:val="86"/>
              </w:rPr>
              <w:t>Healthcare, Education and Childcare</w:t>
            </w:r>
          </w:p>
        </w:tc>
        <w:tc>
          <w:tcPr>
            <w:tcW w:w="6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11,708</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3"/>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9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298,894</w:t>
            </w:r>
          </w:p>
        </w:tc>
        <w:tc>
          <w:tcPr>
            <w:tcW w:w="0" w:type="dxa"/>
            <w:vAlign w:val="bottom"/>
          </w:tcPr>
          <w:p>
            <w:pPr>
              <w:spacing w:after="0"/>
              <w:rPr>
                <w:sz w:val="1"/>
                <w:szCs w:val="1"/>
                <w:color w:val="auto"/>
              </w:rPr>
            </w:pPr>
          </w:p>
        </w:tc>
      </w:tr>
      <w:tr>
        <w:trPr>
          <w:trHeight w:val="135"/>
        </w:trPr>
        <w:tc>
          <w:tcPr>
            <w:tcW w:w="41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Convergint Technologies Holdings, LLC</w:t>
            </w:r>
          </w:p>
        </w:tc>
        <w:tc>
          <w:tcPr>
            <w:tcW w:w="8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rPr>
              <w:t>—</w:t>
            </w:r>
          </w:p>
        </w:tc>
        <w:tc>
          <w:tcPr>
            <w:tcW w:w="2080" w:type="dxa"/>
            <w:vAlign w:val="bottom"/>
            <w:gridSpan w:val="2"/>
            <w:shd w:val="clear" w:color="auto" w:fill="CCEEFF"/>
          </w:tcPr>
          <w:p>
            <w:pPr>
              <w:jc w:val="center"/>
              <w:ind w:right="40"/>
              <w:spacing w:after="0" w:line="135" w:lineRule="exact"/>
              <w:rPr>
                <w:sz w:val="20"/>
                <w:szCs w:val="20"/>
                <w:color w:val="auto"/>
              </w:rPr>
            </w:pPr>
            <w:r>
              <w:rPr>
                <w:rFonts w:ascii="Arial" w:cs="Arial" w:eastAsia="Arial" w:hAnsi="Arial"/>
                <w:sz w:val="13"/>
                <w:szCs w:val="13"/>
                <w:color w:val="auto"/>
                <w:w w:val="88"/>
              </w:rPr>
              <w:t>Electronics</w:t>
            </w:r>
          </w:p>
        </w:tc>
        <w:tc>
          <w:tcPr>
            <w:tcW w:w="6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2,375</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1,063,455</w:t>
            </w:r>
          </w:p>
        </w:tc>
        <w:tc>
          <w:tcPr>
            <w:tcW w:w="0" w:type="dxa"/>
            <w:vAlign w:val="bottom"/>
          </w:tcPr>
          <w:p>
            <w:pPr>
              <w:spacing w:after="0"/>
              <w:rPr>
                <w:sz w:val="1"/>
                <w:szCs w:val="1"/>
                <w:color w:val="auto"/>
              </w:rPr>
            </w:pPr>
          </w:p>
        </w:tc>
      </w:tr>
      <w:tr>
        <w:trPr>
          <w:trHeight w:val="135"/>
        </w:trPr>
        <w:tc>
          <w:tcPr>
            <w:tcW w:w="4100" w:type="dxa"/>
            <w:vAlign w:val="bottom"/>
          </w:tcPr>
          <w:p>
            <w:pPr>
              <w:spacing w:after="0" w:line="135" w:lineRule="exact"/>
              <w:rPr>
                <w:sz w:val="20"/>
                <w:szCs w:val="20"/>
                <w:color w:val="auto"/>
              </w:rPr>
            </w:pPr>
            <w:r>
              <w:rPr>
                <w:rFonts w:ascii="Arial" w:cs="Arial" w:eastAsia="Arial" w:hAnsi="Arial"/>
                <w:sz w:val="13"/>
                <w:szCs w:val="13"/>
                <w:color w:val="auto"/>
              </w:rPr>
              <w:t>HW Holdco, LLC (f/k/a Red Point, LLC)</w:t>
            </w:r>
          </w:p>
        </w:tc>
        <w:tc>
          <w:tcPr>
            <w:tcW w:w="800" w:type="dxa"/>
            <w:vAlign w:val="bottom"/>
          </w:tcPr>
          <w:p>
            <w:pPr>
              <w:jc w:val="center"/>
              <w:spacing w:after="0" w:line="135" w:lineRule="exact"/>
              <w:rPr>
                <w:sz w:val="20"/>
                <w:szCs w:val="20"/>
                <w:color w:val="auto"/>
              </w:rPr>
            </w:pPr>
            <w:r>
              <w:rPr>
                <w:rFonts w:ascii="Arial" w:cs="Arial" w:eastAsia="Arial" w:hAnsi="Arial"/>
                <w:sz w:val="13"/>
                <w:szCs w:val="13"/>
                <w:color w:val="auto"/>
              </w:rPr>
              <w:t>—</w:t>
            </w:r>
          </w:p>
        </w:tc>
        <w:tc>
          <w:tcPr>
            <w:tcW w:w="2080" w:type="dxa"/>
            <w:vAlign w:val="bottom"/>
            <w:gridSpan w:val="2"/>
          </w:tcPr>
          <w:p>
            <w:pPr>
              <w:jc w:val="center"/>
              <w:ind w:right="40"/>
              <w:spacing w:after="0" w:line="135" w:lineRule="exact"/>
              <w:rPr>
                <w:sz w:val="20"/>
                <w:szCs w:val="20"/>
                <w:color w:val="auto"/>
              </w:rPr>
            </w:pPr>
            <w:r>
              <w:rPr>
                <w:rFonts w:ascii="Arial" w:cs="Arial" w:eastAsia="Arial" w:hAnsi="Arial"/>
                <w:sz w:val="13"/>
                <w:szCs w:val="13"/>
                <w:color w:val="auto"/>
                <w:w w:val="89"/>
              </w:rPr>
              <w:t>Other Media</w:t>
            </w:r>
          </w:p>
        </w:tc>
        <w:tc>
          <w:tcPr>
            <w:tcW w:w="6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388,378</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3"/>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9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1,931,314</w:t>
            </w:r>
          </w:p>
        </w:tc>
        <w:tc>
          <w:tcPr>
            <w:tcW w:w="0" w:type="dxa"/>
            <w:vAlign w:val="bottom"/>
          </w:tcPr>
          <w:p>
            <w:pPr>
              <w:spacing w:after="0"/>
              <w:rPr>
                <w:sz w:val="1"/>
                <w:szCs w:val="1"/>
                <w:color w:val="auto"/>
              </w:rPr>
            </w:pPr>
          </w:p>
        </w:tc>
      </w:tr>
      <w:tr>
        <w:trPr>
          <w:trHeight w:val="121"/>
        </w:trPr>
        <w:tc>
          <w:tcPr>
            <w:tcW w:w="41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J.A. Cosmetics US, Inc.</w:t>
            </w:r>
          </w:p>
        </w:tc>
        <w:tc>
          <w:tcPr>
            <w:tcW w:w="80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rPr>
              <w:t>—</w:t>
            </w:r>
          </w:p>
        </w:tc>
        <w:tc>
          <w:tcPr>
            <w:tcW w:w="2080" w:type="dxa"/>
            <w:vAlign w:val="bottom"/>
            <w:gridSpan w:val="2"/>
            <w:shd w:val="clear" w:color="auto" w:fill="CCEEFF"/>
          </w:tcPr>
          <w:p>
            <w:pPr>
              <w:jc w:val="center"/>
              <w:ind w:right="40"/>
              <w:spacing w:after="0" w:line="121" w:lineRule="exact"/>
              <w:rPr>
                <w:sz w:val="20"/>
                <w:szCs w:val="20"/>
                <w:color w:val="auto"/>
              </w:rPr>
            </w:pPr>
            <w:r>
              <w:rPr>
                <w:rFonts w:ascii="Arial" w:cs="Arial" w:eastAsia="Arial" w:hAnsi="Arial"/>
                <w:sz w:val="13"/>
                <w:szCs w:val="13"/>
                <w:color w:val="auto"/>
                <w:w w:val="87"/>
              </w:rPr>
              <w:t>Consumer Products</w:t>
            </w:r>
          </w:p>
        </w:tc>
        <w:tc>
          <w:tcPr>
            <w:tcW w:w="660" w:type="dxa"/>
            <w:vAlign w:val="bottom"/>
            <w:gridSpan w:val="2"/>
            <w:shd w:val="clear" w:color="auto" w:fill="CCEEFF"/>
          </w:tcPr>
          <w:p>
            <w:pPr>
              <w:jc w:val="right"/>
              <w:ind w:right="200"/>
              <w:spacing w:after="0" w:line="121"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200"/>
              <w:spacing w:after="0" w:line="121"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3"/>
                <w:szCs w:val="13"/>
                <w:color w:val="auto"/>
              </w:rPr>
              <w:t>252</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20"/>
              <w:spacing w:after="0" w:line="121" w:lineRule="exact"/>
              <w:rPr>
                <w:sz w:val="20"/>
                <w:szCs w:val="20"/>
                <w:color w:val="auto"/>
              </w:rPr>
            </w:pPr>
            <w:r>
              <w:rPr>
                <w:rFonts w:ascii="Arial" w:cs="Arial" w:eastAsia="Arial" w:hAnsi="Arial"/>
                <w:sz w:val="13"/>
                <w:szCs w:val="13"/>
                <w:color w:val="auto"/>
              </w:rPr>
              <w:t>2,516</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262,432</w:t>
            </w:r>
          </w:p>
        </w:tc>
        <w:tc>
          <w:tcPr>
            <w:tcW w:w="0" w:type="dxa"/>
            <w:vAlign w:val="bottom"/>
          </w:tcPr>
          <w:p>
            <w:pPr>
              <w:spacing w:after="0"/>
              <w:rPr>
                <w:sz w:val="1"/>
                <w:szCs w:val="1"/>
                <w:color w:val="auto"/>
              </w:rPr>
            </w:pPr>
          </w:p>
        </w:tc>
      </w:tr>
      <w:tr>
        <w:trPr>
          <w:trHeight w:val="149"/>
        </w:trPr>
        <w:tc>
          <w:tcPr>
            <w:tcW w:w="4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(J.A. Cosmetics Holdings, Inc.)</w:t>
            </w:r>
          </w:p>
        </w:tc>
        <w:tc>
          <w:tcPr>
            <w:tcW w:w="800" w:type="dxa"/>
            <w:vAlign w:val="bottom"/>
            <w:shd w:val="clear" w:color="auto" w:fill="CCEEFF"/>
          </w:tcPr>
          <w:p>
            <w:pPr>
              <w:spacing w:after="0"/>
              <w:rPr>
                <w:sz w:val="12"/>
                <w:szCs w:val="12"/>
                <w:color w:val="auto"/>
              </w:rPr>
            </w:pPr>
          </w:p>
        </w:tc>
        <w:tc>
          <w:tcPr>
            <w:tcW w:w="1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100" w:type="dxa"/>
            <w:vAlign w:val="bottom"/>
          </w:tcPr>
          <w:p>
            <w:pPr>
              <w:spacing w:after="0" w:line="135" w:lineRule="exact"/>
              <w:rPr>
                <w:sz w:val="20"/>
                <w:szCs w:val="20"/>
                <w:color w:val="auto"/>
              </w:rPr>
            </w:pPr>
            <w:r>
              <w:rPr>
                <w:rFonts w:ascii="Arial" w:cs="Arial" w:eastAsia="Arial" w:hAnsi="Arial"/>
                <w:sz w:val="13"/>
                <w:szCs w:val="13"/>
                <w:color w:val="auto"/>
              </w:rPr>
              <w:t>Kadmon Holdings, LLC, Class A</w:t>
            </w:r>
          </w:p>
        </w:tc>
        <w:tc>
          <w:tcPr>
            <w:tcW w:w="800" w:type="dxa"/>
            <w:vAlign w:val="bottom"/>
          </w:tcPr>
          <w:p>
            <w:pPr>
              <w:jc w:val="center"/>
              <w:spacing w:after="0" w:line="135" w:lineRule="exact"/>
              <w:rPr>
                <w:sz w:val="20"/>
                <w:szCs w:val="20"/>
                <w:color w:val="auto"/>
              </w:rPr>
            </w:pPr>
            <w:r>
              <w:rPr>
                <w:rFonts w:ascii="Arial" w:cs="Arial" w:eastAsia="Arial" w:hAnsi="Arial"/>
                <w:sz w:val="13"/>
                <w:szCs w:val="13"/>
                <w:color w:val="auto"/>
              </w:rPr>
              <w:t>—</w:t>
            </w:r>
          </w:p>
        </w:tc>
        <w:tc>
          <w:tcPr>
            <w:tcW w:w="2080" w:type="dxa"/>
            <w:vAlign w:val="bottom"/>
            <w:gridSpan w:val="2"/>
          </w:tcPr>
          <w:p>
            <w:pPr>
              <w:jc w:val="center"/>
              <w:ind w:right="40"/>
              <w:spacing w:after="0" w:line="135" w:lineRule="exact"/>
              <w:rPr>
                <w:sz w:val="20"/>
                <w:szCs w:val="20"/>
                <w:color w:val="auto"/>
              </w:rPr>
            </w:pPr>
            <w:r>
              <w:rPr>
                <w:rFonts w:ascii="Arial" w:cs="Arial" w:eastAsia="Arial" w:hAnsi="Arial"/>
                <w:sz w:val="13"/>
                <w:szCs w:val="13"/>
                <w:color w:val="auto"/>
                <w:w w:val="86"/>
              </w:rPr>
              <w:t>Healthcare, Education and Childcare</w:t>
            </w:r>
          </w:p>
        </w:tc>
        <w:tc>
          <w:tcPr>
            <w:tcW w:w="6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w w:val="93"/>
              </w:rPr>
              <w:t>1,079,920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1,236,832</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8,127,944</w:t>
            </w:r>
          </w:p>
        </w:tc>
        <w:tc>
          <w:tcPr>
            <w:tcW w:w="0" w:type="dxa"/>
            <w:vAlign w:val="bottom"/>
          </w:tcPr>
          <w:p>
            <w:pPr>
              <w:spacing w:after="0"/>
              <w:rPr>
                <w:sz w:val="1"/>
                <w:szCs w:val="1"/>
                <w:color w:val="auto"/>
              </w:rPr>
            </w:pPr>
          </w:p>
        </w:tc>
      </w:tr>
      <w:tr>
        <w:trPr>
          <w:trHeight w:val="135"/>
        </w:trPr>
        <w:tc>
          <w:tcPr>
            <w:tcW w:w="41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Kadmon Holdings, LLC, Class D</w:t>
            </w:r>
          </w:p>
        </w:tc>
        <w:tc>
          <w:tcPr>
            <w:tcW w:w="8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rPr>
              <w:t>—</w:t>
            </w:r>
          </w:p>
        </w:tc>
        <w:tc>
          <w:tcPr>
            <w:tcW w:w="2080" w:type="dxa"/>
            <w:vAlign w:val="bottom"/>
            <w:gridSpan w:val="2"/>
            <w:shd w:val="clear" w:color="auto" w:fill="CCEEFF"/>
          </w:tcPr>
          <w:p>
            <w:pPr>
              <w:jc w:val="center"/>
              <w:ind w:right="40"/>
              <w:spacing w:after="0" w:line="135" w:lineRule="exact"/>
              <w:rPr>
                <w:sz w:val="20"/>
                <w:szCs w:val="20"/>
                <w:color w:val="auto"/>
              </w:rPr>
            </w:pPr>
            <w:r>
              <w:rPr>
                <w:rFonts w:ascii="Arial" w:cs="Arial" w:eastAsia="Arial" w:hAnsi="Arial"/>
                <w:sz w:val="13"/>
                <w:szCs w:val="13"/>
                <w:color w:val="auto"/>
                <w:w w:val="86"/>
              </w:rPr>
              <w:t>Healthcare, Education and Childcare</w:t>
            </w:r>
          </w:p>
        </w:tc>
        <w:tc>
          <w:tcPr>
            <w:tcW w:w="6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93"/>
              </w:rPr>
              <w:t>1,079,920</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1,028,807</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970,810</w:t>
            </w:r>
          </w:p>
        </w:tc>
        <w:tc>
          <w:tcPr>
            <w:tcW w:w="0" w:type="dxa"/>
            <w:vAlign w:val="bottom"/>
          </w:tcPr>
          <w:p>
            <w:pPr>
              <w:spacing w:after="0"/>
              <w:rPr>
                <w:sz w:val="1"/>
                <w:szCs w:val="1"/>
                <w:color w:val="auto"/>
              </w:rPr>
            </w:pPr>
          </w:p>
        </w:tc>
      </w:tr>
      <w:tr>
        <w:trPr>
          <w:trHeight w:val="135"/>
        </w:trPr>
        <w:tc>
          <w:tcPr>
            <w:tcW w:w="4100" w:type="dxa"/>
            <w:vAlign w:val="bottom"/>
          </w:tcPr>
          <w:p>
            <w:pPr>
              <w:spacing w:after="0" w:line="135" w:lineRule="exact"/>
              <w:rPr>
                <w:sz w:val="20"/>
                <w:szCs w:val="20"/>
                <w:color w:val="auto"/>
              </w:rPr>
            </w:pPr>
            <w:r>
              <w:rPr>
                <w:rFonts w:ascii="Arial" w:cs="Arial" w:eastAsia="Arial" w:hAnsi="Arial"/>
                <w:sz w:val="13"/>
                <w:szCs w:val="13"/>
                <w:color w:val="auto"/>
              </w:rPr>
              <w:t xml:space="preserve">Lariat ecoserv Co-Invest Holdings, LLC </w:t>
            </w:r>
            <w:r>
              <w:rPr>
                <w:rFonts w:ascii="Arial" w:cs="Arial" w:eastAsia="Arial" w:hAnsi="Arial"/>
                <w:sz w:val="10"/>
                <w:szCs w:val="10"/>
                <w:color w:val="auto"/>
              </w:rPr>
              <w:t>(11)</w:t>
            </w:r>
          </w:p>
        </w:tc>
        <w:tc>
          <w:tcPr>
            <w:tcW w:w="800" w:type="dxa"/>
            <w:vAlign w:val="bottom"/>
          </w:tcPr>
          <w:p>
            <w:pPr>
              <w:jc w:val="center"/>
              <w:spacing w:after="0" w:line="135" w:lineRule="exact"/>
              <w:rPr>
                <w:sz w:val="20"/>
                <w:szCs w:val="20"/>
                <w:color w:val="auto"/>
              </w:rPr>
            </w:pPr>
            <w:r>
              <w:rPr>
                <w:rFonts w:ascii="Arial" w:cs="Arial" w:eastAsia="Arial" w:hAnsi="Arial"/>
                <w:sz w:val="13"/>
                <w:szCs w:val="13"/>
                <w:color w:val="auto"/>
              </w:rPr>
              <w:t>—</w:t>
            </w:r>
          </w:p>
        </w:tc>
        <w:tc>
          <w:tcPr>
            <w:tcW w:w="2080" w:type="dxa"/>
            <w:vAlign w:val="bottom"/>
            <w:gridSpan w:val="2"/>
          </w:tcPr>
          <w:p>
            <w:pPr>
              <w:jc w:val="center"/>
              <w:ind w:right="40"/>
              <w:spacing w:after="0" w:line="135" w:lineRule="exact"/>
              <w:rPr>
                <w:sz w:val="20"/>
                <w:szCs w:val="20"/>
                <w:color w:val="auto"/>
              </w:rPr>
            </w:pPr>
            <w:r>
              <w:rPr>
                <w:rFonts w:ascii="Arial" w:cs="Arial" w:eastAsia="Arial" w:hAnsi="Arial"/>
                <w:sz w:val="13"/>
                <w:szCs w:val="13"/>
                <w:color w:val="auto"/>
                <w:w w:val="87"/>
              </w:rPr>
              <w:t>Environmental Services</w:t>
            </w:r>
          </w:p>
        </w:tc>
        <w:tc>
          <w:tcPr>
            <w:tcW w:w="6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w w:val="93"/>
              </w:rPr>
              <w:t>1,000,000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1,000,000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739,560</w:t>
            </w:r>
          </w:p>
        </w:tc>
        <w:tc>
          <w:tcPr>
            <w:tcW w:w="0" w:type="dxa"/>
            <w:vAlign w:val="bottom"/>
          </w:tcPr>
          <w:p>
            <w:pPr>
              <w:spacing w:after="0"/>
              <w:rPr>
                <w:sz w:val="1"/>
                <w:szCs w:val="1"/>
                <w:color w:val="auto"/>
              </w:rPr>
            </w:pPr>
          </w:p>
        </w:tc>
      </w:tr>
      <w:tr>
        <w:trPr>
          <w:trHeight w:val="135"/>
        </w:trPr>
        <w:tc>
          <w:tcPr>
            <w:tcW w:w="41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Magnum Hunter Resources Corporation (Warrants) </w:t>
            </w:r>
            <w:r>
              <w:rPr>
                <w:rFonts w:ascii="Arial" w:cs="Arial" w:eastAsia="Arial" w:hAnsi="Arial"/>
                <w:sz w:val="10"/>
                <w:szCs w:val="10"/>
                <w:color w:val="auto"/>
              </w:rPr>
              <w:t>(13)</w:t>
            </w:r>
          </w:p>
        </w:tc>
        <w:tc>
          <w:tcPr>
            <w:tcW w:w="8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04/16/2016</w:t>
            </w:r>
          </w:p>
        </w:tc>
        <w:tc>
          <w:tcPr>
            <w:tcW w:w="2080" w:type="dxa"/>
            <w:vAlign w:val="bottom"/>
            <w:gridSpan w:val="2"/>
            <w:shd w:val="clear" w:color="auto" w:fill="CCEEFF"/>
          </w:tcPr>
          <w:p>
            <w:pPr>
              <w:jc w:val="center"/>
              <w:ind w:right="40"/>
              <w:spacing w:after="0" w:line="135" w:lineRule="exact"/>
              <w:rPr>
                <w:sz w:val="20"/>
                <w:szCs w:val="20"/>
                <w:color w:val="auto"/>
              </w:rPr>
            </w:pPr>
            <w:r>
              <w:rPr>
                <w:rFonts w:ascii="Arial" w:cs="Arial" w:eastAsia="Arial" w:hAnsi="Arial"/>
                <w:sz w:val="13"/>
                <w:szCs w:val="13"/>
                <w:color w:val="auto"/>
                <w:w w:val="87"/>
              </w:rPr>
              <w:t>Oil and Gas</w:t>
            </w:r>
          </w:p>
        </w:tc>
        <w:tc>
          <w:tcPr>
            <w:tcW w:w="6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122,192</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182,498</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17,107</w:t>
            </w:r>
          </w:p>
        </w:tc>
        <w:tc>
          <w:tcPr>
            <w:tcW w:w="0" w:type="dxa"/>
            <w:vAlign w:val="bottom"/>
          </w:tcPr>
          <w:p>
            <w:pPr>
              <w:spacing w:after="0"/>
              <w:rPr>
                <w:sz w:val="1"/>
                <w:szCs w:val="1"/>
                <w:color w:val="auto"/>
              </w:rPr>
            </w:pPr>
          </w:p>
        </w:tc>
      </w:tr>
      <w:tr>
        <w:trPr>
          <w:trHeight w:val="121"/>
        </w:trPr>
        <w:tc>
          <w:tcPr>
            <w:tcW w:w="4100" w:type="dxa"/>
            <w:vAlign w:val="bottom"/>
          </w:tcPr>
          <w:p>
            <w:pPr>
              <w:spacing w:after="0" w:line="121" w:lineRule="exact"/>
              <w:rPr>
                <w:sz w:val="20"/>
                <w:szCs w:val="20"/>
                <w:color w:val="auto"/>
              </w:rPr>
            </w:pPr>
            <w:r>
              <w:rPr>
                <w:rFonts w:ascii="Arial" w:cs="Arial" w:eastAsia="Arial" w:hAnsi="Arial"/>
                <w:sz w:val="13"/>
                <w:szCs w:val="13"/>
                <w:color w:val="auto"/>
              </w:rPr>
              <w:t>MidOcean JF Holdings Corp.</w:t>
            </w:r>
          </w:p>
        </w:tc>
        <w:tc>
          <w:tcPr>
            <w:tcW w:w="800" w:type="dxa"/>
            <w:vAlign w:val="bottom"/>
          </w:tcPr>
          <w:p>
            <w:pPr>
              <w:jc w:val="center"/>
              <w:spacing w:after="0" w:line="121" w:lineRule="exact"/>
              <w:rPr>
                <w:sz w:val="20"/>
                <w:szCs w:val="20"/>
                <w:color w:val="auto"/>
              </w:rPr>
            </w:pPr>
            <w:r>
              <w:rPr>
                <w:rFonts w:ascii="Arial" w:cs="Arial" w:eastAsia="Arial" w:hAnsi="Arial"/>
                <w:sz w:val="13"/>
                <w:szCs w:val="13"/>
                <w:color w:val="auto"/>
              </w:rPr>
              <w:t>—</w:t>
            </w:r>
          </w:p>
        </w:tc>
        <w:tc>
          <w:tcPr>
            <w:tcW w:w="2080" w:type="dxa"/>
            <w:vAlign w:val="bottom"/>
            <w:gridSpan w:val="2"/>
          </w:tcPr>
          <w:p>
            <w:pPr>
              <w:jc w:val="center"/>
              <w:ind w:right="40"/>
              <w:spacing w:after="0" w:line="121" w:lineRule="exact"/>
              <w:rPr>
                <w:sz w:val="20"/>
                <w:szCs w:val="20"/>
                <w:color w:val="auto"/>
              </w:rPr>
            </w:pPr>
            <w:r>
              <w:rPr>
                <w:rFonts w:ascii="Arial" w:cs="Arial" w:eastAsia="Arial" w:hAnsi="Arial"/>
                <w:sz w:val="13"/>
                <w:szCs w:val="13"/>
                <w:color w:val="auto"/>
                <w:w w:val="92"/>
              </w:rPr>
              <w:t>Distribution</w:t>
            </w:r>
          </w:p>
        </w:tc>
        <w:tc>
          <w:tcPr>
            <w:tcW w:w="660" w:type="dxa"/>
            <w:vAlign w:val="bottom"/>
            <w:gridSpan w:val="2"/>
          </w:tcPr>
          <w:p>
            <w:pPr>
              <w:jc w:val="right"/>
              <w:ind w:right="200"/>
              <w:spacing w:after="0" w:line="121"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00"/>
              <w:spacing w:after="0" w:line="121"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00"/>
              <w:spacing w:after="0" w:line="121" w:lineRule="exact"/>
              <w:rPr>
                <w:sz w:val="20"/>
                <w:szCs w:val="20"/>
                <w:color w:val="auto"/>
              </w:rPr>
            </w:pPr>
            <w:r>
              <w:rPr>
                <w:rFonts w:ascii="Arial" w:cs="Arial" w:eastAsia="Arial" w:hAnsi="Arial"/>
                <w:sz w:val="13"/>
                <w:szCs w:val="13"/>
                <w:color w:val="auto"/>
              </w:rPr>
              <w:t>1,850</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2"/>
          </w:tcPr>
          <w:p>
            <w:pPr>
              <w:jc w:val="right"/>
              <w:ind w:right="20"/>
              <w:spacing w:after="0" w:line="121" w:lineRule="exact"/>
              <w:rPr>
                <w:sz w:val="20"/>
                <w:szCs w:val="20"/>
                <w:color w:val="auto"/>
              </w:rPr>
            </w:pPr>
            <w:r>
              <w:rPr>
                <w:rFonts w:ascii="Arial" w:cs="Arial" w:eastAsia="Arial" w:hAnsi="Arial"/>
                <w:sz w:val="13"/>
                <w:szCs w:val="13"/>
                <w:color w:val="auto"/>
              </w:rPr>
              <w:t>1,850,294</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4100" w:type="dxa"/>
            <w:vAlign w:val="bottom"/>
          </w:tcPr>
          <w:p>
            <w:pPr>
              <w:ind w:left="140"/>
              <w:spacing w:after="0"/>
              <w:rPr>
                <w:sz w:val="20"/>
                <w:szCs w:val="20"/>
                <w:color w:val="auto"/>
              </w:rPr>
            </w:pPr>
            <w:r>
              <w:rPr>
                <w:rFonts w:ascii="Arial" w:cs="Arial" w:eastAsia="Arial" w:hAnsi="Arial"/>
                <w:sz w:val="13"/>
                <w:szCs w:val="13"/>
                <w:color w:val="auto"/>
              </w:rPr>
              <w:t>(JF Acquisitions, LLC)</w:t>
            </w:r>
          </w:p>
        </w:tc>
        <w:tc>
          <w:tcPr>
            <w:tcW w:w="8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41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MidOcean PPL Holdings, Corp.</w:t>
            </w:r>
          </w:p>
        </w:tc>
        <w:tc>
          <w:tcPr>
            <w:tcW w:w="80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rPr>
              <w:t>—</w:t>
            </w:r>
          </w:p>
        </w:tc>
        <w:tc>
          <w:tcPr>
            <w:tcW w:w="2080" w:type="dxa"/>
            <w:vAlign w:val="bottom"/>
            <w:gridSpan w:val="2"/>
            <w:shd w:val="clear" w:color="auto" w:fill="CCEEFF"/>
          </w:tcPr>
          <w:p>
            <w:pPr>
              <w:jc w:val="center"/>
              <w:ind w:right="40"/>
              <w:spacing w:after="0" w:line="121" w:lineRule="exact"/>
              <w:rPr>
                <w:sz w:val="20"/>
                <w:szCs w:val="20"/>
                <w:color w:val="auto"/>
              </w:rPr>
            </w:pPr>
            <w:r>
              <w:rPr>
                <w:rFonts w:ascii="Arial" w:cs="Arial" w:eastAsia="Arial" w:hAnsi="Arial"/>
                <w:sz w:val="13"/>
                <w:szCs w:val="13"/>
                <w:color w:val="auto"/>
                <w:w w:val="86"/>
              </w:rPr>
              <w:t>Personal, Food and Miscellaneous</w:t>
            </w:r>
          </w:p>
        </w:tc>
        <w:tc>
          <w:tcPr>
            <w:tcW w:w="660" w:type="dxa"/>
            <w:vAlign w:val="bottom"/>
            <w:gridSpan w:val="2"/>
            <w:shd w:val="clear" w:color="auto" w:fill="CCEEFF"/>
          </w:tcPr>
          <w:p>
            <w:pPr>
              <w:jc w:val="right"/>
              <w:ind w:right="200"/>
              <w:spacing w:after="0" w:line="121"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200"/>
              <w:spacing w:after="0" w:line="121"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3"/>
                <w:szCs w:val="13"/>
                <w:color w:val="auto"/>
              </w:rPr>
              <w:t>3,000</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20"/>
              <w:spacing w:after="0" w:line="121" w:lineRule="exact"/>
              <w:rPr>
                <w:sz w:val="20"/>
                <w:szCs w:val="20"/>
                <w:color w:val="auto"/>
              </w:rPr>
            </w:pPr>
            <w:r>
              <w:rPr>
                <w:rFonts w:ascii="Arial" w:cs="Arial" w:eastAsia="Arial" w:hAnsi="Arial"/>
                <w:sz w:val="13"/>
                <w:szCs w:val="13"/>
                <w:color w:val="auto"/>
              </w:rPr>
              <w:t>3,000,000</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6,277,844</w:t>
            </w:r>
          </w:p>
        </w:tc>
        <w:tc>
          <w:tcPr>
            <w:tcW w:w="0" w:type="dxa"/>
            <w:vAlign w:val="bottom"/>
          </w:tcPr>
          <w:p>
            <w:pPr>
              <w:spacing w:after="0"/>
              <w:rPr>
                <w:sz w:val="1"/>
                <w:szCs w:val="1"/>
                <w:color w:val="auto"/>
              </w:rPr>
            </w:pPr>
          </w:p>
        </w:tc>
      </w:tr>
      <w:tr>
        <w:trPr>
          <w:trHeight w:val="163"/>
        </w:trPr>
        <w:tc>
          <w:tcPr>
            <w:tcW w:w="4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(Pre-Paid Legal Services, Inc.)</w:t>
            </w:r>
          </w:p>
        </w:tc>
        <w:tc>
          <w:tcPr>
            <w:tcW w:w="800" w:type="dxa"/>
            <w:vAlign w:val="bottom"/>
            <w:shd w:val="clear" w:color="auto" w:fill="CCEEFF"/>
          </w:tcPr>
          <w:p>
            <w:pPr>
              <w:spacing w:after="0"/>
              <w:rPr>
                <w:sz w:val="14"/>
                <w:szCs w:val="14"/>
                <w:color w:val="auto"/>
              </w:rPr>
            </w:pPr>
          </w:p>
        </w:tc>
        <w:tc>
          <w:tcPr>
            <w:tcW w:w="208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88"/>
              </w:rPr>
              <w:t>Services</w:t>
            </w:r>
          </w:p>
        </w:tc>
        <w:tc>
          <w:tcPr>
            <w:tcW w:w="4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100" w:type="dxa"/>
            <w:vAlign w:val="bottom"/>
          </w:tcPr>
          <w:p>
            <w:pPr>
              <w:spacing w:after="0" w:line="135" w:lineRule="exact"/>
              <w:rPr>
                <w:sz w:val="20"/>
                <w:szCs w:val="20"/>
                <w:color w:val="auto"/>
              </w:rPr>
            </w:pPr>
            <w:r>
              <w:rPr>
                <w:rFonts w:ascii="Arial" w:cs="Arial" w:eastAsia="Arial" w:hAnsi="Arial"/>
                <w:sz w:val="13"/>
                <w:szCs w:val="13"/>
                <w:color w:val="auto"/>
              </w:rPr>
              <w:t xml:space="preserve">New Gulf Resources, LLC (Warrants) </w:t>
            </w:r>
            <w:r>
              <w:rPr>
                <w:rFonts w:ascii="Arial" w:cs="Arial" w:eastAsia="Arial" w:hAnsi="Arial"/>
                <w:sz w:val="10"/>
                <w:szCs w:val="10"/>
                <w:color w:val="auto"/>
              </w:rPr>
              <w:t>(11)</w:t>
            </w:r>
          </w:p>
        </w:tc>
        <w:tc>
          <w:tcPr>
            <w:tcW w:w="800" w:type="dxa"/>
            <w:vAlign w:val="bottom"/>
          </w:tcPr>
          <w:p>
            <w:pPr>
              <w:jc w:val="center"/>
              <w:spacing w:after="0" w:line="135" w:lineRule="exact"/>
              <w:rPr>
                <w:sz w:val="20"/>
                <w:szCs w:val="20"/>
                <w:color w:val="auto"/>
              </w:rPr>
            </w:pPr>
            <w:r>
              <w:rPr>
                <w:rFonts w:ascii="Arial" w:cs="Arial" w:eastAsia="Arial" w:hAnsi="Arial"/>
                <w:sz w:val="13"/>
                <w:szCs w:val="13"/>
                <w:color w:val="auto"/>
                <w:w w:val="89"/>
              </w:rPr>
              <w:t>05/09/2024</w:t>
            </w:r>
          </w:p>
        </w:tc>
        <w:tc>
          <w:tcPr>
            <w:tcW w:w="2080" w:type="dxa"/>
            <w:vAlign w:val="bottom"/>
            <w:gridSpan w:val="2"/>
          </w:tcPr>
          <w:p>
            <w:pPr>
              <w:jc w:val="center"/>
              <w:ind w:right="40"/>
              <w:spacing w:after="0" w:line="135" w:lineRule="exact"/>
              <w:rPr>
                <w:sz w:val="20"/>
                <w:szCs w:val="20"/>
                <w:color w:val="auto"/>
              </w:rPr>
            </w:pPr>
            <w:r>
              <w:rPr>
                <w:rFonts w:ascii="Arial" w:cs="Arial" w:eastAsia="Arial" w:hAnsi="Arial"/>
                <w:sz w:val="13"/>
                <w:szCs w:val="13"/>
                <w:color w:val="auto"/>
                <w:w w:val="87"/>
              </w:rPr>
              <w:t>Oil and Gas</w:t>
            </w:r>
          </w:p>
        </w:tc>
        <w:tc>
          <w:tcPr>
            <w:tcW w:w="6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13,500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495,000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41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Patriot National, Inc. (Warrants)</w:t>
            </w:r>
          </w:p>
        </w:tc>
        <w:tc>
          <w:tcPr>
            <w:tcW w:w="8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11/27/2023</w:t>
            </w:r>
          </w:p>
        </w:tc>
        <w:tc>
          <w:tcPr>
            <w:tcW w:w="2080" w:type="dxa"/>
            <w:vAlign w:val="bottom"/>
            <w:gridSpan w:val="2"/>
            <w:shd w:val="clear" w:color="auto" w:fill="CCEEFF"/>
          </w:tcPr>
          <w:p>
            <w:pPr>
              <w:jc w:val="center"/>
              <w:ind w:right="40"/>
              <w:spacing w:after="0" w:line="135" w:lineRule="exact"/>
              <w:rPr>
                <w:sz w:val="20"/>
                <w:szCs w:val="20"/>
                <w:color w:val="auto"/>
              </w:rPr>
            </w:pPr>
            <w:r>
              <w:rPr>
                <w:rFonts w:ascii="Arial" w:cs="Arial" w:eastAsia="Arial" w:hAnsi="Arial"/>
                <w:sz w:val="13"/>
                <w:szCs w:val="13"/>
                <w:color w:val="auto"/>
                <w:w w:val="84"/>
              </w:rPr>
              <w:t>Insurance</w:t>
            </w:r>
          </w:p>
        </w:tc>
        <w:tc>
          <w:tcPr>
            <w:tcW w:w="6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62,932</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1,290,903</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5,145,886</w:t>
            </w:r>
          </w:p>
        </w:tc>
        <w:tc>
          <w:tcPr>
            <w:tcW w:w="0" w:type="dxa"/>
            <w:vAlign w:val="bottom"/>
          </w:tcPr>
          <w:p>
            <w:pPr>
              <w:spacing w:after="0"/>
              <w:rPr>
                <w:sz w:val="1"/>
                <w:szCs w:val="1"/>
                <w:color w:val="auto"/>
              </w:rPr>
            </w:pPr>
          </w:p>
        </w:tc>
      </w:tr>
      <w:tr>
        <w:trPr>
          <w:trHeight w:val="135"/>
        </w:trPr>
        <w:tc>
          <w:tcPr>
            <w:tcW w:w="4100" w:type="dxa"/>
            <w:vAlign w:val="bottom"/>
          </w:tcPr>
          <w:p>
            <w:pPr>
              <w:spacing w:after="0" w:line="135" w:lineRule="exact"/>
              <w:rPr>
                <w:sz w:val="20"/>
                <w:szCs w:val="20"/>
                <w:color w:val="auto"/>
              </w:rPr>
            </w:pPr>
            <w:r>
              <w:rPr>
                <w:rFonts w:ascii="Arial" w:cs="Arial" w:eastAsia="Arial" w:hAnsi="Arial"/>
                <w:sz w:val="13"/>
                <w:szCs w:val="13"/>
                <w:color w:val="auto"/>
              </w:rPr>
              <w:t>Paradigm Acquisition Corp.</w:t>
            </w:r>
          </w:p>
        </w:tc>
        <w:tc>
          <w:tcPr>
            <w:tcW w:w="800" w:type="dxa"/>
            <w:vAlign w:val="bottom"/>
          </w:tcPr>
          <w:p>
            <w:pPr>
              <w:jc w:val="center"/>
              <w:spacing w:after="0" w:line="135" w:lineRule="exact"/>
              <w:rPr>
                <w:sz w:val="20"/>
                <w:szCs w:val="20"/>
                <w:color w:val="auto"/>
              </w:rPr>
            </w:pPr>
            <w:r>
              <w:rPr>
                <w:rFonts w:ascii="Arial" w:cs="Arial" w:eastAsia="Arial" w:hAnsi="Arial"/>
                <w:sz w:val="13"/>
                <w:szCs w:val="13"/>
                <w:color w:val="auto"/>
              </w:rPr>
              <w:t>—</w:t>
            </w:r>
          </w:p>
        </w:tc>
        <w:tc>
          <w:tcPr>
            <w:tcW w:w="2080" w:type="dxa"/>
            <w:vAlign w:val="bottom"/>
            <w:gridSpan w:val="2"/>
          </w:tcPr>
          <w:p>
            <w:pPr>
              <w:jc w:val="center"/>
              <w:ind w:right="40"/>
              <w:spacing w:after="0" w:line="135" w:lineRule="exact"/>
              <w:rPr>
                <w:sz w:val="20"/>
                <w:szCs w:val="20"/>
                <w:color w:val="auto"/>
              </w:rPr>
            </w:pPr>
            <w:r>
              <w:rPr>
                <w:rFonts w:ascii="Arial" w:cs="Arial" w:eastAsia="Arial" w:hAnsi="Arial"/>
                <w:sz w:val="13"/>
                <w:szCs w:val="13"/>
                <w:color w:val="auto"/>
                <w:w w:val="86"/>
              </w:rPr>
              <w:t>Healthcare, Education and Childcare</w:t>
            </w:r>
          </w:p>
        </w:tc>
        <w:tc>
          <w:tcPr>
            <w:tcW w:w="6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20,000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770,804</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3,032,444</w:t>
            </w:r>
          </w:p>
        </w:tc>
        <w:tc>
          <w:tcPr>
            <w:tcW w:w="0" w:type="dxa"/>
            <w:vAlign w:val="bottom"/>
          </w:tcPr>
          <w:p>
            <w:pPr>
              <w:spacing w:after="0"/>
              <w:rPr>
                <w:sz w:val="1"/>
                <w:szCs w:val="1"/>
                <w:color w:val="auto"/>
              </w:rPr>
            </w:pPr>
          </w:p>
        </w:tc>
      </w:tr>
      <w:tr>
        <w:trPr>
          <w:trHeight w:val="121"/>
        </w:trPr>
        <w:tc>
          <w:tcPr>
            <w:tcW w:w="41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 xml:space="preserve">Power Products Holdings, LLC, Class A Units </w:t>
            </w:r>
            <w:r>
              <w:rPr>
                <w:rFonts w:ascii="Arial" w:cs="Arial" w:eastAsia="Arial" w:hAnsi="Arial"/>
                <w:sz w:val="10"/>
                <w:szCs w:val="10"/>
                <w:color w:val="auto"/>
              </w:rPr>
              <w:t>(11)</w:t>
            </w:r>
          </w:p>
        </w:tc>
        <w:tc>
          <w:tcPr>
            <w:tcW w:w="80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rPr>
              <w:t>—</w:t>
            </w:r>
          </w:p>
        </w:tc>
        <w:tc>
          <w:tcPr>
            <w:tcW w:w="2080" w:type="dxa"/>
            <w:vAlign w:val="bottom"/>
            <w:gridSpan w:val="2"/>
            <w:shd w:val="clear" w:color="auto" w:fill="CCEEFF"/>
          </w:tcPr>
          <w:p>
            <w:pPr>
              <w:jc w:val="center"/>
              <w:ind w:right="40"/>
              <w:spacing w:after="0" w:line="121" w:lineRule="exact"/>
              <w:rPr>
                <w:sz w:val="20"/>
                <w:szCs w:val="20"/>
                <w:color w:val="auto"/>
              </w:rPr>
            </w:pPr>
            <w:r>
              <w:rPr>
                <w:rFonts w:ascii="Arial" w:cs="Arial" w:eastAsia="Arial" w:hAnsi="Arial"/>
                <w:sz w:val="13"/>
                <w:szCs w:val="13"/>
                <w:color w:val="auto"/>
                <w:w w:val="88"/>
              </w:rPr>
              <w:t>Electronics</w:t>
            </w:r>
          </w:p>
        </w:tc>
        <w:tc>
          <w:tcPr>
            <w:tcW w:w="660" w:type="dxa"/>
            <w:vAlign w:val="bottom"/>
            <w:gridSpan w:val="2"/>
            <w:shd w:val="clear" w:color="auto" w:fill="CCEEFF"/>
          </w:tcPr>
          <w:p>
            <w:pPr>
              <w:jc w:val="right"/>
              <w:ind w:right="200"/>
              <w:spacing w:after="0" w:line="121"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200"/>
              <w:spacing w:after="0" w:line="121"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3"/>
                <w:szCs w:val="13"/>
                <w:color w:val="auto"/>
                <w:w w:val="93"/>
              </w:rPr>
              <w:t>1,350,000</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20"/>
              <w:spacing w:after="0" w:line="121" w:lineRule="exact"/>
              <w:rPr>
                <w:sz w:val="20"/>
                <w:szCs w:val="20"/>
                <w:color w:val="auto"/>
              </w:rPr>
            </w:pPr>
            <w:r>
              <w:rPr>
                <w:rFonts w:ascii="Arial" w:cs="Arial" w:eastAsia="Arial" w:hAnsi="Arial"/>
                <w:sz w:val="13"/>
                <w:szCs w:val="13"/>
                <w:color w:val="auto"/>
              </w:rPr>
              <w:t>1,350,000</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1,406,772</w:t>
            </w:r>
          </w:p>
        </w:tc>
        <w:tc>
          <w:tcPr>
            <w:tcW w:w="0" w:type="dxa"/>
            <w:vAlign w:val="bottom"/>
          </w:tcPr>
          <w:p>
            <w:pPr>
              <w:spacing w:after="0"/>
              <w:rPr>
                <w:sz w:val="1"/>
                <w:szCs w:val="1"/>
                <w:color w:val="auto"/>
              </w:rPr>
            </w:pPr>
          </w:p>
        </w:tc>
      </w:tr>
      <w:tr>
        <w:trPr>
          <w:trHeight w:val="149"/>
        </w:trPr>
        <w:tc>
          <w:tcPr>
            <w:tcW w:w="4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(Power Products, LLC)</w:t>
            </w:r>
          </w:p>
        </w:tc>
        <w:tc>
          <w:tcPr>
            <w:tcW w:w="800" w:type="dxa"/>
            <w:vAlign w:val="bottom"/>
            <w:shd w:val="clear" w:color="auto" w:fill="CCEEFF"/>
          </w:tcPr>
          <w:p>
            <w:pPr>
              <w:spacing w:after="0"/>
              <w:rPr>
                <w:sz w:val="12"/>
                <w:szCs w:val="12"/>
                <w:color w:val="auto"/>
              </w:rPr>
            </w:pPr>
          </w:p>
        </w:tc>
        <w:tc>
          <w:tcPr>
            <w:tcW w:w="1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4100" w:type="dxa"/>
            <w:vAlign w:val="bottom"/>
          </w:tcPr>
          <w:p>
            <w:pPr>
              <w:spacing w:after="0" w:line="121" w:lineRule="exact"/>
              <w:rPr>
                <w:sz w:val="20"/>
                <w:szCs w:val="20"/>
                <w:color w:val="auto"/>
              </w:rPr>
            </w:pPr>
            <w:r>
              <w:rPr>
                <w:rFonts w:ascii="Arial" w:cs="Arial" w:eastAsia="Arial" w:hAnsi="Arial"/>
                <w:sz w:val="13"/>
                <w:szCs w:val="13"/>
                <w:color w:val="auto"/>
              </w:rPr>
              <w:t xml:space="preserve">Power Products Holdings, LLC, Class B Units </w:t>
            </w:r>
            <w:r>
              <w:rPr>
                <w:rFonts w:ascii="Arial" w:cs="Arial" w:eastAsia="Arial" w:hAnsi="Arial"/>
                <w:sz w:val="10"/>
                <w:szCs w:val="10"/>
                <w:color w:val="auto"/>
              </w:rPr>
              <w:t>(11)</w:t>
            </w:r>
          </w:p>
        </w:tc>
        <w:tc>
          <w:tcPr>
            <w:tcW w:w="800" w:type="dxa"/>
            <w:vAlign w:val="bottom"/>
          </w:tcPr>
          <w:p>
            <w:pPr>
              <w:jc w:val="center"/>
              <w:spacing w:after="0" w:line="121" w:lineRule="exact"/>
              <w:rPr>
                <w:sz w:val="20"/>
                <w:szCs w:val="20"/>
                <w:color w:val="auto"/>
              </w:rPr>
            </w:pPr>
            <w:r>
              <w:rPr>
                <w:rFonts w:ascii="Arial" w:cs="Arial" w:eastAsia="Arial" w:hAnsi="Arial"/>
                <w:sz w:val="13"/>
                <w:szCs w:val="13"/>
                <w:color w:val="auto"/>
              </w:rPr>
              <w:t>—</w:t>
            </w:r>
          </w:p>
        </w:tc>
        <w:tc>
          <w:tcPr>
            <w:tcW w:w="2080" w:type="dxa"/>
            <w:vAlign w:val="bottom"/>
            <w:gridSpan w:val="2"/>
          </w:tcPr>
          <w:p>
            <w:pPr>
              <w:jc w:val="center"/>
              <w:ind w:right="40"/>
              <w:spacing w:after="0" w:line="121" w:lineRule="exact"/>
              <w:rPr>
                <w:sz w:val="20"/>
                <w:szCs w:val="20"/>
                <w:color w:val="auto"/>
              </w:rPr>
            </w:pPr>
            <w:r>
              <w:rPr>
                <w:rFonts w:ascii="Arial" w:cs="Arial" w:eastAsia="Arial" w:hAnsi="Arial"/>
                <w:sz w:val="13"/>
                <w:szCs w:val="13"/>
                <w:color w:val="auto"/>
                <w:w w:val="88"/>
              </w:rPr>
              <w:t>Electronics</w:t>
            </w:r>
          </w:p>
        </w:tc>
        <w:tc>
          <w:tcPr>
            <w:tcW w:w="660" w:type="dxa"/>
            <w:vAlign w:val="bottom"/>
            <w:gridSpan w:val="2"/>
          </w:tcPr>
          <w:p>
            <w:pPr>
              <w:jc w:val="right"/>
              <w:ind w:right="200"/>
              <w:spacing w:after="0" w:line="121"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00"/>
              <w:spacing w:after="0" w:line="121"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00"/>
              <w:spacing w:after="0" w:line="121" w:lineRule="exact"/>
              <w:rPr>
                <w:sz w:val="20"/>
                <w:szCs w:val="20"/>
                <w:color w:val="auto"/>
              </w:rPr>
            </w:pPr>
            <w:r>
              <w:rPr>
                <w:rFonts w:ascii="Arial" w:cs="Arial" w:eastAsia="Arial" w:hAnsi="Arial"/>
                <w:sz w:val="13"/>
                <w:szCs w:val="13"/>
                <w:color w:val="auto"/>
              </w:rPr>
              <w:t>150,000</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2"/>
          </w:tcPr>
          <w:p>
            <w:pPr>
              <w:jc w:val="right"/>
              <w:ind w:right="20"/>
              <w:spacing w:after="0" w:line="121" w:lineRule="exact"/>
              <w:rPr>
                <w:sz w:val="20"/>
                <w:szCs w:val="20"/>
                <w:color w:val="auto"/>
              </w:rPr>
            </w:pPr>
            <w:r>
              <w:rPr>
                <w:rFonts w:ascii="Arial" w:cs="Arial" w:eastAsia="Arial" w:hAnsi="Arial"/>
                <w:sz w:val="13"/>
                <w:szCs w:val="13"/>
                <w:color w:val="auto"/>
              </w:rPr>
              <w:t>150,000</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434,910</w:t>
            </w:r>
          </w:p>
        </w:tc>
        <w:tc>
          <w:tcPr>
            <w:tcW w:w="0" w:type="dxa"/>
            <w:vAlign w:val="bottom"/>
          </w:tcPr>
          <w:p>
            <w:pPr>
              <w:spacing w:after="0"/>
              <w:rPr>
                <w:sz w:val="1"/>
                <w:szCs w:val="1"/>
                <w:color w:val="auto"/>
              </w:rPr>
            </w:pPr>
          </w:p>
        </w:tc>
      </w:tr>
      <w:tr>
        <w:trPr>
          <w:trHeight w:val="149"/>
        </w:trPr>
        <w:tc>
          <w:tcPr>
            <w:tcW w:w="4100" w:type="dxa"/>
            <w:vAlign w:val="bottom"/>
          </w:tcPr>
          <w:p>
            <w:pPr>
              <w:ind w:left="140"/>
              <w:spacing w:after="0"/>
              <w:rPr>
                <w:sz w:val="20"/>
                <w:szCs w:val="20"/>
                <w:color w:val="auto"/>
              </w:rPr>
            </w:pPr>
            <w:r>
              <w:rPr>
                <w:rFonts w:ascii="Arial" w:cs="Arial" w:eastAsia="Arial" w:hAnsi="Arial"/>
                <w:sz w:val="13"/>
                <w:szCs w:val="13"/>
                <w:color w:val="auto"/>
              </w:rPr>
              <w:t>(Power Products, LLC)</w:t>
            </w:r>
          </w:p>
        </w:tc>
        <w:tc>
          <w:tcPr>
            <w:tcW w:w="8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1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RAM Energy LLC</w:t>
            </w:r>
          </w:p>
        </w:tc>
        <w:tc>
          <w:tcPr>
            <w:tcW w:w="8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rPr>
              <w:t>—</w:t>
            </w:r>
          </w:p>
        </w:tc>
        <w:tc>
          <w:tcPr>
            <w:tcW w:w="2080" w:type="dxa"/>
            <w:vAlign w:val="bottom"/>
            <w:gridSpan w:val="2"/>
            <w:shd w:val="clear" w:color="auto" w:fill="CCEEFF"/>
          </w:tcPr>
          <w:p>
            <w:pPr>
              <w:jc w:val="center"/>
              <w:ind w:right="40"/>
              <w:spacing w:after="0" w:line="135" w:lineRule="exact"/>
              <w:rPr>
                <w:sz w:val="20"/>
                <w:szCs w:val="20"/>
                <w:color w:val="auto"/>
              </w:rPr>
            </w:pPr>
            <w:r>
              <w:rPr>
                <w:rFonts w:ascii="Arial" w:cs="Arial" w:eastAsia="Arial" w:hAnsi="Arial"/>
                <w:sz w:val="13"/>
                <w:szCs w:val="13"/>
                <w:color w:val="auto"/>
                <w:w w:val="89"/>
              </w:rPr>
              <w:t>Energy and Utilities</w:t>
            </w:r>
          </w:p>
        </w:tc>
        <w:tc>
          <w:tcPr>
            <w:tcW w:w="6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828</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827,922</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4100" w:type="dxa"/>
            <w:vAlign w:val="bottom"/>
          </w:tcPr>
          <w:p>
            <w:pPr>
              <w:spacing w:after="0" w:line="135" w:lineRule="exact"/>
              <w:rPr>
                <w:sz w:val="20"/>
                <w:szCs w:val="20"/>
                <w:color w:val="auto"/>
              </w:rPr>
            </w:pPr>
            <w:r>
              <w:rPr>
                <w:rFonts w:ascii="Arial" w:cs="Arial" w:eastAsia="Arial" w:hAnsi="Arial"/>
                <w:sz w:val="13"/>
                <w:szCs w:val="13"/>
                <w:color w:val="auto"/>
              </w:rPr>
              <w:t>Ride Holdings, Inc.</w:t>
            </w:r>
          </w:p>
        </w:tc>
        <w:tc>
          <w:tcPr>
            <w:tcW w:w="800" w:type="dxa"/>
            <w:vAlign w:val="bottom"/>
          </w:tcPr>
          <w:p>
            <w:pPr>
              <w:jc w:val="center"/>
              <w:spacing w:after="0" w:line="135" w:lineRule="exact"/>
              <w:rPr>
                <w:sz w:val="20"/>
                <w:szCs w:val="20"/>
                <w:color w:val="auto"/>
              </w:rPr>
            </w:pPr>
            <w:r>
              <w:rPr>
                <w:rFonts w:ascii="Arial" w:cs="Arial" w:eastAsia="Arial" w:hAnsi="Arial"/>
                <w:sz w:val="13"/>
                <w:szCs w:val="13"/>
                <w:color w:val="auto"/>
              </w:rPr>
              <w:t>—</w:t>
            </w:r>
          </w:p>
        </w:tc>
        <w:tc>
          <w:tcPr>
            <w:tcW w:w="2080" w:type="dxa"/>
            <w:vAlign w:val="bottom"/>
            <w:gridSpan w:val="2"/>
          </w:tcPr>
          <w:p>
            <w:pPr>
              <w:jc w:val="center"/>
              <w:ind w:right="40"/>
              <w:spacing w:after="0" w:line="135" w:lineRule="exact"/>
              <w:rPr>
                <w:sz w:val="20"/>
                <w:szCs w:val="20"/>
                <w:color w:val="auto"/>
              </w:rPr>
            </w:pPr>
            <w:r>
              <w:rPr>
                <w:rFonts w:ascii="Arial" w:cs="Arial" w:eastAsia="Arial" w:hAnsi="Arial"/>
                <w:sz w:val="13"/>
                <w:szCs w:val="13"/>
                <w:color w:val="auto"/>
                <w:w w:val="86"/>
              </w:rPr>
              <w:t>Personal Transportation</w:t>
            </w:r>
          </w:p>
        </w:tc>
        <w:tc>
          <w:tcPr>
            <w:tcW w:w="6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9,882</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11,314</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41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Roto Holdings, Inc.</w:t>
            </w:r>
          </w:p>
        </w:tc>
        <w:tc>
          <w:tcPr>
            <w:tcW w:w="8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rPr>
              <w:t>—</w:t>
            </w:r>
          </w:p>
        </w:tc>
        <w:tc>
          <w:tcPr>
            <w:tcW w:w="2080" w:type="dxa"/>
            <w:vAlign w:val="bottom"/>
            <w:gridSpan w:val="2"/>
            <w:shd w:val="clear" w:color="auto" w:fill="CCEEFF"/>
          </w:tcPr>
          <w:p>
            <w:pPr>
              <w:jc w:val="center"/>
              <w:ind w:right="40"/>
              <w:spacing w:after="0" w:line="135" w:lineRule="exact"/>
              <w:rPr>
                <w:sz w:val="20"/>
                <w:szCs w:val="20"/>
                <w:color w:val="auto"/>
              </w:rPr>
            </w:pPr>
            <w:r>
              <w:rPr>
                <w:rFonts w:ascii="Arial" w:cs="Arial" w:eastAsia="Arial" w:hAnsi="Arial"/>
                <w:sz w:val="13"/>
                <w:szCs w:val="13"/>
                <w:color w:val="auto"/>
                <w:w w:val="88"/>
              </w:rPr>
              <w:t>Manufacturing / Basic Industries</w:t>
            </w:r>
          </w:p>
        </w:tc>
        <w:tc>
          <w:tcPr>
            <w:tcW w:w="6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1,330</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133,000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133,000</w:t>
            </w:r>
          </w:p>
        </w:tc>
        <w:tc>
          <w:tcPr>
            <w:tcW w:w="0" w:type="dxa"/>
            <w:vAlign w:val="bottom"/>
          </w:tcPr>
          <w:p>
            <w:pPr>
              <w:spacing w:after="0"/>
              <w:rPr>
                <w:sz w:val="1"/>
                <w:szCs w:val="1"/>
                <w:color w:val="auto"/>
              </w:rPr>
            </w:pPr>
          </w:p>
        </w:tc>
      </w:tr>
      <w:tr>
        <w:trPr>
          <w:trHeight w:val="135"/>
        </w:trPr>
        <w:tc>
          <w:tcPr>
            <w:tcW w:w="4100" w:type="dxa"/>
            <w:vAlign w:val="bottom"/>
          </w:tcPr>
          <w:p>
            <w:pPr>
              <w:spacing w:after="0" w:line="135" w:lineRule="exact"/>
              <w:rPr>
                <w:sz w:val="20"/>
                <w:szCs w:val="20"/>
                <w:color w:val="auto"/>
              </w:rPr>
            </w:pPr>
            <w:r>
              <w:rPr>
                <w:rFonts w:ascii="Arial" w:cs="Arial" w:eastAsia="Arial" w:hAnsi="Arial"/>
                <w:sz w:val="13"/>
                <w:szCs w:val="13"/>
                <w:color w:val="auto"/>
              </w:rPr>
              <w:t>SPG Boyd Holdings Corp.</w:t>
            </w:r>
          </w:p>
        </w:tc>
        <w:tc>
          <w:tcPr>
            <w:tcW w:w="800" w:type="dxa"/>
            <w:vAlign w:val="bottom"/>
          </w:tcPr>
          <w:p>
            <w:pPr>
              <w:jc w:val="center"/>
              <w:spacing w:after="0" w:line="135" w:lineRule="exact"/>
              <w:rPr>
                <w:sz w:val="20"/>
                <w:szCs w:val="20"/>
                <w:color w:val="auto"/>
              </w:rPr>
            </w:pPr>
            <w:r>
              <w:rPr>
                <w:rFonts w:ascii="Arial" w:cs="Arial" w:eastAsia="Arial" w:hAnsi="Arial"/>
                <w:sz w:val="13"/>
                <w:szCs w:val="13"/>
                <w:color w:val="auto"/>
              </w:rPr>
              <w:t>—</w:t>
            </w:r>
          </w:p>
        </w:tc>
        <w:tc>
          <w:tcPr>
            <w:tcW w:w="2080" w:type="dxa"/>
            <w:vAlign w:val="bottom"/>
            <w:gridSpan w:val="2"/>
          </w:tcPr>
          <w:p>
            <w:pPr>
              <w:jc w:val="center"/>
              <w:ind w:right="40"/>
              <w:spacing w:after="0" w:line="135" w:lineRule="exact"/>
              <w:rPr>
                <w:sz w:val="20"/>
                <w:szCs w:val="20"/>
                <w:color w:val="auto"/>
              </w:rPr>
            </w:pPr>
            <w:r>
              <w:rPr>
                <w:rFonts w:ascii="Arial" w:cs="Arial" w:eastAsia="Arial" w:hAnsi="Arial"/>
                <w:sz w:val="13"/>
                <w:szCs w:val="13"/>
                <w:color w:val="auto"/>
                <w:w w:val="86"/>
              </w:rPr>
              <w:t>Chemical, Plastic and Rubber</w:t>
            </w:r>
          </w:p>
        </w:tc>
        <w:tc>
          <w:tcPr>
            <w:tcW w:w="6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3,000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2,419,203</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11,188,429</w:t>
            </w:r>
          </w:p>
        </w:tc>
        <w:tc>
          <w:tcPr>
            <w:tcW w:w="0" w:type="dxa"/>
            <w:vAlign w:val="bottom"/>
          </w:tcPr>
          <w:p>
            <w:pPr>
              <w:spacing w:after="0"/>
              <w:rPr>
                <w:sz w:val="1"/>
                <w:szCs w:val="1"/>
                <w:color w:val="auto"/>
              </w:rPr>
            </w:pPr>
          </w:p>
        </w:tc>
      </w:tr>
      <w:tr>
        <w:trPr>
          <w:trHeight w:val="135"/>
        </w:trPr>
        <w:tc>
          <w:tcPr>
            <w:tcW w:w="41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TRAK Acquisition Corp. (Warrants)</w:t>
            </w:r>
          </w:p>
        </w:tc>
        <w:tc>
          <w:tcPr>
            <w:tcW w:w="8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12/29/2019</w:t>
            </w:r>
          </w:p>
        </w:tc>
        <w:tc>
          <w:tcPr>
            <w:tcW w:w="2080" w:type="dxa"/>
            <w:vAlign w:val="bottom"/>
            <w:gridSpan w:val="2"/>
            <w:shd w:val="clear" w:color="auto" w:fill="CCEEFF"/>
          </w:tcPr>
          <w:p>
            <w:pPr>
              <w:jc w:val="center"/>
              <w:ind w:right="40"/>
              <w:spacing w:after="0" w:line="135" w:lineRule="exact"/>
              <w:rPr>
                <w:sz w:val="20"/>
                <w:szCs w:val="20"/>
                <w:color w:val="auto"/>
              </w:rPr>
            </w:pPr>
            <w:r>
              <w:rPr>
                <w:rFonts w:ascii="Arial" w:cs="Arial" w:eastAsia="Arial" w:hAnsi="Arial"/>
                <w:sz w:val="13"/>
                <w:szCs w:val="13"/>
                <w:color w:val="auto"/>
                <w:w w:val="86"/>
              </w:rPr>
              <w:t>Business Services</w:t>
            </w:r>
          </w:p>
        </w:tc>
        <w:tc>
          <w:tcPr>
            <w:tcW w:w="6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3,500</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29,400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320,432</w:t>
            </w:r>
          </w:p>
        </w:tc>
        <w:tc>
          <w:tcPr>
            <w:tcW w:w="0" w:type="dxa"/>
            <w:vAlign w:val="bottom"/>
          </w:tcPr>
          <w:p>
            <w:pPr>
              <w:spacing w:after="0"/>
              <w:rPr>
                <w:sz w:val="1"/>
                <w:szCs w:val="1"/>
                <w:color w:val="auto"/>
              </w:rPr>
            </w:pPr>
          </w:p>
        </w:tc>
      </w:tr>
      <w:tr>
        <w:trPr>
          <w:trHeight w:val="135"/>
        </w:trPr>
        <w:tc>
          <w:tcPr>
            <w:tcW w:w="4100" w:type="dxa"/>
            <w:vAlign w:val="bottom"/>
          </w:tcPr>
          <w:p>
            <w:pPr>
              <w:spacing w:after="0" w:line="135" w:lineRule="exact"/>
              <w:rPr>
                <w:sz w:val="20"/>
                <w:szCs w:val="20"/>
                <w:color w:val="auto"/>
              </w:rPr>
            </w:pPr>
            <w:r>
              <w:rPr>
                <w:rFonts w:ascii="Arial" w:cs="Arial" w:eastAsia="Arial" w:hAnsi="Arial"/>
                <w:sz w:val="13"/>
                <w:szCs w:val="13"/>
                <w:color w:val="auto"/>
              </w:rPr>
              <w:t>Vestcom Parent Holdings, Inc.</w:t>
            </w:r>
          </w:p>
        </w:tc>
        <w:tc>
          <w:tcPr>
            <w:tcW w:w="800" w:type="dxa"/>
            <w:vAlign w:val="bottom"/>
          </w:tcPr>
          <w:p>
            <w:pPr>
              <w:jc w:val="center"/>
              <w:spacing w:after="0" w:line="135" w:lineRule="exact"/>
              <w:rPr>
                <w:sz w:val="20"/>
                <w:szCs w:val="20"/>
                <w:color w:val="auto"/>
              </w:rPr>
            </w:pPr>
            <w:r>
              <w:rPr>
                <w:rFonts w:ascii="Arial" w:cs="Arial" w:eastAsia="Arial" w:hAnsi="Arial"/>
                <w:sz w:val="13"/>
                <w:szCs w:val="13"/>
                <w:color w:val="auto"/>
              </w:rPr>
              <w:t>—</w:t>
            </w:r>
          </w:p>
        </w:tc>
        <w:tc>
          <w:tcPr>
            <w:tcW w:w="2080" w:type="dxa"/>
            <w:vAlign w:val="bottom"/>
            <w:gridSpan w:val="2"/>
          </w:tcPr>
          <w:p>
            <w:pPr>
              <w:jc w:val="center"/>
              <w:ind w:right="40"/>
              <w:spacing w:after="0" w:line="135" w:lineRule="exact"/>
              <w:rPr>
                <w:sz w:val="20"/>
                <w:szCs w:val="20"/>
                <w:color w:val="auto"/>
              </w:rPr>
            </w:pPr>
            <w:r>
              <w:rPr>
                <w:rFonts w:ascii="Arial" w:cs="Arial" w:eastAsia="Arial" w:hAnsi="Arial"/>
                <w:sz w:val="13"/>
                <w:szCs w:val="13"/>
                <w:color w:val="auto"/>
                <w:w w:val="90"/>
              </w:rPr>
              <w:t>Printing and Publishing</w:t>
            </w:r>
          </w:p>
        </w:tc>
        <w:tc>
          <w:tcPr>
            <w:tcW w:w="6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211,797</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793,873</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4,062,842</w:t>
            </w:r>
          </w:p>
        </w:tc>
        <w:tc>
          <w:tcPr>
            <w:tcW w:w="0" w:type="dxa"/>
            <w:vAlign w:val="bottom"/>
          </w:tcPr>
          <w:p>
            <w:pPr>
              <w:spacing w:after="0"/>
              <w:rPr>
                <w:sz w:val="1"/>
                <w:szCs w:val="1"/>
                <w:color w:val="auto"/>
              </w:rPr>
            </w:pPr>
          </w:p>
        </w:tc>
      </w:tr>
      <w:tr>
        <w:trPr>
          <w:trHeight w:val="135"/>
        </w:trPr>
        <w:tc>
          <w:tcPr>
            <w:tcW w:w="41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VText Holdings, Inc.</w:t>
            </w:r>
          </w:p>
        </w:tc>
        <w:tc>
          <w:tcPr>
            <w:tcW w:w="8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rPr>
              <w:t>—</w:t>
            </w:r>
          </w:p>
        </w:tc>
        <w:tc>
          <w:tcPr>
            <w:tcW w:w="2080" w:type="dxa"/>
            <w:vAlign w:val="bottom"/>
            <w:gridSpan w:val="2"/>
            <w:shd w:val="clear" w:color="auto" w:fill="CCEEFF"/>
          </w:tcPr>
          <w:p>
            <w:pPr>
              <w:jc w:val="center"/>
              <w:ind w:right="40"/>
              <w:spacing w:after="0" w:line="135" w:lineRule="exact"/>
              <w:rPr>
                <w:sz w:val="20"/>
                <w:szCs w:val="20"/>
                <w:color w:val="auto"/>
              </w:rPr>
            </w:pPr>
            <w:r>
              <w:rPr>
                <w:rFonts w:ascii="Arial" w:cs="Arial" w:eastAsia="Arial" w:hAnsi="Arial"/>
                <w:sz w:val="13"/>
                <w:szCs w:val="13"/>
                <w:color w:val="auto"/>
                <w:w w:val="86"/>
              </w:rPr>
              <w:t>Business Services</w:t>
            </w:r>
          </w:p>
        </w:tc>
        <w:tc>
          <w:tcPr>
            <w:tcW w:w="6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35,526</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4,050,000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5,016,160</w:t>
            </w:r>
          </w:p>
        </w:tc>
        <w:tc>
          <w:tcPr>
            <w:tcW w:w="0" w:type="dxa"/>
            <w:vAlign w:val="bottom"/>
          </w:tcPr>
          <w:p>
            <w:pPr>
              <w:spacing w:after="0"/>
              <w:rPr>
                <w:sz w:val="1"/>
                <w:szCs w:val="1"/>
                <w:color w:val="auto"/>
              </w:rPr>
            </w:pPr>
          </w:p>
        </w:tc>
      </w:tr>
      <w:tr>
        <w:trPr>
          <w:trHeight w:val="142"/>
        </w:trPr>
        <w:tc>
          <w:tcPr>
            <w:tcW w:w="4100" w:type="dxa"/>
            <w:vAlign w:val="bottom"/>
          </w:tcPr>
          <w:p>
            <w:pPr>
              <w:spacing w:after="0" w:line="135" w:lineRule="exact"/>
              <w:rPr>
                <w:sz w:val="20"/>
                <w:szCs w:val="20"/>
                <w:color w:val="auto"/>
              </w:rPr>
            </w:pPr>
            <w:r>
              <w:rPr>
                <w:rFonts w:ascii="Arial" w:cs="Arial" w:eastAsia="Arial" w:hAnsi="Arial"/>
                <w:sz w:val="13"/>
                <w:szCs w:val="13"/>
                <w:color w:val="auto"/>
              </w:rPr>
              <w:t>Z Wireless Holdings, Inc. (Warrants)</w:t>
            </w:r>
          </w:p>
        </w:tc>
        <w:tc>
          <w:tcPr>
            <w:tcW w:w="800" w:type="dxa"/>
            <w:vAlign w:val="bottom"/>
          </w:tcPr>
          <w:p>
            <w:pPr>
              <w:jc w:val="center"/>
              <w:spacing w:after="0" w:line="135" w:lineRule="exact"/>
              <w:rPr>
                <w:sz w:val="20"/>
                <w:szCs w:val="20"/>
                <w:color w:val="auto"/>
              </w:rPr>
            </w:pPr>
            <w:r>
              <w:rPr>
                <w:rFonts w:ascii="Arial" w:cs="Arial" w:eastAsia="Arial" w:hAnsi="Arial"/>
                <w:sz w:val="13"/>
                <w:szCs w:val="13"/>
                <w:color w:val="auto"/>
                <w:w w:val="89"/>
              </w:rPr>
              <w:t>10/21/2021</w:t>
            </w:r>
          </w:p>
        </w:tc>
        <w:tc>
          <w:tcPr>
            <w:tcW w:w="2080" w:type="dxa"/>
            <w:vAlign w:val="bottom"/>
            <w:gridSpan w:val="2"/>
          </w:tcPr>
          <w:p>
            <w:pPr>
              <w:jc w:val="center"/>
              <w:ind w:right="20"/>
              <w:spacing w:after="0" w:line="135" w:lineRule="exact"/>
              <w:rPr>
                <w:sz w:val="20"/>
                <w:szCs w:val="20"/>
                <w:color w:val="auto"/>
              </w:rPr>
            </w:pPr>
            <w:r>
              <w:rPr>
                <w:rFonts w:ascii="Arial" w:cs="Arial" w:eastAsia="Arial" w:hAnsi="Arial"/>
                <w:sz w:val="13"/>
                <w:szCs w:val="13"/>
                <w:color w:val="auto"/>
                <w:w w:val="90"/>
              </w:rPr>
              <w:t>Retail</w:t>
            </w:r>
          </w:p>
        </w:tc>
        <w:tc>
          <w:tcPr>
            <w:tcW w:w="6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1,736</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168,799</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924,281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10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Common Equity/Partnership Interests/Warrants</w:t>
            </w:r>
          </w:p>
        </w:tc>
        <w:tc>
          <w:tcPr>
            <w:tcW w:w="800" w:type="dxa"/>
            <w:vAlign w:val="bottom"/>
            <w:shd w:val="clear" w:color="auto" w:fill="CCEEFF"/>
          </w:tcPr>
          <w:p>
            <w:pPr>
              <w:spacing w:after="0"/>
              <w:rPr>
                <w:sz w:val="11"/>
                <w:szCs w:val="11"/>
                <w:color w:val="auto"/>
              </w:rPr>
            </w:pPr>
          </w:p>
        </w:tc>
        <w:tc>
          <w:tcPr>
            <w:tcW w:w="1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42,746,343</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65,888,222</w:t>
            </w:r>
          </w:p>
        </w:tc>
        <w:tc>
          <w:tcPr>
            <w:tcW w:w="0" w:type="dxa"/>
            <w:vAlign w:val="bottom"/>
          </w:tcPr>
          <w:p>
            <w:pPr>
              <w:spacing w:after="0"/>
              <w:rPr>
                <w:sz w:val="1"/>
                <w:szCs w:val="1"/>
                <w:color w:val="auto"/>
              </w:rPr>
            </w:pPr>
          </w:p>
        </w:tc>
      </w:tr>
      <w:tr>
        <w:trPr>
          <w:trHeight w:val="142"/>
        </w:trPr>
        <w:tc>
          <w:tcPr>
            <w:tcW w:w="4100" w:type="dxa"/>
            <w:vAlign w:val="bottom"/>
          </w:tcPr>
          <w:p>
            <w:pPr>
              <w:spacing w:after="0" w:line="142" w:lineRule="exact"/>
              <w:rPr>
                <w:sz w:val="20"/>
                <w:szCs w:val="20"/>
                <w:color w:val="auto"/>
              </w:rPr>
            </w:pPr>
            <w:r>
              <w:rPr>
                <w:rFonts w:ascii="Arial" w:cs="Arial" w:eastAsia="Arial" w:hAnsi="Arial"/>
                <w:sz w:val="13"/>
                <w:szCs w:val="13"/>
                <w:b w:val="1"/>
                <w:bCs w:val="1"/>
                <w:color w:val="auto"/>
                <w:w w:val="91"/>
              </w:rPr>
              <w:t>Total Investments in Non-Controlled, Non-Affiliated Portfolio Companies</w:t>
            </w:r>
          </w:p>
        </w:tc>
        <w:tc>
          <w:tcPr>
            <w:tcW w:w="8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1"/>
              </w:rPr>
              <w:t>1,241,937,230</w:t>
            </w:r>
          </w:p>
        </w:tc>
        <w:tc>
          <w:tcPr>
            <w:tcW w:w="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8"/>
              </w:rPr>
              <w:t>1,229,810,600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NOTES TO CONSOLIDATED FINANCIAL STATEMENTS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240"/>
          </w:cols>
          <w:pgMar w:left="320" w:top="459" w:right="3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 – (Continued)</w:t>
      </w:r>
    </w:p>
    <w:p>
      <w:pPr>
        <w:jc w:val="center"/>
        <w:spacing w:after="0" w:line="221" w:lineRule="auto"/>
        <w:rPr>
          <w:sz w:val="20"/>
          <w:szCs w:val="20"/>
          <w:color w:val="auto"/>
        </w:rPr>
      </w:pPr>
      <w:r>
        <w:rPr>
          <w:rFonts w:ascii="Arial" w:cs="Arial" w:eastAsia="Arial" w:hAnsi="Arial"/>
          <w:sz w:val="14"/>
          <w:szCs w:val="14"/>
          <w:b w:val="1"/>
          <w:bCs w:val="1"/>
          <w:color w:val="auto"/>
        </w:rPr>
        <w:t>DECEMBER 31, 2014</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60" w:type="dxa"/>
            <w:vAlign w:val="bottom"/>
          </w:tcPr>
          <w:p>
            <w:pPr>
              <w:jc w:val="center"/>
              <w:ind w:right="17"/>
              <w:spacing w:after="0"/>
              <w:rPr>
                <w:sz w:val="20"/>
                <w:szCs w:val="20"/>
                <w:color w:val="auto"/>
              </w:rPr>
            </w:pPr>
            <w:r>
              <w:rPr>
                <w:rFonts w:ascii="Arial" w:cs="Arial" w:eastAsia="Arial" w:hAnsi="Arial"/>
                <w:sz w:val="13"/>
                <w:szCs w:val="13"/>
                <w:b w:val="1"/>
                <w:bCs w:val="1"/>
                <w:color w:val="auto"/>
                <w:w w:val="84"/>
              </w:rPr>
              <w:t>Basis Point</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860" w:type="dxa"/>
            <w:vAlign w:val="bottom"/>
            <w:vMerge w:val="restart"/>
          </w:tcPr>
          <w:p>
            <w:pPr>
              <w:spacing w:after="0"/>
              <w:rPr>
                <w:sz w:val="20"/>
                <w:szCs w:val="20"/>
                <w:color w:val="auto"/>
              </w:rPr>
            </w:pPr>
            <w:r>
              <w:rPr>
                <w:rFonts w:ascii="Arial" w:cs="Arial" w:eastAsia="Arial" w:hAnsi="Arial"/>
                <w:sz w:val="13"/>
                <w:szCs w:val="13"/>
                <w:b w:val="1"/>
                <w:bCs w:val="1"/>
                <w:color w:val="auto"/>
              </w:rPr>
              <w:t>Issuer</w:t>
            </w:r>
          </w:p>
        </w:tc>
        <w:tc>
          <w:tcPr>
            <w:tcW w:w="68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Spread</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3860" w:type="dxa"/>
            <w:vAlign w:val="bottom"/>
            <w:vMerge w:val="continue"/>
          </w:tcPr>
          <w:p>
            <w:pPr>
              <w:spacing w:after="0"/>
              <w:rPr>
                <w:sz w:val="10"/>
                <w:szCs w:val="10"/>
                <w:color w:val="auto"/>
              </w:rPr>
            </w:pPr>
          </w:p>
        </w:tc>
        <w:tc>
          <w:tcPr>
            <w:tcW w:w="680" w:type="dxa"/>
            <w:vAlign w:val="bottom"/>
          </w:tcPr>
          <w:p>
            <w:pPr>
              <w:ind w:left="20"/>
              <w:spacing w:after="0" w:line="126" w:lineRule="exact"/>
              <w:rPr>
                <w:sz w:val="20"/>
                <w:szCs w:val="20"/>
                <w:color w:val="auto"/>
              </w:rPr>
            </w:pPr>
            <w:r>
              <w:rPr>
                <w:rFonts w:ascii="Arial" w:cs="Arial" w:eastAsia="Arial" w:hAnsi="Arial"/>
                <w:sz w:val="13"/>
                <w:szCs w:val="13"/>
                <w:b w:val="1"/>
                <w:bCs w:val="1"/>
                <w:color w:val="auto"/>
              </w:rPr>
              <w:t>Maturity /</w:t>
            </w:r>
          </w:p>
        </w:tc>
        <w:tc>
          <w:tcPr>
            <w:tcW w:w="1920" w:type="dxa"/>
            <w:vAlign w:val="bottom"/>
          </w:tcPr>
          <w:p>
            <w:pPr>
              <w:spacing w:after="0"/>
              <w:rPr>
                <w:sz w:val="10"/>
                <w:szCs w:val="10"/>
                <w:color w:val="auto"/>
              </w:rPr>
            </w:pPr>
          </w:p>
        </w:tc>
        <w:tc>
          <w:tcPr>
            <w:tcW w:w="920" w:type="dxa"/>
            <w:vAlign w:val="bottom"/>
          </w:tcPr>
          <w:p>
            <w:pPr>
              <w:jc w:val="right"/>
              <w:ind w:right="297"/>
              <w:spacing w:after="0" w:line="126" w:lineRule="exact"/>
              <w:rPr>
                <w:sz w:val="20"/>
                <w:szCs w:val="20"/>
                <w:color w:val="auto"/>
              </w:rPr>
            </w:pPr>
            <w:r>
              <w:rPr>
                <w:rFonts w:ascii="Arial" w:cs="Arial" w:eastAsia="Arial" w:hAnsi="Arial"/>
                <w:sz w:val="13"/>
                <w:szCs w:val="13"/>
                <w:b w:val="1"/>
                <w:bCs w:val="1"/>
                <w:color w:val="auto"/>
              </w:rPr>
              <w:t>Current</w:t>
            </w:r>
          </w:p>
        </w:tc>
        <w:tc>
          <w:tcPr>
            <w:tcW w:w="76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85"/>
              </w:rPr>
              <w:t>Above</w:t>
            </w:r>
          </w:p>
        </w:tc>
        <w:tc>
          <w:tcPr>
            <w:tcW w:w="800" w:type="dxa"/>
            <w:vAlign w:val="bottom"/>
          </w:tcPr>
          <w:p>
            <w:pPr>
              <w:jc w:val="right"/>
              <w:ind w:right="217"/>
              <w:spacing w:after="0" w:line="126" w:lineRule="exact"/>
              <w:rPr>
                <w:sz w:val="20"/>
                <w:szCs w:val="20"/>
                <w:color w:val="auto"/>
              </w:rPr>
            </w:pPr>
            <w:r>
              <w:rPr>
                <w:rFonts w:ascii="Arial" w:cs="Arial" w:eastAsia="Arial" w:hAnsi="Arial"/>
                <w:sz w:val="13"/>
                <w:szCs w:val="13"/>
                <w:b w:val="1"/>
                <w:bCs w:val="1"/>
                <w:color w:val="auto"/>
              </w:rPr>
              <w:t>Par /</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386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680" w:type="dxa"/>
            <w:vAlign w:val="bottom"/>
          </w:tcPr>
          <w:p>
            <w:pPr>
              <w:ind w:left="20"/>
              <w:spacing w:after="0"/>
              <w:rPr>
                <w:sz w:val="20"/>
                <w:szCs w:val="20"/>
                <w:color w:val="auto"/>
              </w:rPr>
            </w:pPr>
            <w:r>
              <w:rPr>
                <w:rFonts w:ascii="Arial" w:cs="Arial" w:eastAsia="Arial" w:hAnsi="Arial"/>
                <w:sz w:val="13"/>
                <w:szCs w:val="13"/>
                <w:b w:val="1"/>
                <w:bCs w:val="1"/>
                <w:color w:val="auto"/>
              </w:rPr>
              <w:t>Expiration</w:t>
            </w:r>
          </w:p>
        </w:tc>
        <w:tc>
          <w:tcPr>
            <w:tcW w:w="1920" w:type="dxa"/>
            <w:vAlign w:val="bottom"/>
          </w:tcPr>
          <w:p>
            <w:pPr>
              <w:jc w:val="center"/>
              <w:spacing w:after="0"/>
              <w:rPr>
                <w:sz w:val="20"/>
                <w:szCs w:val="20"/>
                <w:color w:val="auto"/>
              </w:rPr>
            </w:pPr>
            <w:r>
              <w:rPr>
                <w:rFonts w:ascii="Arial" w:cs="Arial" w:eastAsia="Arial" w:hAnsi="Arial"/>
                <w:sz w:val="13"/>
                <w:szCs w:val="13"/>
                <w:b w:val="1"/>
                <w:bCs w:val="1"/>
                <w:color w:val="auto"/>
                <w:w w:val="93"/>
              </w:rPr>
              <w:t>Industry</w:t>
            </w:r>
          </w:p>
        </w:tc>
        <w:tc>
          <w:tcPr>
            <w:tcW w:w="920" w:type="dxa"/>
            <w:vAlign w:val="bottom"/>
          </w:tcPr>
          <w:p>
            <w:pPr>
              <w:jc w:val="right"/>
              <w:ind w:right="297"/>
              <w:spacing w:after="0"/>
              <w:rPr>
                <w:sz w:val="20"/>
                <w:szCs w:val="20"/>
                <w:color w:val="auto"/>
              </w:rPr>
            </w:pPr>
            <w:r>
              <w:rPr>
                <w:rFonts w:ascii="Arial" w:cs="Arial" w:eastAsia="Arial" w:hAnsi="Arial"/>
                <w:sz w:val="13"/>
                <w:szCs w:val="13"/>
                <w:b w:val="1"/>
                <w:bCs w:val="1"/>
                <w:color w:val="auto"/>
              </w:rPr>
              <w:t>Coupon</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2"/>
              </w:rPr>
              <w:t xml:space="preserve">Index </w:t>
            </w:r>
            <w:r>
              <w:rPr>
                <w:rFonts w:ascii="Arial" w:cs="Arial" w:eastAsia="Arial" w:hAnsi="Arial"/>
                <w:sz w:val="10"/>
                <w:szCs w:val="10"/>
                <w:b w:val="1"/>
                <w:bCs w:val="1"/>
                <w:color w:val="auto"/>
                <w:w w:val="92"/>
              </w:rPr>
              <w:t>(4)</w:t>
            </w:r>
          </w:p>
        </w:tc>
        <w:tc>
          <w:tcPr>
            <w:tcW w:w="800" w:type="dxa"/>
            <w:vAlign w:val="bottom"/>
          </w:tcPr>
          <w:p>
            <w:pPr>
              <w:jc w:val="right"/>
              <w:ind w:right="157"/>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rPr>
              <w:t>Cost</w:t>
            </w:r>
          </w:p>
        </w:tc>
        <w:tc>
          <w:tcPr>
            <w:tcW w:w="12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97"/>
              </w:rPr>
              <w:t xml:space="preserve">Fair Value </w:t>
            </w:r>
            <w:r>
              <w:rPr>
                <w:rFonts w:ascii="Arial" w:cs="Arial" w:eastAsia="Arial" w:hAnsi="Arial"/>
                <w:sz w:val="10"/>
                <w:szCs w:val="10"/>
                <w:b w:val="1"/>
                <w:bCs w:val="1"/>
                <w:color w:val="auto"/>
                <w:w w:val="97"/>
              </w:rPr>
              <w:t>(3)</w:t>
            </w:r>
          </w:p>
        </w:tc>
        <w:tc>
          <w:tcPr>
            <w:tcW w:w="0" w:type="dxa"/>
            <w:vAlign w:val="bottom"/>
          </w:tcPr>
          <w:p>
            <w:pPr>
              <w:spacing w:after="0"/>
              <w:rPr>
                <w:sz w:val="1"/>
                <w:szCs w:val="1"/>
                <w:color w:val="auto"/>
              </w:rPr>
            </w:pPr>
          </w:p>
        </w:tc>
      </w:tr>
      <w:tr>
        <w:trPr>
          <w:trHeight w:val="128"/>
        </w:trPr>
        <w:tc>
          <w:tcPr>
            <w:tcW w:w="4540" w:type="dxa"/>
            <w:vAlign w:val="bottom"/>
            <w:tcBorders>
              <w:top w:val="single" w:sz="8" w:color="auto"/>
            </w:tcBorders>
            <w:gridSpan w:val="2"/>
            <w:shd w:val="clear" w:color="auto" w:fill="CCEEFF"/>
          </w:tcPr>
          <w:p>
            <w:pPr>
              <w:spacing w:after="0" w:line="129" w:lineRule="exact"/>
              <w:rPr>
                <w:sz w:val="20"/>
                <w:szCs w:val="20"/>
                <w:color w:val="auto"/>
              </w:rPr>
            </w:pPr>
            <w:r>
              <w:rPr>
                <w:rFonts w:ascii="Arial" w:cs="Arial" w:eastAsia="Arial" w:hAnsi="Arial"/>
                <w:sz w:val="13"/>
                <w:szCs w:val="13"/>
                <w:b w:val="1"/>
                <w:bCs w:val="1"/>
                <w:color w:val="auto"/>
                <w:w w:val="98"/>
              </w:rPr>
              <w:t xml:space="preserve">Investments in Non-Controlled, Affiliated Portfolio Companies—9.1% </w:t>
            </w:r>
            <w:r>
              <w:rPr>
                <w:rFonts w:ascii="Arial" w:cs="Arial" w:eastAsia="Arial" w:hAnsi="Arial"/>
                <w:sz w:val="10"/>
                <w:szCs w:val="10"/>
                <w:b w:val="1"/>
                <w:bCs w:val="1"/>
                <w:color w:val="auto"/>
                <w:w w:val="98"/>
              </w:rPr>
              <w:t>(1), (2)</w:t>
            </w:r>
          </w:p>
        </w:tc>
        <w:tc>
          <w:tcPr>
            <w:tcW w:w="192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60" w:type="dxa"/>
            <w:vAlign w:val="bottom"/>
          </w:tcPr>
          <w:p>
            <w:pPr>
              <w:spacing w:after="0" w:line="135" w:lineRule="exact"/>
              <w:rPr>
                <w:sz w:val="20"/>
                <w:szCs w:val="20"/>
                <w:color w:val="auto"/>
              </w:rPr>
            </w:pPr>
            <w:r>
              <w:rPr>
                <w:rFonts w:ascii="Arial" w:cs="Arial" w:eastAsia="Arial" w:hAnsi="Arial"/>
                <w:sz w:val="13"/>
                <w:szCs w:val="13"/>
                <w:b w:val="1"/>
                <w:bCs w:val="1"/>
                <w:color w:val="auto"/>
              </w:rPr>
              <w:t>Second Lien Secured Debt—1.2%</w:t>
            </w:r>
          </w:p>
        </w:tc>
        <w:tc>
          <w:tcPr>
            <w:tcW w:w="68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EnviroSolutions Real Property Holdings, Inc.</w:t>
            </w:r>
          </w:p>
        </w:tc>
        <w:tc>
          <w:tcPr>
            <w:tcW w:w="6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12/26/2017</w:t>
            </w:r>
          </w:p>
        </w:tc>
        <w:tc>
          <w:tcPr>
            <w:tcW w:w="19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Environmental Services</w:t>
            </w:r>
          </w:p>
        </w:tc>
        <w:tc>
          <w:tcPr>
            <w:tcW w:w="92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9.00%</w:t>
            </w:r>
          </w:p>
        </w:tc>
        <w:tc>
          <w:tcPr>
            <w:tcW w:w="7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L+800</w:t>
            </w:r>
          </w:p>
        </w:tc>
        <w:tc>
          <w:tcPr>
            <w:tcW w:w="80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9,409,740</w:t>
            </w:r>
          </w:p>
        </w:tc>
        <w:tc>
          <w:tcPr>
            <w:tcW w:w="2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9,183,126</w:t>
            </w:r>
          </w:p>
        </w:tc>
        <w:tc>
          <w:tcPr>
            <w:tcW w:w="12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9,127,448</w:t>
            </w:r>
          </w:p>
        </w:tc>
        <w:tc>
          <w:tcPr>
            <w:tcW w:w="0" w:type="dxa"/>
            <w:vAlign w:val="bottom"/>
          </w:tcPr>
          <w:p>
            <w:pPr>
              <w:spacing w:after="0"/>
              <w:rPr>
                <w:sz w:val="1"/>
                <w:szCs w:val="1"/>
                <w:color w:val="auto"/>
              </w:rPr>
            </w:pPr>
          </w:p>
        </w:tc>
      </w:tr>
      <w:tr>
        <w:trPr>
          <w:trHeight w:val="142"/>
        </w:trPr>
        <w:tc>
          <w:tcPr>
            <w:tcW w:w="3860" w:type="dxa"/>
            <w:vAlign w:val="bottom"/>
          </w:tcPr>
          <w:p>
            <w:pPr>
              <w:spacing w:after="0" w:line="142" w:lineRule="exact"/>
              <w:rPr>
                <w:sz w:val="20"/>
                <w:szCs w:val="20"/>
                <w:color w:val="auto"/>
              </w:rPr>
            </w:pPr>
            <w:r>
              <w:rPr>
                <w:rFonts w:ascii="Arial" w:cs="Arial" w:eastAsia="Arial" w:hAnsi="Arial"/>
                <w:sz w:val="13"/>
                <w:szCs w:val="13"/>
                <w:b w:val="1"/>
                <w:bCs w:val="1"/>
                <w:color w:val="auto"/>
              </w:rPr>
              <w:t>Subordinated Debt/Corporate Notes—4.8%</w:t>
            </w:r>
          </w:p>
        </w:tc>
        <w:tc>
          <w:tcPr>
            <w:tcW w:w="6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8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DirectBuy Holdings, Inc.</w:t>
            </w:r>
          </w:p>
        </w:tc>
        <w:tc>
          <w:tcPr>
            <w:tcW w:w="68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9"/>
              </w:rPr>
              <w:t>11/05/2019</w:t>
            </w:r>
          </w:p>
        </w:tc>
        <w:tc>
          <w:tcPr>
            <w:tcW w:w="192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7"/>
              </w:rPr>
              <w:t>Consumer Products</w:t>
            </w:r>
          </w:p>
        </w:tc>
        <w:tc>
          <w:tcPr>
            <w:tcW w:w="920" w:type="dxa"/>
            <w:vAlign w:val="bottom"/>
            <w:shd w:val="clear" w:color="auto" w:fill="CCEEFF"/>
          </w:tcPr>
          <w:p>
            <w:pPr>
              <w:jc w:val="right"/>
              <w:ind w:right="217"/>
              <w:spacing w:after="0" w:line="121" w:lineRule="exact"/>
              <w:rPr>
                <w:sz w:val="20"/>
                <w:szCs w:val="20"/>
                <w:color w:val="auto"/>
              </w:rPr>
            </w:pPr>
            <w:r>
              <w:rPr>
                <w:rFonts w:ascii="Arial" w:cs="Arial" w:eastAsia="Arial" w:hAnsi="Arial"/>
                <w:sz w:val="13"/>
                <w:szCs w:val="13"/>
                <w:color w:val="auto"/>
              </w:rPr>
              <w:t>12.00</w:t>
            </w:r>
          </w:p>
        </w:tc>
        <w:tc>
          <w:tcPr>
            <w:tcW w:w="760" w:type="dxa"/>
            <w:vAlign w:val="bottom"/>
            <w:shd w:val="clear" w:color="auto" w:fill="CCEEFF"/>
          </w:tcPr>
          <w:p>
            <w:pPr>
              <w:jc w:val="right"/>
              <w:ind w:right="57"/>
              <w:spacing w:after="0" w:line="121"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37"/>
              <w:spacing w:after="0" w:line="121" w:lineRule="exact"/>
              <w:rPr>
                <w:sz w:val="20"/>
                <w:szCs w:val="20"/>
                <w:color w:val="auto"/>
              </w:rPr>
            </w:pPr>
            <w:r>
              <w:rPr>
                <w:rFonts w:ascii="Arial" w:cs="Arial" w:eastAsia="Arial" w:hAnsi="Arial"/>
                <w:sz w:val="13"/>
                <w:szCs w:val="13"/>
                <w:color w:val="auto"/>
              </w:rPr>
              <w:t>11,981,100</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60" w:type="dxa"/>
            <w:vAlign w:val="bottom"/>
            <w:gridSpan w:val="2"/>
            <w:shd w:val="clear" w:color="auto" w:fill="CCEEFF"/>
          </w:tcPr>
          <w:p>
            <w:pPr>
              <w:jc w:val="right"/>
              <w:ind w:right="200"/>
              <w:spacing w:after="0" w:line="121" w:lineRule="exact"/>
              <w:rPr>
                <w:sz w:val="20"/>
                <w:szCs w:val="20"/>
                <w:color w:val="auto"/>
              </w:rPr>
            </w:pPr>
            <w:r>
              <w:rPr>
                <w:rFonts w:ascii="Arial" w:cs="Arial" w:eastAsia="Arial" w:hAnsi="Arial"/>
                <w:sz w:val="13"/>
                <w:szCs w:val="13"/>
                <w:color w:val="auto"/>
              </w:rPr>
              <w:t>11,981,101</w:t>
            </w:r>
          </w:p>
        </w:tc>
        <w:tc>
          <w:tcPr>
            <w:tcW w:w="120" w:type="dxa"/>
            <w:vAlign w:val="bottom"/>
            <w:shd w:val="clear" w:color="auto" w:fill="CCEEFF"/>
          </w:tcPr>
          <w:p>
            <w:pPr>
              <w:spacing w:after="0"/>
              <w:rPr>
                <w:sz w:val="10"/>
                <w:szCs w:val="10"/>
                <w:color w:val="auto"/>
              </w:rPr>
            </w:pPr>
          </w:p>
        </w:tc>
        <w:tc>
          <w:tcPr>
            <w:tcW w:w="102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9,105,636</w:t>
            </w:r>
          </w:p>
        </w:tc>
        <w:tc>
          <w:tcPr>
            <w:tcW w:w="0" w:type="dxa"/>
            <w:vAlign w:val="bottom"/>
          </w:tcPr>
          <w:p>
            <w:pPr>
              <w:spacing w:after="0"/>
              <w:rPr>
                <w:sz w:val="1"/>
                <w:szCs w:val="1"/>
                <w:color w:val="auto"/>
              </w:rPr>
            </w:pPr>
          </w:p>
        </w:tc>
      </w:tr>
      <w:tr>
        <w:trPr>
          <w:trHeight w:val="163"/>
        </w:trPr>
        <w:tc>
          <w:tcPr>
            <w:tcW w:w="38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(PIK 12.00%)</w:t>
            </w:r>
          </w:p>
        </w:tc>
        <w:tc>
          <w:tcPr>
            <w:tcW w:w="7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860" w:type="dxa"/>
            <w:vAlign w:val="bottom"/>
          </w:tcPr>
          <w:p>
            <w:pPr>
              <w:spacing w:after="0" w:line="135" w:lineRule="exact"/>
              <w:rPr>
                <w:sz w:val="20"/>
                <w:szCs w:val="20"/>
                <w:color w:val="auto"/>
              </w:rPr>
            </w:pPr>
            <w:r>
              <w:rPr>
                <w:rFonts w:ascii="Arial" w:cs="Arial" w:eastAsia="Arial" w:hAnsi="Arial"/>
                <w:sz w:val="13"/>
                <w:szCs w:val="13"/>
                <w:color w:val="auto"/>
              </w:rPr>
              <w:t>Service Champ, Inc.</w:t>
            </w:r>
          </w:p>
        </w:tc>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89"/>
              </w:rPr>
              <w:t>10/02/2017</w:t>
            </w:r>
          </w:p>
        </w:tc>
        <w:tc>
          <w:tcPr>
            <w:tcW w:w="1920" w:type="dxa"/>
            <w:vAlign w:val="bottom"/>
          </w:tcPr>
          <w:p>
            <w:pPr>
              <w:jc w:val="center"/>
              <w:spacing w:after="0" w:line="135" w:lineRule="exact"/>
              <w:rPr>
                <w:sz w:val="20"/>
                <w:szCs w:val="20"/>
                <w:color w:val="auto"/>
              </w:rPr>
            </w:pPr>
            <w:r>
              <w:rPr>
                <w:rFonts w:ascii="Arial" w:cs="Arial" w:eastAsia="Arial" w:hAnsi="Arial"/>
                <w:sz w:val="13"/>
                <w:szCs w:val="13"/>
                <w:color w:val="auto"/>
                <w:w w:val="88"/>
              </w:rPr>
              <w:t>Auto Sector</w:t>
            </w:r>
          </w:p>
        </w:tc>
        <w:tc>
          <w:tcPr>
            <w:tcW w:w="920" w:type="dxa"/>
            <w:vAlign w:val="bottom"/>
          </w:tcPr>
          <w:p>
            <w:pPr>
              <w:jc w:val="right"/>
              <w:ind w:right="97"/>
              <w:spacing w:after="0" w:line="135" w:lineRule="exact"/>
              <w:rPr>
                <w:sz w:val="20"/>
                <w:szCs w:val="20"/>
                <w:color w:val="auto"/>
              </w:rPr>
            </w:pPr>
            <w:r>
              <w:rPr>
                <w:rFonts w:ascii="Arial" w:cs="Arial" w:eastAsia="Arial" w:hAnsi="Arial"/>
                <w:sz w:val="13"/>
                <w:szCs w:val="13"/>
                <w:color w:val="auto"/>
              </w:rPr>
              <w:t>12.50%</w:t>
            </w:r>
          </w:p>
        </w:tc>
        <w:tc>
          <w:tcPr>
            <w:tcW w:w="7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37"/>
              <w:spacing w:after="0" w:line="135" w:lineRule="exact"/>
              <w:rPr>
                <w:sz w:val="20"/>
                <w:szCs w:val="20"/>
                <w:color w:val="auto"/>
              </w:rPr>
            </w:pPr>
            <w:r>
              <w:rPr>
                <w:rFonts w:ascii="Arial" w:cs="Arial" w:eastAsia="Arial" w:hAnsi="Arial"/>
                <w:sz w:val="13"/>
                <w:szCs w:val="13"/>
                <w:color w:val="auto"/>
              </w:rPr>
              <w:t>28,000,000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27,617,824</w:t>
            </w:r>
          </w:p>
        </w:tc>
        <w:tc>
          <w:tcPr>
            <w:tcW w:w="120" w:type="dxa"/>
            <w:vAlign w:val="bottom"/>
          </w:tcPr>
          <w:p>
            <w:pPr>
              <w:spacing w:after="0"/>
              <w:rPr>
                <w:sz w:val="11"/>
                <w:szCs w:val="11"/>
                <w:color w:val="auto"/>
              </w:rPr>
            </w:pPr>
          </w:p>
        </w:tc>
        <w:tc>
          <w:tcPr>
            <w:tcW w:w="10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28,276,275</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386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Subordinated Debt/Corporate Notes</w:t>
            </w:r>
          </w:p>
        </w:tc>
        <w:tc>
          <w:tcPr>
            <w:tcW w:w="68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39,598,925</w:t>
            </w:r>
          </w:p>
        </w:tc>
        <w:tc>
          <w:tcPr>
            <w:tcW w:w="12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37,381,911</w:t>
            </w:r>
          </w:p>
        </w:tc>
        <w:tc>
          <w:tcPr>
            <w:tcW w:w="0" w:type="dxa"/>
            <w:vAlign w:val="bottom"/>
          </w:tcPr>
          <w:p>
            <w:pPr>
              <w:spacing w:after="0"/>
              <w:rPr>
                <w:sz w:val="1"/>
                <w:szCs w:val="1"/>
                <w:color w:val="auto"/>
              </w:rPr>
            </w:pPr>
          </w:p>
        </w:tc>
      </w:tr>
      <w:tr>
        <w:trPr>
          <w:trHeight w:val="142"/>
        </w:trPr>
        <w:tc>
          <w:tcPr>
            <w:tcW w:w="3860" w:type="dxa"/>
            <w:vAlign w:val="bottom"/>
          </w:tcPr>
          <w:p>
            <w:pPr>
              <w:spacing w:after="0" w:line="142" w:lineRule="exact"/>
              <w:rPr>
                <w:sz w:val="20"/>
                <w:szCs w:val="20"/>
                <w:color w:val="auto"/>
              </w:rPr>
            </w:pPr>
            <w:r>
              <w:rPr>
                <w:rFonts w:ascii="Arial" w:cs="Arial" w:eastAsia="Arial" w:hAnsi="Arial"/>
                <w:sz w:val="13"/>
                <w:szCs w:val="13"/>
                <w:b w:val="1"/>
                <w:bCs w:val="1"/>
                <w:color w:val="auto"/>
              </w:rPr>
              <w:t xml:space="preserve">Preferred Equity –0.7% </w:t>
            </w:r>
            <w:r>
              <w:rPr>
                <w:rFonts w:ascii="Arial" w:cs="Arial" w:eastAsia="Arial" w:hAnsi="Arial"/>
                <w:sz w:val="10"/>
                <w:szCs w:val="10"/>
                <w:b w:val="1"/>
                <w:bCs w:val="1"/>
                <w:color w:val="auto"/>
              </w:rPr>
              <w:t>(6)</w:t>
            </w:r>
          </w:p>
        </w:tc>
        <w:tc>
          <w:tcPr>
            <w:tcW w:w="6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8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PAS International Holdings, Inc.</w:t>
            </w:r>
          </w:p>
        </w:tc>
        <w:tc>
          <w:tcPr>
            <w:tcW w:w="680" w:type="dxa"/>
            <w:vAlign w:val="bottom"/>
            <w:shd w:val="clear" w:color="auto" w:fill="CCEEFF"/>
          </w:tcPr>
          <w:p>
            <w:pPr>
              <w:jc w:val="center"/>
              <w:ind w:right="17"/>
              <w:spacing w:after="0" w:line="121" w:lineRule="exact"/>
              <w:rPr>
                <w:sz w:val="20"/>
                <w:szCs w:val="20"/>
                <w:color w:val="auto"/>
              </w:rPr>
            </w:pPr>
            <w:r>
              <w:rPr>
                <w:rFonts w:ascii="Arial" w:cs="Arial" w:eastAsia="Arial" w:hAnsi="Arial"/>
                <w:sz w:val="13"/>
                <w:szCs w:val="13"/>
                <w:color w:val="auto"/>
                <w:w w:val="91"/>
              </w:rPr>
              <w:t>—</w:t>
            </w:r>
          </w:p>
        </w:tc>
        <w:tc>
          <w:tcPr>
            <w:tcW w:w="192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4"/>
              </w:rPr>
              <w:t>Aerospace and</w:t>
            </w:r>
          </w:p>
        </w:tc>
        <w:tc>
          <w:tcPr>
            <w:tcW w:w="920" w:type="dxa"/>
            <w:vAlign w:val="bottom"/>
            <w:shd w:val="clear" w:color="auto" w:fill="CCEEFF"/>
          </w:tcPr>
          <w:p>
            <w:pPr>
              <w:jc w:val="right"/>
              <w:ind w:right="217"/>
              <w:spacing w:after="0" w:line="121"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7"/>
              <w:spacing w:after="0" w:line="121"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37"/>
              <w:spacing w:after="0" w:line="121" w:lineRule="exact"/>
              <w:rPr>
                <w:sz w:val="20"/>
                <w:szCs w:val="20"/>
                <w:color w:val="auto"/>
              </w:rPr>
            </w:pPr>
            <w:r>
              <w:rPr>
                <w:rFonts w:ascii="Arial" w:cs="Arial" w:eastAsia="Arial" w:hAnsi="Arial"/>
                <w:sz w:val="13"/>
                <w:szCs w:val="13"/>
                <w:color w:val="auto"/>
              </w:rPr>
              <w:t>53,071</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60" w:type="dxa"/>
            <w:vAlign w:val="bottom"/>
            <w:gridSpan w:val="2"/>
            <w:shd w:val="clear" w:color="auto" w:fill="CCEEFF"/>
          </w:tcPr>
          <w:p>
            <w:pPr>
              <w:jc w:val="right"/>
              <w:ind w:right="200"/>
              <w:spacing w:after="0" w:line="121" w:lineRule="exact"/>
              <w:rPr>
                <w:sz w:val="20"/>
                <w:szCs w:val="20"/>
                <w:color w:val="auto"/>
              </w:rPr>
            </w:pPr>
            <w:r>
              <w:rPr>
                <w:rFonts w:ascii="Arial" w:cs="Arial" w:eastAsia="Arial" w:hAnsi="Arial"/>
                <w:sz w:val="13"/>
                <w:szCs w:val="13"/>
                <w:color w:val="auto"/>
              </w:rPr>
              <w:t>20,059,340</w:t>
            </w:r>
          </w:p>
        </w:tc>
        <w:tc>
          <w:tcPr>
            <w:tcW w:w="120" w:type="dxa"/>
            <w:vAlign w:val="bottom"/>
            <w:shd w:val="clear" w:color="auto" w:fill="CCEEFF"/>
          </w:tcPr>
          <w:p>
            <w:pPr>
              <w:spacing w:after="0"/>
              <w:rPr>
                <w:sz w:val="10"/>
                <w:szCs w:val="10"/>
                <w:color w:val="auto"/>
              </w:rPr>
            </w:pPr>
          </w:p>
        </w:tc>
        <w:tc>
          <w:tcPr>
            <w:tcW w:w="102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5,254,029</w:t>
            </w:r>
          </w:p>
        </w:tc>
        <w:tc>
          <w:tcPr>
            <w:tcW w:w="0" w:type="dxa"/>
            <w:vAlign w:val="bottom"/>
          </w:tcPr>
          <w:p>
            <w:pPr>
              <w:spacing w:after="0"/>
              <w:rPr>
                <w:sz w:val="1"/>
                <w:szCs w:val="1"/>
                <w:color w:val="auto"/>
              </w:rPr>
            </w:pPr>
          </w:p>
        </w:tc>
      </w:tr>
      <w:tr>
        <w:trPr>
          <w:trHeight w:val="163"/>
        </w:trPr>
        <w:tc>
          <w:tcPr>
            <w:tcW w:w="38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9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Defense</w:t>
            </w:r>
          </w:p>
        </w:tc>
        <w:tc>
          <w:tcPr>
            <w:tcW w:w="9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60" w:type="dxa"/>
            <w:vAlign w:val="bottom"/>
          </w:tcPr>
          <w:p>
            <w:pPr>
              <w:spacing w:after="0" w:line="142" w:lineRule="exact"/>
              <w:rPr>
                <w:sz w:val="20"/>
                <w:szCs w:val="20"/>
                <w:color w:val="auto"/>
              </w:rPr>
            </w:pPr>
            <w:r>
              <w:rPr>
                <w:rFonts w:ascii="Arial" w:cs="Arial" w:eastAsia="Arial" w:hAnsi="Arial"/>
                <w:sz w:val="13"/>
                <w:szCs w:val="13"/>
                <w:b w:val="1"/>
                <w:bCs w:val="1"/>
                <w:color w:val="auto"/>
              </w:rPr>
              <w:t xml:space="preserve">Common Equity/Partnership Interests/Warrants—2.4% </w:t>
            </w:r>
            <w:r>
              <w:rPr>
                <w:rFonts w:ascii="Arial" w:cs="Arial" w:eastAsia="Arial" w:hAnsi="Arial"/>
                <w:sz w:val="10"/>
                <w:szCs w:val="10"/>
                <w:b w:val="1"/>
                <w:bCs w:val="1"/>
                <w:color w:val="auto"/>
              </w:rPr>
              <w:t>(6)</w:t>
            </w:r>
          </w:p>
        </w:tc>
        <w:tc>
          <w:tcPr>
            <w:tcW w:w="6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8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DirectBuy Holdings, Inc.</w:t>
            </w:r>
          </w:p>
        </w:tc>
        <w:tc>
          <w:tcPr>
            <w:tcW w:w="680" w:type="dxa"/>
            <w:vAlign w:val="bottom"/>
            <w:shd w:val="clear" w:color="auto" w:fill="CCEEFF"/>
          </w:tcPr>
          <w:p>
            <w:pPr>
              <w:jc w:val="center"/>
              <w:ind w:right="17"/>
              <w:spacing w:after="0" w:line="135" w:lineRule="exact"/>
              <w:rPr>
                <w:sz w:val="20"/>
                <w:szCs w:val="20"/>
                <w:color w:val="auto"/>
              </w:rPr>
            </w:pPr>
            <w:r>
              <w:rPr>
                <w:rFonts w:ascii="Arial" w:cs="Arial" w:eastAsia="Arial" w:hAnsi="Arial"/>
                <w:sz w:val="13"/>
                <w:szCs w:val="13"/>
                <w:color w:val="auto"/>
                <w:w w:val="91"/>
              </w:rPr>
              <w:t>—</w:t>
            </w:r>
          </w:p>
        </w:tc>
        <w:tc>
          <w:tcPr>
            <w:tcW w:w="19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Consumer Products</w:t>
            </w:r>
          </w:p>
        </w:tc>
        <w:tc>
          <w:tcPr>
            <w:tcW w:w="92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104,719</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21,492,822</w:t>
            </w:r>
          </w:p>
        </w:tc>
        <w:tc>
          <w:tcPr>
            <w:tcW w:w="12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860" w:type="dxa"/>
            <w:vAlign w:val="bottom"/>
          </w:tcPr>
          <w:p>
            <w:pPr>
              <w:spacing w:after="0" w:line="135" w:lineRule="exact"/>
              <w:rPr>
                <w:sz w:val="20"/>
                <w:szCs w:val="20"/>
                <w:color w:val="auto"/>
              </w:rPr>
            </w:pPr>
            <w:r>
              <w:rPr>
                <w:rFonts w:ascii="Arial" w:cs="Arial" w:eastAsia="Arial" w:hAnsi="Arial"/>
                <w:sz w:val="13"/>
                <w:szCs w:val="13"/>
                <w:color w:val="auto"/>
              </w:rPr>
              <w:t>DirectBuy Holdings, Inc. (Warrants)</w:t>
            </w:r>
          </w:p>
        </w:tc>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89"/>
              </w:rPr>
              <w:t>11/05/2022</w:t>
            </w:r>
          </w:p>
        </w:tc>
        <w:tc>
          <w:tcPr>
            <w:tcW w:w="1920" w:type="dxa"/>
            <w:vAlign w:val="bottom"/>
          </w:tcPr>
          <w:p>
            <w:pPr>
              <w:jc w:val="center"/>
              <w:spacing w:after="0" w:line="135" w:lineRule="exact"/>
              <w:rPr>
                <w:sz w:val="20"/>
                <w:szCs w:val="20"/>
                <w:color w:val="auto"/>
              </w:rPr>
            </w:pPr>
            <w:r>
              <w:rPr>
                <w:rFonts w:ascii="Arial" w:cs="Arial" w:eastAsia="Arial" w:hAnsi="Arial"/>
                <w:sz w:val="13"/>
                <w:szCs w:val="13"/>
                <w:color w:val="auto"/>
                <w:w w:val="87"/>
              </w:rPr>
              <w:t>Consumer Products</w:t>
            </w:r>
          </w:p>
        </w:tc>
        <w:tc>
          <w:tcPr>
            <w:tcW w:w="920" w:type="dxa"/>
            <w:vAlign w:val="bottom"/>
          </w:tcPr>
          <w:p>
            <w:pPr>
              <w:jc w:val="right"/>
              <w:ind w:right="217"/>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15,486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0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38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EnviroSolutions Holdings, Inc.</w:t>
            </w:r>
          </w:p>
        </w:tc>
        <w:tc>
          <w:tcPr>
            <w:tcW w:w="680" w:type="dxa"/>
            <w:vAlign w:val="bottom"/>
            <w:shd w:val="clear" w:color="auto" w:fill="CCEEFF"/>
          </w:tcPr>
          <w:p>
            <w:pPr>
              <w:jc w:val="center"/>
              <w:ind w:right="17"/>
              <w:spacing w:after="0" w:line="121" w:lineRule="exact"/>
              <w:rPr>
                <w:sz w:val="20"/>
                <w:szCs w:val="20"/>
                <w:color w:val="auto"/>
              </w:rPr>
            </w:pPr>
            <w:r>
              <w:rPr>
                <w:rFonts w:ascii="Arial" w:cs="Arial" w:eastAsia="Arial" w:hAnsi="Arial"/>
                <w:sz w:val="13"/>
                <w:szCs w:val="13"/>
                <w:color w:val="auto"/>
                <w:w w:val="91"/>
              </w:rPr>
              <w:t>—</w:t>
            </w:r>
          </w:p>
        </w:tc>
        <w:tc>
          <w:tcPr>
            <w:tcW w:w="192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7"/>
              </w:rPr>
              <w:t>Environmental Services</w:t>
            </w:r>
          </w:p>
        </w:tc>
        <w:tc>
          <w:tcPr>
            <w:tcW w:w="920" w:type="dxa"/>
            <w:vAlign w:val="bottom"/>
            <w:shd w:val="clear" w:color="auto" w:fill="CCEEFF"/>
          </w:tcPr>
          <w:p>
            <w:pPr>
              <w:jc w:val="right"/>
              <w:ind w:right="217"/>
              <w:spacing w:after="0" w:line="121"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7"/>
              <w:spacing w:after="0" w:line="121"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37"/>
              <w:spacing w:after="0" w:line="121" w:lineRule="exact"/>
              <w:rPr>
                <w:sz w:val="20"/>
                <w:szCs w:val="20"/>
                <w:color w:val="auto"/>
              </w:rPr>
            </w:pPr>
            <w:r>
              <w:rPr>
                <w:rFonts w:ascii="Arial" w:cs="Arial" w:eastAsia="Arial" w:hAnsi="Arial"/>
                <w:sz w:val="13"/>
                <w:szCs w:val="13"/>
                <w:color w:val="auto"/>
              </w:rPr>
              <w:t>143,668</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60" w:type="dxa"/>
            <w:vAlign w:val="bottom"/>
            <w:gridSpan w:val="2"/>
            <w:shd w:val="clear" w:color="auto" w:fill="CCEEFF"/>
          </w:tcPr>
          <w:p>
            <w:pPr>
              <w:jc w:val="right"/>
              <w:ind w:right="200"/>
              <w:spacing w:after="0" w:line="121" w:lineRule="exact"/>
              <w:rPr>
                <w:sz w:val="20"/>
                <w:szCs w:val="20"/>
                <w:color w:val="auto"/>
              </w:rPr>
            </w:pPr>
            <w:r>
              <w:rPr>
                <w:rFonts w:ascii="Arial" w:cs="Arial" w:eastAsia="Arial" w:hAnsi="Arial"/>
                <w:sz w:val="13"/>
                <w:szCs w:val="13"/>
                <w:color w:val="auto"/>
              </w:rPr>
              <w:t>11,960,702</w:t>
            </w:r>
          </w:p>
        </w:tc>
        <w:tc>
          <w:tcPr>
            <w:tcW w:w="120" w:type="dxa"/>
            <w:vAlign w:val="bottom"/>
            <w:shd w:val="clear" w:color="auto" w:fill="CCEEFF"/>
          </w:tcPr>
          <w:p>
            <w:pPr>
              <w:spacing w:after="0"/>
              <w:rPr>
                <w:sz w:val="10"/>
                <w:szCs w:val="10"/>
                <w:color w:val="auto"/>
              </w:rPr>
            </w:pPr>
          </w:p>
        </w:tc>
        <w:tc>
          <w:tcPr>
            <w:tcW w:w="102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12,734,727</w:t>
            </w:r>
          </w:p>
        </w:tc>
        <w:tc>
          <w:tcPr>
            <w:tcW w:w="0" w:type="dxa"/>
            <w:vAlign w:val="bottom"/>
          </w:tcPr>
          <w:p>
            <w:pPr>
              <w:spacing w:after="0"/>
              <w:rPr>
                <w:sz w:val="1"/>
                <w:szCs w:val="1"/>
                <w:color w:val="auto"/>
              </w:rPr>
            </w:pPr>
          </w:p>
        </w:tc>
      </w:tr>
      <w:tr>
        <w:trPr>
          <w:trHeight w:val="149"/>
        </w:trPr>
        <w:tc>
          <w:tcPr>
            <w:tcW w:w="38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(EnviroSolutions Real Property Holdings, Inc.)</w:t>
            </w:r>
          </w:p>
        </w:tc>
        <w:tc>
          <w:tcPr>
            <w:tcW w:w="68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860" w:type="dxa"/>
            <w:vAlign w:val="bottom"/>
          </w:tcPr>
          <w:p>
            <w:pPr>
              <w:spacing w:after="0" w:line="121" w:lineRule="exact"/>
              <w:rPr>
                <w:sz w:val="20"/>
                <w:szCs w:val="20"/>
                <w:color w:val="auto"/>
              </w:rPr>
            </w:pPr>
            <w:r>
              <w:rPr>
                <w:rFonts w:ascii="Arial" w:cs="Arial" w:eastAsia="Arial" w:hAnsi="Arial"/>
                <w:sz w:val="13"/>
                <w:szCs w:val="13"/>
                <w:color w:val="auto"/>
              </w:rPr>
              <w:t>NCP-Performance, L.P.</w:t>
            </w:r>
          </w:p>
        </w:tc>
        <w:tc>
          <w:tcPr>
            <w:tcW w:w="680" w:type="dxa"/>
            <w:vAlign w:val="bottom"/>
          </w:tcPr>
          <w:p>
            <w:pPr>
              <w:jc w:val="center"/>
              <w:ind w:right="17"/>
              <w:spacing w:after="0" w:line="121" w:lineRule="exact"/>
              <w:rPr>
                <w:sz w:val="20"/>
                <w:szCs w:val="20"/>
                <w:color w:val="auto"/>
              </w:rPr>
            </w:pPr>
            <w:r>
              <w:rPr>
                <w:rFonts w:ascii="Arial" w:cs="Arial" w:eastAsia="Arial" w:hAnsi="Arial"/>
                <w:sz w:val="13"/>
                <w:szCs w:val="13"/>
                <w:color w:val="auto"/>
                <w:w w:val="91"/>
              </w:rPr>
              <w:t>—</w:t>
            </w:r>
          </w:p>
        </w:tc>
        <w:tc>
          <w:tcPr>
            <w:tcW w:w="1920" w:type="dxa"/>
            <w:vAlign w:val="bottom"/>
          </w:tcPr>
          <w:p>
            <w:pPr>
              <w:jc w:val="center"/>
              <w:spacing w:after="0" w:line="121" w:lineRule="exact"/>
              <w:rPr>
                <w:sz w:val="20"/>
                <w:szCs w:val="20"/>
                <w:color w:val="auto"/>
              </w:rPr>
            </w:pPr>
            <w:r>
              <w:rPr>
                <w:rFonts w:ascii="Arial" w:cs="Arial" w:eastAsia="Arial" w:hAnsi="Arial"/>
                <w:sz w:val="13"/>
                <w:szCs w:val="13"/>
                <w:color w:val="auto"/>
                <w:w w:val="87"/>
              </w:rPr>
              <w:t>Leisure, Amusement,</w:t>
            </w:r>
          </w:p>
        </w:tc>
        <w:tc>
          <w:tcPr>
            <w:tcW w:w="920" w:type="dxa"/>
            <w:vAlign w:val="bottom"/>
          </w:tcPr>
          <w:p>
            <w:pPr>
              <w:jc w:val="right"/>
              <w:ind w:right="217"/>
              <w:spacing w:after="0" w:line="121" w:lineRule="exact"/>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line="121"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37"/>
              <w:spacing w:after="0" w:line="121" w:lineRule="exact"/>
              <w:rPr>
                <w:sz w:val="20"/>
                <w:szCs w:val="20"/>
                <w:color w:val="auto"/>
              </w:rPr>
            </w:pPr>
            <w:r>
              <w:rPr>
                <w:rFonts w:ascii="Arial" w:cs="Arial" w:eastAsia="Arial" w:hAnsi="Arial"/>
                <w:sz w:val="13"/>
                <w:szCs w:val="13"/>
                <w:color w:val="auto"/>
              </w:rPr>
              <w:t>375,000</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tcPr>
          <w:p>
            <w:pPr>
              <w:jc w:val="right"/>
              <w:ind w:right="200"/>
              <w:spacing w:after="0" w:line="121" w:lineRule="exact"/>
              <w:rPr>
                <w:sz w:val="20"/>
                <w:szCs w:val="20"/>
                <w:color w:val="auto"/>
              </w:rPr>
            </w:pPr>
            <w:r>
              <w:rPr>
                <w:rFonts w:ascii="Arial" w:cs="Arial" w:eastAsia="Arial" w:hAnsi="Arial"/>
                <w:sz w:val="13"/>
                <w:szCs w:val="13"/>
                <w:color w:val="auto"/>
              </w:rPr>
              <w:t>3,750,000</w:t>
            </w:r>
          </w:p>
        </w:tc>
        <w:tc>
          <w:tcPr>
            <w:tcW w:w="120" w:type="dxa"/>
            <w:vAlign w:val="bottom"/>
          </w:tcPr>
          <w:p>
            <w:pPr>
              <w:spacing w:after="0"/>
              <w:rPr>
                <w:sz w:val="10"/>
                <w:szCs w:val="10"/>
                <w:color w:val="auto"/>
              </w:rPr>
            </w:pPr>
          </w:p>
        </w:tc>
        <w:tc>
          <w:tcPr>
            <w:tcW w:w="102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3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920" w:type="dxa"/>
            <w:vAlign w:val="bottom"/>
          </w:tcPr>
          <w:p>
            <w:pPr>
              <w:jc w:val="center"/>
              <w:spacing w:after="0"/>
              <w:rPr>
                <w:sz w:val="20"/>
                <w:szCs w:val="20"/>
                <w:color w:val="auto"/>
              </w:rPr>
            </w:pPr>
            <w:r>
              <w:rPr>
                <w:rFonts w:ascii="Arial" w:cs="Arial" w:eastAsia="Arial" w:hAnsi="Arial"/>
                <w:sz w:val="13"/>
                <w:szCs w:val="13"/>
                <w:color w:val="auto"/>
                <w:w w:val="88"/>
              </w:rPr>
              <w:t>Motion Pictures and Entertainment</w:t>
            </w:r>
          </w:p>
        </w:tc>
        <w:tc>
          <w:tcPr>
            <w:tcW w:w="9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860" w:type="dxa"/>
            <w:vAlign w:val="bottom"/>
            <w:shd w:val="clear" w:color="auto" w:fill="CCEEFF"/>
          </w:tcPr>
          <w:p>
            <w:pPr>
              <w:spacing w:after="0" w:line="122" w:lineRule="exact"/>
              <w:rPr>
                <w:sz w:val="20"/>
                <w:szCs w:val="20"/>
                <w:color w:val="auto"/>
              </w:rPr>
            </w:pPr>
            <w:r>
              <w:rPr>
                <w:rFonts w:ascii="Arial" w:cs="Arial" w:eastAsia="Arial" w:hAnsi="Arial"/>
                <w:sz w:val="13"/>
                <w:szCs w:val="13"/>
                <w:color w:val="auto"/>
              </w:rPr>
              <w:t>New Service Champ Holdings, Inc.</w:t>
            </w:r>
          </w:p>
        </w:tc>
        <w:tc>
          <w:tcPr>
            <w:tcW w:w="680" w:type="dxa"/>
            <w:vAlign w:val="bottom"/>
            <w:shd w:val="clear" w:color="auto" w:fill="CCEEFF"/>
          </w:tcPr>
          <w:p>
            <w:pPr>
              <w:jc w:val="center"/>
              <w:ind w:right="17"/>
              <w:spacing w:after="0" w:line="122" w:lineRule="exact"/>
              <w:rPr>
                <w:sz w:val="20"/>
                <w:szCs w:val="20"/>
                <w:color w:val="auto"/>
              </w:rPr>
            </w:pPr>
            <w:r>
              <w:rPr>
                <w:rFonts w:ascii="Arial" w:cs="Arial" w:eastAsia="Arial" w:hAnsi="Arial"/>
                <w:sz w:val="13"/>
                <w:szCs w:val="13"/>
                <w:color w:val="auto"/>
                <w:w w:val="91"/>
              </w:rPr>
              <w:t>—</w:t>
            </w:r>
          </w:p>
        </w:tc>
        <w:tc>
          <w:tcPr>
            <w:tcW w:w="1920" w:type="dxa"/>
            <w:vAlign w:val="bottom"/>
            <w:shd w:val="clear" w:color="auto" w:fill="CCEEFF"/>
          </w:tcPr>
          <w:p>
            <w:pPr>
              <w:jc w:val="center"/>
              <w:spacing w:after="0" w:line="122" w:lineRule="exact"/>
              <w:rPr>
                <w:sz w:val="20"/>
                <w:szCs w:val="20"/>
                <w:color w:val="auto"/>
              </w:rPr>
            </w:pPr>
            <w:r>
              <w:rPr>
                <w:rFonts w:ascii="Arial" w:cs="Arial" w:eastAsia="Arial" w:hAnsi="Arial"/>
                <w:sz w:val="13"/>
                <w:szCs w:val="13"/>
                <w:color w:val="auto"/>
                <w:w w:val="88"/>
              </w:rPr>
              <w:t>Auto Sector</w:t>
            </w:r>
          </w:p>
        </w:tc>
        <w:tc>
          <w:tcPr>
            <w:tcW w:w="920" w:type="dxa"/>
            <w:vAlign w:val="bottom"/>
            <w:shd w:val="clear" w:color="auto" w:fill="CCEEFF"/>
          </w:tcPr>
          <w:p>
            <w:pPr>
              <w:jc w:val="right"/>
              <w:ind w:right="217"/>
              <w:spacing w:after="0" w:line="122"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7"/>
              <w:spacing w:after="0" w:line="122"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37"/>
              <w:spacing w:after="0" w:line="122" w:lineRule="exact"/>
              <w:rPr>
                <w:sz w:val="20"/>
                <w:szCs w:val="20"/>
                <w:color w:val="auto"/>
              </w:rPr>
            </w:pPr>
            <w:r>
              <w:rPr>
                <w:rFonts w:ascii="Arial" w:cs="Arial" w:eastAsia="Arial" w:hAnsi="Arial"/>
                <w:sz w:val="13"/>
                <w:szCs w:val="13"/>
                <w:color w:val="auto"/>
              </w:rPr>
              <w:t>16,800</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6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3"/>
                <w:szCs w:val="13"/>
                <w:color w:val="auto"/>
              </w:rPr>
              <w:t>2,721,600</w:t>
            </w:r>
          </w:p>
        </w:tc>
        <w:tc>
          <w:tcPr>
            <w:tcW w:w="120" w:type="dxa"/>
            <w:vAlign w:val="bottom"/>
            <w:shd w:val="clear" w:color="auto" w:fill="CCEEFF"/>
          </w:tcPr>
          <w:p>
            <w:pPr>
              <w:spacing w:after="0"/>
              <w:rPr>
                <w:sz w:val="10"/>
                <w:szCs w:val="10"/>
                <w:color w:val="auto"/>
              </w:rPr>
            </w:pPr>
          </w:p>
        </w:tc>
        <w:tc>
          <w:tcPr>
            <w:tcW w:w="102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3"/>
                <w:szCs w:val="13"/>
                <w:color w:val="auto"/>
              </w:rPr>
              <w:t>5,429,549</w:t>
            </w:r>
          </w:p>
        </w:tc>
        <w:tc>
          <w:tcPr>
            <w:tcW w:w="0" w:type="dxa"/>
            <w:vAlign w:val="bottom"/>
          </w:tcPr>
          <w:p>
            <w:pPr>
              <w:spacing w:after="0"/>
              <w:rPr>
                <w:sz w:val="1"/>
                <w:szCs w:val="1"/>
                <w:color w:val="auto"/>
              </w:rPr>
            </w:pPr>
          </w:p>
        </w:tc>
      </w:tr>
      <w:tr>
        <w:trPr>
          <w:trHeight w:val="149"/>
        </w:trPr>
        <w:tc>
          <w:tcPr>
            <w:tcW w:w="38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(Service Champ, Inc.)</w:t>
            </w:r>
          </w:p>
        </w:tc>
        <w:tc>
          <w:tcPr>
            <w:tcW w:w="68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860" w:type="dxa"/>
            <w:vAlign w:val="bottom"/>
          </w:tcPr>
          <w:p>
            <w:pPr>
              <w:spacing w:after="0" w:line="135" w:lineRule="exact"/>
              <w:rPr>
                <w:sz w:val="20"/>
                <w:szCs w:val="20"/>
                <w:color w:val="auto"/>
              </w:rPr>
            </w:pPr>
            <w:r>
              <w:rPr>
                <w:rFonts w:ascii="Arial" w:cs="Arial" w:eastAsia="Arial" w:hAnsi="Arial"/>
                <w:sz w:val="13"/>
                <w:szCs w:val="13"/>
                <w:color w:val="auto"/>
              </w:rPr>
              <w:t>PAS International Holdings, Inc.</w:t>
            </w:r>
          </w:p>
        </w:tc>
        <w:tc>
          <w:tcPr>
            <w:tcW w:w="68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91"/>
              </w:rPr>
              <w:t>—</w:t>
            </w:r>
          </w:p>
        </w:tc>
        <w:tc>
          <w:tcPr>
            <w:tcW w:w="1920" w:type="dxa"/>
            <w:vAlign w:val="bottom"/>
          </w:tcPr>
          <w:p>
            <w:pPr>
              <w:jc w:val="center"/>
              <w:spacing w:after="0" w:line="135" w:lineRule="exact"/>
              <w:rPr>
                <w:sz w:val="20"/>
                <w:szCs w:val="20"/>
                <w:color w:val="auto"/>
              </w:rPr>
            </w:pPr>
            <w:r>
              <w:rPr>
                <w:rFonts w:ascii="Arial" w:cs="Arial" w:eastAsia="Arial" w:hAnsi="Arial"/>
                <w:sz w:val="13"/>
                <w:szCs w:val="13"/>
                <w:color w:val="auto"/>
                <w:w w:val="86"/>
              </w:rPr>
              <w:t>Aerospace and Defense</w:t>
            </w:r>
          </w:p>
        </w:tc>
        <w:tc>
          <w:tcPr>
            <w:tcW w:w="920" w:type="dxa"/>
            <w:vAlign w:val="bottom"/>
          </w:tcPr>
          <w:p>
            <w:pPr>
              <w:jc w:val="right"/>
              <w:ind w:right="217"/>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37"/>
              <w:spacing w:after="0" w:line="135" w:lineRule="exact"/>
              <w:rPr>
                <w:sz w:val="20"/>
                <w:szCs w:val="20"/>
                <w:color w:val="auto"/>
              </w:rPr>
            </w:pPr>
            <w:r>
              <w:rPr>
                <w:rFonts w:ascii="Arial" w:cs="Arial" w:eastAsia="Arial" w:hAnsi="Arial"/>
                <w:sz w:val="13"/>
                <w:szCs w:val="13"/>
                <w:color w:val="auto"/>
              </w:rPr>
              <w:t>53,071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202,620</w:t>
            </w:r>
          </w:p>
        </w:tc>
        <w:tc>
          <w:tcPr>
            <w:tcW w:w="120" w:type="dxa"/>
            <w:vAlign w:val="bottom"/>
          </w:tcPr>
          <w:p>
            <w:pPr>
              <w:spacing w:after="0"/>
              <w:rPr>
                <w:sz w:val="11"/>
                <w:szCs w:val="11"/>
                <w:color w:val="auto"/>
              </w:rPr>
            </w:pPr>
          </w:p>
        </w:tc>
        <w:tc>
          <w:tcPr>
            <w:tcW w:w="10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861,626</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386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Common Equity/Partnership Interests/Warrants</w:t>
            </w:r>
          </w:p>
        </w:tc>
        <w:tc>
          <w:tcPr>
            <w:tcW w:w="68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40,127,744</w:t>
            </w:r>
          </w:p>
        </w:tc>
        <w:tc>
          <w:tcPr>
            <w:tcW w:w="12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19,025,902</w:t>
            </w:r>
          </w:p>
        </w:tc>
        <w:tc>
          <w:tcPr>
            <w:tcW w:w="0" w:type="dxa"/>
            <w:vAlign w:val="bottom"/>
          </w:tcPr>
          <w:p>
            <w:pPr>
              <w:spacing w:after="0"/>
              <w:rPr>
                <w:sz w:val="1"/>
                <w:szCs w:val="1"/>
                <w:color w:val="auto"/>
              </w:rPr>
            </w:pPr>
          </w:p>
        </w:tc>
      </w:tr>
      <w:tr>
        <w:trPr>
          <w:trHeight w:val="149"/>
        </w:trPr>
        <w:tc>
          <w:tcPr>
            <w:tcW w:w="3860" w:type="dxa"/>
            <w:vAlign w:val="bottom"/>
          </w:tcPr>
          <w:p>
            <w:pPr>
              <w:spacing w:after="0" w:line="142" w:lineRule="exact"/>
              <w:rPr>
                <w:sz w:val="20"/>
                <w:szCs w:val="20"/>
                <w:color w:val="auto"/>
              </w:rPr>
            </w:pPr>
            <w:r>
              <w:rPr>
                <w:rFonts w:ascii="Arial" w:cs="Arial" w:eastAsia="Arial" w:hAnsi="Arial"/>
                <w:sz w:val="13"/>
                <w:szCs w:val="13"/>
                <w:b w:val="1"/>
                <w:bCs w:val="1"/>
                <w:color w:val="auto"/>
                <w:w w:val="91"/>
              </w:rPr>
              <w:t>Total Investments in Non-Controlled, Affiliated Portfolio Companies</w:t>
            </w:r>
          </w:p>
        </w:tc>
        <w:tc>
          <w:tcPr>
            <w:tcW w:w="6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108,969,135</w:t>
            </w:r>
          </w:p>
        </w:tc>
        <w:tc>
          <w:tcPr>
            <w:tcW w:w="2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70,789,290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86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w w:val="89"/>
              </w:rPr>
              <w:t xml:space="preserve">Investments in Controlled, Affiliated Portfolio Companies—5.1% </w:t>
            </w:r>
            <w:r>
              <w:rPr>
                <w:rFonts w:ascii="Arial" w:cs="Arial" w:eastAsia="Arial" w:hAnsi="Arial"/>
                <w:sz w:val="10"/>
                <w:szCs w:val="10"/>
                <w:b w:val="1"/>
                <w:bCs w:val="1"/>
                <w:color w:val="auto"/>
                <w:w w:val="89"/>
              </w:rPr>
              <w:t>(1), (2)</w:t>
            </w:r>
          </w:p>
        </w:tc>
        <w:tc>
          <w:tcPr>
            <w:tcW w:w="68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60" w:type="dxa"/>
            <w:vAlign w:val="bottom"/>
          </w:tcPr>
          <w:p>
            <w:pPr>
              <w:spacing w:after="0" w:line="135" w:lineRule="exact"/>
              <w:rPr>
                <w:sz w:val="20"/>
                <w:szCs w:val="20"/>
                <w:color w:val="auto"/>
              </w:rPr>
            </w:pPr>
            <w:r>
              <w:rPr>
                <w:rFonts w:ascii="Arial" w:cs="Arial" w:eastAsia="Arial" w:hAnsi="Arial"/>
                <w:sz w:val="13"/>
                <w:szCs w:val="13"/>
                <w:b w:val="1"/>
                <w:bCs w:val="1"/>
                <w:color w:val="auto"/>
              </w:rPr>
              <w:t>First Lien Secured Debt—3.7%</w:t>
            </w:r>
          </w:p>
        </w:tc>
        <w:tc>
          <w:tcPr>
            <w:tcW w:w="68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Superior Digital Displays, LLC</w:t>
            </w:r>
          </w:p>
        </w:tc>
        <w:tc>
          <w:tcPr>
            <w:tcW w:w="6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12/31/2018</w:t>
            </w:r>
          </w:p>
        </w:tc>
        <w:tc>
          <w:tcPr>
            <w:tcW w:w="19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Media</w:t>
            </w:r>
          </w:p>
        </w:tc>
        <w:tc>
          <w:tcPr>
            <w:tcW w:w="92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13.50%</w:t>
            </w:r>
          </w:p>
        </w:tc>
        <w:tc>
          <w:tcPr>
            <w:tcW w:w="7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L+1,250</w:t>
            </w:r>
          </w:p>
        </w:tc>
        <w:tc>
          <w:tcPr>
            <w:tcW w:w="80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23,850,000</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21,556,062</w:t>
            </w:r>
          </w:p>
        </w:tc>
        <w:tc>
          <w:tcPr>
            <w:tcW w:w="12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20,022,222</w:t>
            </w:r>
          </w:p>
        </w:tc>
        <w:tc>
          <w:tcPr>
            <w:tcW w:w="0" w:type="dxa"/>
            <w:vAlign w:val="bottom"/>
          </w:tcPr>
          <w:p>
            <w:pPr>
              <w:spacing w:after="0"/>
              <w:rPr>
                <w:sz w:val="1"/>
                <w:szCs w:val="1"/>
                <w:color w:val="auto"/>
              </w:rPr>
            </w:pPr>
          </w:p>
        </w:tc>
      </w:tr>
      <w:tr>
        <w:trPr>
          <w:trHeight w:val="135"/>
        </w:trPr>
        <w:tc>
          <w:tcPr>
            <w:tcW w:w="3860" w:type="dxa"/>
            <w:vAlign w:val="bottom"/>
          </w:tcPr>
          <w:p>
            <w:pPr>
              <w:spacing w:after="0" w:line="135" w:lineRule="exact"/>
              <w:rPr>
                <w:sz w:val="20"/>
                <w:szCs w:val="20"/>
                <w:color w:val="auto"/>
              </w:rPr>
            </w:pPr>
            <w:r>
              <w:rPr>
                <w:rFonts w:ascii="Arial" w:cs="Arial" w:eastAsia="Arial" w:hAnsi="Arial"/>
                <w:sz w:val="13"/>
                <w:szCs w:val="13"/>
                <w:color w:val="auto"/>
              </w:rPr>
              <w:t xml:space="preserve">Superior Digital Displays, LLC </w:t>
            </w:r>
            <w:r>
              <w:rPr>
                <w:rFonts w:ascii="Arial" w:cs="Arial" w:eastAsia="Arial" w:hAnsi="Arial"/>
                <w:sz w:val="10"/>
                <w:szCs w:val="10"/>
                <w:color w:val="auto"/>
              </w:rPr>
              <w:t>(9)</w:t>
            </w:r>
          </w:p>
        </w:tc>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89"/>
              </w:rPr>
              <w:t>12/31/2018</w:t>
            </w:r>
          </w:p>
        </w:tc>
        <w:tc>
          <w:tcPr>
            <w:tcW w:w="1920" w:type="dxa"/>
            <w:vAlign w:val="bottom"/>
          </w:tcPr>
          <w:p>
            <w:pPr>
              <w:jc w:val="center"/>
              <w:spacing w:after="0" w:line="135" w:lineRule="exact"/>
              <w:rPr>
                <w:sz w:val="20"/>
                <w:szCs w:val="20"/>
                <w:color w:val="auto"/>
              </w:rPr>
            </w:pPr>
            <w:r>
              <w:rPr>
                <w:rFonts w:ascii="Arial" w:cs="Arial" w:eastAsia="Arial" w:hAnsi="Arial"/>
                <w:sz w:val="13"/>
                <w:szCs w:val="13"/>
                <w:color w:val="auto"/>
                <w:w w:val="90"/>
              </w:rPr>
              <w:t>Media</w:t>
            </w:r>
          </w:p>
        </w:tc>
        <w:tc>
          <w:tcPr>
            <w:tcW w:w="920" w:type="dxa"/>
            <w:vAlign w:val="bottom"/>
          </w:tcPr>
          <w:p>
            <w:pPr>
              <w:jc w:val="right"/>
              <w:ind w:right="217"/>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1,150,000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(105,411)</w:t>
            </w:r>
          </w:p>
        </w:tc>
        <w:tc>
          <w:tcPr>
            <w:tcW w:w="120" w:type="dxa"/>
            <w:vAlign w:val="bottom"/>
          </w:tcPr>
          <w:p>
            <w:pPr>
              <w:spacing w:after="0"/>
              <w:rPr>
                <w:sz w:val="11"/>
                <w:szCs w:val="11"/>
                <w:color w:val="auto"/>
              </w:rPr>
            </w:pPr>
          </w:p>
        </w:tc>
        <w:tc>
          <w:tcPr>
            <w:tcW w:w="10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(184,568)</w:t>
            </w:r>
          </w:p>
        </w:tc>
        <w:tc>
          <w:tcPr>
            <w:tcW w:w="0" w:type="dxa"/>
            <w:vAlign w:val="bottom"/>
          </w:tcPr>
          <w:p>
            <w:pPr>
              <w:spacing w:after="0"/>
              <w:rPr>
                <w:sz w:val="1"/>
                <w:szCs w:val="1"/>
                <w:color w:val="auto"/>
              </w:rPr>
            </w:pPr>
          </w:p>
        </w:tc>
      </w:tr>
      <w:tr>
        <w:trPr>
          <w:trHeight w:val="135"/>
        </w:trPr>
        <w:tc>
          <w:tcPr>
            <w:tcW w:w="38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SuttonPark Holdings, Inc.</w:t>
            </w:r>
          </w:p>
        </w:tc>
        <w:tc>
          <w:tcPr>
            <w:tcW w:w="6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06/30/2020</w:t>
            </w:r>
          </w:p>
        </w:tc>
        <w:tc>
          <w:tcPr>
            <w:tcW w:w="19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4"/>
              </w:rPr>
              <w:t>Business Services</w:t>
            </w: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14.00%</w:t>
            </w:r>
            <w:r>
              <w:rPr>
                <w:rFonts w:ascii="Arial" w:cs="Arial" w:eastAsia="Arial" w:hAnsi="Arial"/>
                <w:sz w:val="10"/>
                <w:szCs w:val="10"/>
                <w:color w:val="auto"/>
              </w:rPr>
              <w:t>(7)</w:t>
            </w:r>
          </w:p>
        </w:tc>
        <w:tc>
          <w:tcPr>
            <w:tcW w:w="7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9,250,000</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9,250,000</w:t>
            </w:r>
          </w:p>
        </w:tc>
        <w:tc>
          <w:tcPr>
            <w:tcW w:w="12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9,517,948</w:t>
            </w:r>
          </w:p>
        </w:tc>
        <w:tc>
          <w:tcPr>
            <w:tcW w:w="0" w:type="dxa"/>
            <w:vAlign w:val="bottom"/>
          </w:tcPr>
          <w:p>
            <w:pPr>
              <w:spacing w:after="0"/>
              <w:rPr>
                <w:sz w:val="1"/>
                <w:szCs w:val="1"/>
                <w:color w:val="auto"/>
              </w:rPr>
            </w:pPr>
          </w:p>
        </w:tc>
      </w:tr>
      <w:tr>
        <w:trPr>
          <w:trHeight w:val="149"/>
        </w:trPr>
        <w:tc>
          <w:tcPr>
            <w:tcW w:w="3860" w:type="dxa"/>
            <w:vAlign w:val="bottom"/>
          </w:tcPr>
          <w:p>
            <w:pPr>
              <w:spacing w:after="0" w:line="142" w:lineRule="exact"/>
              <w:rPr>
                <w:sz w:val="20"/>
                <w:szCs w:val="20"/>
                <w:color w:val="auto"/>
              </w:rPr>
            </w:pPr>
            <w:r>
              <w:rPr>
                <w:rFonts w:ascii="Arial" w:cs="Arial" w:eastAsia="Arial" w:hAnsi="Arial"/>
                <w:sz w:val="13"/>
                <w:szCs w:val="13"/>
                <w:b w:val="1"/>
                <w:bCs w:val="1"/>
                <w:color w:val="auto"/>
              </w:rPr>
              <w:t>Total First Lien Secured Debt</w:t>
            </w:r>
          </w:p>
        </w:tc>
        <w:tc>
          <w:tcPr>
            <w:tcW w:w="6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30,700,651</w:t>
            </w:r>
          </w:p>
        </w:tc>
        <w:tc>
          <w:tcPr>
            <w:tcW w:w="2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29,355,602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86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Subordinated Debt/Corporate Notes—0.3%</w:t>
            </w:r>
          </w:p>
        </w:tc>
        <w:tc>
          <w:tcPr>
            <w:tcW w:w="68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860" w:type="dxa"/>
            <w:vAlign w:val="bottom"/>
          </w:tcPr>
          <w:p>
            <w:pPr>
              <w:spacing w:after="0" w:line="135" w:lineRule="exact"/>
              <w:rPr>
                <w:sz w:val="20"/>
                <w:szCs w:val="20"/>
                <w:color w:val="auto"/>
              </w:rPr>
            </w:pPr>
            <w:r>
              <w:rPr>
                <w:rFonts w:ascii="Arial" w:cs="Arial" w:eastAsia="Arial" w:hAnsi="Arial"/>
                <w:sz w:val="13"/>
                <w:szCs w:val="13"/>
                <w:color w:val="auto"/>
              </w:rPr>
              <w:t>SuttonPark Holdings, Inc.</w:t>
            </w:r>
          </w:p>
        </w:tc>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86"/>
              </w:rPr>
              <w:t>6/30/2020</w:t>
            </w:r>
          </w:p>
        </w:tc>
        <w:tc>
          <w:tcPr>
            <w:tcW w:w="1920" w:type="dxa"/>
            <w:vAlign w:val="bottom"/>
          </w:tcPr>
          <w:p>
            <w:pPr>
              <w:jc w:val="center"/>
              <w:spacing w:after="0" w:line="135" w:lineRule="exact"/>
              <w:rPr>
                <w:sz w:val="20"/>
                <w:szCs w:val="20"/>
                <w:color w:val="auto"/>
              </w:rPr>
            </w:pPr>
            <w:r>
              <w:rPr>
                <w:rFonts w:ascii="Arial" w:cs="Arial" w:eastAsia="Arial" w:hAnsi="Arial"/>
                <w:sz w:val="13"/>
                <w:szCs w:val="13"/>
                <w:color w:val="auto"/>
                <w:w w:val="84"/>
              </w:rPr>
              <w:t>Business Services</w:t>
            </w: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14.00%</w:t>
            </w:r>
            <w:r>
              <w:rPr>
                <w:rFonts w:ascii="Arial" w:cs="Arial" w:eastAsia="Arial" w:hAnsi="Arial"/>
                <w:sz w:val="10"/>
                <w:szCs w:val="10"/>
                <w:color w:val="auto"/>
              </w:rPr>
              <w:t>(7)</w:t>
            </w:r>
          </w:p>
        </w:tc>
        <w:tc>
          <w:tcPr>
            <w:tcW w:w="7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37"/>
              <w:spacing w:after="0" w:line="135" w:lineRule="exact"/>
              <w:rPr>
                <w:sz w:val="20"/>
                <w:szCs w:val="20"/>
                <w:color w:val="auto"/>
              </w:rPr>
            </w:pPr>
            <w:r>
              <w:rPr>
                <w:rFonts w:ascii="Arial" w:cs="Arial" w:eastAsia="Arial" w:hAnsi="Arial"/>
                <w:sz w:val="13"/>
                <w:szCs w:val="13"/>
                <w:color w:val="auto"/>
              </w:rPr>
              <w:t>2,250,000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2,250,000</w:t>
            </w:r>
          </w:p>
        </w:tc>
        <w:tc>
          <w:tcPr>
            <w:tcW w:w="120" w:type="dxa"/>
            <w:vAlign w:val="bottom"/>
          </w:tcPr>
          <w:p>
            <w:pPr>
              <w:spacing w:after="0"/>
              <w:rPr>
                <w:sz w:val="12"/>
                <w:szCs w:val="12"/>
                <w:color w:val="auto"/>
              </w:rPr>
            </w:pPr>
          </w:p>
        </w:tc>
        <w:tc>
          <w:tcPr>
            <w:tcW w:w="10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1,993,534</w:t>
            </w:r>
          </w:p>
        </w:tc>
        <w:tc>
          <w:tcPr>
            <w:tcW w:w="0" w:type="dxa"/>
            <w:vAlign w:val="bottom"/>
          </w:tcPr>
          <w:p>
            <w:pPr>
              <w:spacing w:after="0"/>
              <w:rPr>
                <w:sz w:val="1"/>
                <w:szCs w:val="1"/>
                <w:color w:val="auto"/>
              </w:rPr>
            </w:pPr>
          </w:p>
        </w:tc>
      </w:tr>
      <w:tr>
        <w:trPr>
          <w:trHeight w:val="135"/>
        </w:trPr>
        <w:tc>
          <w:tcPr>
            <w:tcW w:w="386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 xml:space="preserve">Preferred Equity—1.1% </w:t>
            </w:r>
            <w:r>
              <w:rPr>
                <w:rFonts w:ascii="Arial" w:cs="Arial" w:eastAsia="Arial" w:hAnsi="Arial"/>
                <w:sz w:val="10"/>
                <w:szCs w:val="10"/>
                <w:b w:val="1"/>
                <w:bCs w:val="1"/>
                <w:color w:val="auto"/>
              </w:rPr>
              <w:t>(6)</w:t>
            </w:r>
          </w:p>
        </w:tc>
        <w:tc>
          <w:tcPr>
            <w:tcW w:w="68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860" w:type="dxa"/>
            <w:vAlign w:val="bottom"/>
          </w:tcPr>
          <w:p>
            <w:pPr>
              <w:spacing w:after="0" w:line="135" w:lineRule="exact"/>
              <w:rPr>
                <w:sz w:val="20"/>
                <w:szCs w:val="20"/>
                <w:color w:val="auto"/>
              </w:rPr>
            </w:pPr>
            <w:r>
              <w:rPr>
                <w:rFonts w:ascii="Arial" w:cs="Arial" w:eastAsia="Arial" w:hAnsi="Arial"/>
                <w:sz w:val="13"/>
                <w:szCs w:val="13"/>
                <w:color w:val="auto"/>
              </w:rPr>
              <w:t>SuttonPark Holdings, Inc.</w:t>
            </w:r>
          </w:p>
        </w:tc>
        <w:tc>
          <w:tcPr>
            <w:tcW w:w="68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91"/>
              </w:rPr>
              <w:t>—</w:t>
            </w:r>
          </w:p>
        </w:tc>
        <w:tc>
          <w:tcPr>
            <w:tcW w:w="1920" w:type="dxa"/>
            <w:vAlign w:val="bottom"/>
          </w:tcPr>
          <w:p>
            <w:pPr>
              <w:jc w:val="center"/>
              <w:spacing w:after="0" w:line="135" w:lineRule="exact"/>
              <w:rPr>
                <w:sz w:val="20"/>
                <w:szCs w:val="20"/>
                <w:color w:val="auto"/>
              </w:rPr>
            </w:pPr>
            <w:r>
              <w:rPr>
                <w:rFonts w:ascii="Arial" w:cs="Arial" w:eastAsia="Arial" w:hAnsi="Arial"/>
                <w:sz w:val="13"/>
                <w:szCs w:val="13"/>
                <w:color w:val="auto"/>
                <w:w w:val="84"/>
              </w:rPr>
              <w:t>Business Services</w:t>
            </w:r>
          </w:p>
        </w:tc>
        <w:tc>
          <w:tcPr>
            <w:tcW w:w="920" w:type="dxa"/>
            <w:vAlign w:val="bottom"/>
          </w:tcPr>
          <w:p>
            <w:pPr>
              <w:jc w:val="right"/>
              <w:ind w:right="97"/>
              <w:spacing w:after="0" w:line="135" w:lineRule="exact"/>
              <w:rPr>
                <w:sz w:val="20"/>
                <w:szCs w:val="20"/>
                <w:color w:val="auto"/>
              </w:rPr>
            </w:pPr>
            <w:r>
              <w:rPr>
                <w:rFonts w:ascii="Arial" w:cs="Arial" w:eastAsia="Arial" w:hAnsi="Arial"/>
                <w:sz w:val="13"/>
                <w:szCs w:val="13"/>
                <w:color w:val="auto"/>
              </w:rPr>
              <w:t>14.00%</w:t>
            </w:r>
          </w:p>
        </w:tc>
        <w:tc>
          <w:tcPr>
            <w:tcW w:w="7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37"/>
              <w:spacing w:after="0" w:line="135" w:lineRule="exact"/>
              <w:rPr>
                <w:sz w:val="20"/>
                <w:szCs w:val="20"/>
                <w:color w:val="auto"/>
              </w:rPr>
            </w:pPr>
            <w:r>
              <w:rPr>
                <w:rFonts w:ascii="Arial" w:cs="Arial" w:eastAsia="Arial" w:hAnsi="Arial"/>
                <w:sz w:val="13"/>
                <w:szCs w:val="13"/>
                <w:color w:val="auto"/>
              </w:rPr>
              <w:t>8,500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8,500,000</w:t>
            </w:r>
          </w:p>
        </w:tc>
        <w:tc>
          <w:tcPr>
            <w:tcW w:w="120" w:type="dxa"/>
            <w:vAlign w:val="bottom"/>
          </w:tcPr>
          <w:p>
            <w:pPr>
              <w:spacing w:after="0"/>
              <w:rPr>
                <w:sz w:val="12"/>
                <w:szCs w:val="12"/>
                <w:color w:val="auto"/>
              </w:rPr>
            </w:pPr>
          </w:p>
        </w:tc>
        <w:tc>
          <w:tcPr>
            <w:tcW w:w="10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8,488,518</w:t>
            </w:r>
          </w:p>
        </w:tc>
        <w:tc>
          <w:tcPr>
            <w:tcW w:w="0" w:type="dxa"/>
            <w:vAlign w:val="bottom"/>
          </w:tcPr>
          <w:p>
            <w:pPr>
              <w:spacing w:after="0"/>
              <w:rPr>
                <w:sz w:val="1"/>
                <w:szCs w:val="1"/>
                <w:color w:val="auto"/>
              </w:rPr>
            </w:pPr>
          </w:p>
        </w:tc>
      </w:tr>
      <w:tr>
        <w:trPr>
          <w:trHeight w:val="135"/>
        </w:trPr>
        <w:tc>
          <w:tcPr>
            <w:tcW w:w="386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 xml:space="preserve">Common Equity—0.0% </w:t>
            </w:r>
            <w:r>
              <w:rPr>
                <w:rFonts w:ascii="Arial" w:cs="Arial" w:eastAsia="Arial" w:hAnsi="Arial"/>
                <w:sz w:val="10"/>
                <w:szCs w:val="10"/>
                <w:b w:val="1"/>
                <w:bCs w:val="1"/>
                <w:color w:val="auto"/>
              </w:rPr>
              <w:t>(6)</w:t>
            </w:r>
          </w:p>
        </w:tc>
        <w:tc>
          <w:tcPr>
            <w:tcW w:w="68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860" w:type="dxa"/>
            <w:vAlign w:val="bottom"/>
          </w:tcPr>
          <w:p>
            <w:pPr>
              <w:spacing w:after="0" w:line="121" w:lineRule="exact"/>
              <w:rPr>
                <w:sz w:val="20"/>
                <w:szCs w:val="20"/>
                <w:color w:val="auto"/>
              </w:rPr>
            </w:pPr>
            <w:r>
              <w:rPr>
                <w:rFonts w:ascii="Arial" w:cs="Arial" w:eastAsia="Arial" w:hAnsi="Arial"/>
                <w:sz w:val="13"/>
                <w:szCs w:val="13"/>
                <w:color w:val="auto"/>
              </w:rPr>
              <w:t>Superior Digital Displays Holdings, Inc.</w:t>
            </w:r>
          </w:p>
        </w:tc>
        <w:tc>
          <w:tcPr>
            <w:tcW w:w="680" w:type="dxa"/>
            <w:vAlign w:val="bottom"/>
          </w:tcPr>
          <w:p>
            <w:pPr>
              <w:jc w:val="center"/>
              <w:ind w:right="17"/>
              <w:spacing w:after="0" w:line="121" w:lineRule="exact"/>
              <w:rPr>
                <w:sz w:val="20"/>
                <w:szCs w:val="20"/>
                <w:color w:val="auto"/>
              </w:rPr>
            </w:pPr>
            <w:r>
              <w:rPr>
                <w:rFonts w:ascii="Arial" w:cs="Arial" w:eastAsia="Arial" w:hAnsi="Arial"/>
                <w:sz w:val="13"/>
                <w:szCs w:val="13"/>
                <w:color w:val="auto"/>
                <w:w w:val="91"/>
              </w:rPr>
              <w:t>—</w:t>
            </w:r>
          </w:p>
        </w:tc>
        <w:tc>
          <w:tcPr>
            <w:tcW w:w="1920" w:type="dxa"/>
            <w:vAlign w:val="bottom"/>
          </w:tcPr>
          <w:p>
            <w:pPr>
              <w:jc w:val="center"/>
              <w:spacing w:after="0" w:line="121" w:lineRule="exact"/>
              <w:rPr>
                <w:sz w:val="20"/>
                <w:szCs w:val="20"/>
                <w:color w:val="auto"/>
              </w:rPr>
            </w:pPr>
            <w:r>
              <w:rPr>
                <w:rFonts w:ascii="Arial" w:cs="Arial" w:eastAsia="Arial" w:hAnsi="Arial"/>
                <w:sz w:val="13"/>
                <w:szCs w:val="13"/>
                <w:color w:val="auto"/>
                <w:w w:val="90"/>
              </w:rPr>
              <w:t>Media</w:t>
            </w:r>
          </w:p>
        </w:tc>
        <w:tc>
          <w:tcPr>
            <w:tcW w:w="920" w:type="dxa"/>
            <w:vAlign w:val="bottom"/>
          </w:tcPr>
          <w:p>
            <w:pPr>
              <w:jc w:val="right"/>
              <w:ind w:right="217"/>
              <w:spacing w:after="0" w:line="121" w:lineRule="exact"/>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line="121"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37"/>
              <w:spacing w:after="0" w:line="121" w:lineRule="exact"/>
              <w:rPr>
                <w:sz w:val="20"/>
                <w:szCs w:val="20"/>
                <w:color w:val="auto"/>
              </w:rPr>
            </w:pPr>
            <w:r>
              <w:rPr>
                <w:rFonts w:ascii="Arial" w:cs="Arial" w:eastAsia="Arial" w:hAnsi="Arial"/>
                <w:sz w:val="13"/>
                <w:szCs w:val="13"/>
                <w:color w:val="auto"/>
              </w:rPr>
              <w:t>4,750</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tcPr>
          <w:p>
            <w:pPr>
              <w:jc w:val="right"/>
              <w:ind w:right="200"/>
              <w:spacing w:after="0" w:line="121" w:lineRule="exact"/>
              <w:rPr>
                <w:sz w:val="20"/>
                <w:szCs w:val="20"/>
                <w:color w:val="auto"/>
              </w:rPr>
            </w:pPr>
            <w:r>
              <w:rPr>
                <w:rFonts w:ascii="Arial" w:cs="Arial" w:eastAsia="Arial" w:hAnsi="Arial"/>
                <w:sz w:val="13"/>
                <w:szCs w:val="13"/>
                <w:color w:val="auto"/>
              </w:rPr>
              <w:t>2,211,000</w:t>
            </w:r>
          </w:p>
        </w:tc>
        <w:tc>
          <w:tcPr>
            <w:tcW w:w="120" w:type="dxa"/>
            <w:vAlign w:val="bottom"/>
          </w:tcPr>
          <w:p>
            <w:pPr>
              <w:spacing w:after="0"/>
              <w:rPr>
                <w:sz w:val="10"/>
                <w:szCs w:val="10"/>
                <w:color w:val="auto"/>
              </w:rPr>
            </w:pPr>
          </w:p>
        </w:tc>
        <w:tc>
          <w:tcPr>
            <w:tcW w:w="102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157,574</w:t>
            </w:r>
          </w:p>
        </w:tc>
        <w:tc>
          <w:tcPr>
            <w:tcW w:w="0" w:type="dxa"/>
            <w:vAlign w:val="bottom"/>
          </w:tcPr>
          <w:p>
            <w:pPr>
              <w:spacing w:after="0"/>
              <w:rPr>
                <w:sz w:val="1"/>
                <w:szCs w:val="1"/>
                <w:color w:val="auto"/>
              </w:rPr>
            </w:pPr>
          </w:p>
        </w:tc>
      </w:tr>
      <w:tr>
        <w:trPr>
          <w:trHeight w:val="149"/>
        </w:trPr>
        <w:tc>
          <w:tcPr>
            <w:tcW w:w="3860" w:type="dxa"/>
            <w:vAlign w:val="bottom"/>
          </w:tcPr>
          <w:p>
            <w:pPr>
              <w:ind w:left="140"/>
              <w:spacing w:after="0"/>
              <w:rPr>
                <w:sz w:val="20"/>
                <w:szCs w:val="20"/>
                <w:color w:val="auto"/>
              </w:rPr>
            </w:pPr>
            <w:r>
              <w:rPr>
                <w:rFonts w:ascii="Arial" w:cs="Arial" w:eastAsia="Arial" w:hAnsi="Arial"/>
                <w:sz w:val="13"/>
                <w:szCs w:val="13"/>
                <w:color w:val="auto"/>
              </w:rPr>
              <w:t>(Superior Digital Displays, LLC)</w:t>
            </w:r>
          </w:p>
        </w:tc>
        <w:tc>
          <w:tcPr>
            <w:tcW w:w="6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8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SuttonPark Holdings, Inc.</w:t>
            </w:r>
          </w:p>
        </w:tc>
        <w:tc>
          <w:tcPr>
            <w:tcW w:w="680" w:type="dxa"/>
            <w:vAlign w:val="bottom"/>
            <w:shd w:val="clear" w:color="auto" w:fill="CCEEFF"/>
          </w:tcPr>
          <w:p>
            <w:pPr>
              <w:jc w:val="center"/>
              <w:ind w:right="17"/>
              <w:spacing w:after="0" w:line="135" w:lineRule="exact"/>
              <w:rPr>
                <w:sz w:val="20"/>
                <w:szCs w:val="20"/>
                <w:color w:val="auto"/>
              </w:rPr>
            </w:pPr>
            <w:r>
              <w:rPr>
                <w:rFonts w:ascii="Arial" w:cs="Arial" w:eastAsia="Arial" w:hAnsi="Arial"/>
                <w:sz w:val="13"/>
                <w:szCs w:val="13"/>
                <w:color w:val="auto"/>
                <w:w w:val="91"/>
              </w:rPr>
              <w:t>—</w:t>
            </w:r>
          </w:p>
        </w:tc>
        <w:tc>
          <w:tcPr>
            <w:tcW w:w="19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4"/>
              </w:rPr>
              <w:t>Business Services</w:t>
            </w:r>
          </w:p>
        </w:tc>
        <w:tc>
          <w:tcPr>
            <w:tcW w:w="920" w:type="dxa"/>
            <w:vAlign w:val="bottom"/>
            <w:shd w:val="clear" w:color="auto" w:fill="CCEEFF"/>
          </w:tcPr>
          <w:p>
            <w:pPr>
              <w:jc w:val="right"/>
              <w:ind w:right="217"/>
              <w:spacing w:after="0" w:line="135"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100</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100</w:t>
            </w:r>
          </w:p>
        </w:tc>
        <w:tc>
          <w:tcPr>
            <w:tcW w:w="12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3860" w:type="dxa"/>
            <w:vAlign w:val="bottom"/>
          </w:tcPr>
          <w:p>
            <w:pPr>
              <w:spacing w:after="0" w:line="142" w:lineRule="exact"/>
              <w:rPr>
                <w:sz w:val="20"/>
                <w:szCs w:val="20"/>
                <w:color w:val="auto"/>
              </w:rPr>
            </w:pPr>
            <w:r>
              <w:rPr>
                <w:rFonts w:ascii="Arial" w:cs="Arial" w:eastAsia="Arial" w:hAnsi="Arial"/>
                <w:sz w:val="13"/>
                <w:szCs w:val="13"/>
                <w:b w:val="1"/>
                <w:bCs w:val="1"/>
                <w:color w:val="auto"/>
              </w:rPr>
              <w:t>Total Common Equity</w:t>
            </w:r>
          </w:p>
        </w:tc>
        <w:tc>
          <w:tcPr>
            <w:tcW w:w="6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2,211,100</w:t>
            </w:r>
          </w:p>
        </w:tc>
        <w:tc>
          <w:tcPr>
            <w:tcW w:w="2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157,574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86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w w:val="98"/>
              </w:rPr>
              <w:t>Total Investments in Controlled, Affiliated Portfolio Companies</w:t>
            </w:r>
          </w:p>
        </w:tc>
        <w:tc>
          <w:tcPr>
            <w:tcW w:w="68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43,661,751</w:t>
            </w:r>
          </w:p>
        </w:tc>
        <w:tc>
          <w:tcPr>
            <w:tcW w:w="12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39,995,228</w:t>
            </w:r>
          </w:p>
        </w:tc>
        <w:tc>
          <w:tcPr>
            <w:tcW w:w="0" w:type="dxa"/>
            <w:vAlign w:val="bottom"/>
          </w:tcPr>
          <w:p>
            <w:pPr>
              <w:spacing w:after="0"/>
              <w:rPr>
                <w:sz w:val="1"/>
                <w:szCs w:val="1"/>
                <w:color w:val="auto"/>
              </w:rPr>
            </w:pPr>
          </w:p>
        </w:tc>
      </w:tr>
      <w:tr>
        <w:trPr>
          <w:trHeight w:val="149"/>
        </w:trPr>
        <w:tc>
          <w:tcPr>
            <w:tcW w:w="3860" w:type="dxa"/>
            <w:vAlign w:val="bottom"/>
          </w:tcPr>
          <w:p>
            <w:pPr>
              <w:spacing w:after="0" w:line="142" w:lineRule="exact"/>
              <w:rPr>
                <w:sz w:val="20"/>
                <w:szCs w:val="20"/>
                <w:color w:val="auto"/>
              </w:rPr>
            </w:pPr>
            <w:r>
              <w:rPr>
                <w:rFonts w:ascii="Arial" w:cs="Arial" w:eastAsia="Arial" w:hAnsi="Arial"/>
                <w:sz w:val="13"/>
                <w:szCs w:val="13"/>
                <w:b w:val="1"/>
                <w:bCs w:val="1"/>
                <w:color w:val="auto"/>
              </w:rPr>
              <w:t>Total Investments—171.2%</w:t>
            </w:r>
          </w:p>
        </w:tc>
        <w:tc>
          <w:tcPr>
            <w:tcW w:w="6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8"/>
              </w:rPr>
              <w:t>1,394,568,116</w:t>
            </w:r>
          </w:p>
        </w:tc>
        <w:tc>
          <w:tcPr>
            <w:tcW w:w="2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1,340,595,118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86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Cash and Cash Equivalents—6.9%</w:t>
            </w:r>
          </w:p>
        </w:tc>
        <w:tc>
          <w:tcPr>
            <w:tcW w:w="68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60" w:type="dxa"/>
            <w:vAlign w:val="bottom"/>
          </w:tcPr>
          <w:p>
            <w:pPr>
              <w:spacing w:after="0" w:line="135" w:lineRule="exact"/>
              <w:rPr>
                <w:sz w:val="20"/>
                <w:szCs w:val="20"/>
                <w:color w:val="auto"/>
              </w:rPr>
            </w:pPr>
            <w:r>
              <w:rPr>
                <w:rFonts w:ascii="Arial" w:cs="Arial" w:eastAsia="Arial" w:hAnsi="Arial"/>
                <w:sz w:val="13"/>
                <w:szCs w:val="13"/>
                <w:color w:val="auto"/>
              </w:rPr>
              <w:t>BlackRock Liquidity Funds, Temp Cash, Institutional Shares</w:t>
            </w:r>
          </w:p>
        </w:tc>
        <w:tc>
          <w:tcPr>
            <w:tcW w:w="68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7,894,795</w:t>
            </w:r>
          </w:p>
        </w:tc>
        <w:tc>
          <w:tcPr>
            <w:tcW w:w="120" w:type="dxa"/>
            <w:vAlign w:val="bottom"/>
          </w:tcPr>
          <w:p>
            <w:pPr>
              <w:spacing w:after="0"/>
              <w:rPr>
                <w:sz w:val="11"/>
                <w:szCs w:val="11"/>
                <w:color w:val="auto"/>
              </w:rPr>
            </w:pPr>
          </w:p>
        </w:tc>
        <w:tc>
          <w:tcPr>
            <w:tcW w:w="10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7,894,795</w:t>
            </w:r>
          </w:p>
        </w:tc>
        <w:tc>
          <w:tcPr>
            <w:tcW w:w="0" w:type="dxa"/>
            <w:vAlign w:val="bottom"/>
          </w:tcPr>
          <w:p>
            <w:pPr>
              <w:spacing w:after="0"/>
              <w:rPr>
                <w:sz w:val="1"/>
                <w:szCs w:val="1"/>
                <w:color w:val="auto"/>
              </w:rPr>
            </w:pPr>
          </w:p>
        </w:tc>
      </w:tr>
      <w:tr>
        <w:trPr>
          <w:trHeight w:val="135"/>
        </w:trPr>
        <w:tc>
          <w:tcPr>
            <w:tcW w:w="38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BNY Mellon Cash Reserve and Cash</w:t>
            </w:r>
          </w:p>
        </w:tc>
        <w:tc>
          <w:tcPr>
            <w:tcW w:w="68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46,506,854</w:t>
            </w:r>
          </w:p>
        </w:tc>
        <w:tc>
          <w:tcPr>
            <w:tcW w:w="12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46,434,453</w:t>
            </w:r>
          </w:p>
        </w:tc>
        <w:tc>
          <w:tcPr>
            <w:tcW w:w="0" w:type="dxa"/>
            <w:vAlign w:val="bottom"/>
          </w:tcPr>
          <w:p>
            <w:pPr>
              <w:spacing w:after="0"/>
              <w:rPr>
                <w:sz w:val="1"/>
                <w:szCs w:val="1"/>
                <w:color w:val="auto"/>
              </w:rPr>
            </w:pPr>
          </w:p>
        </w:tc>
      </w:tr>
      <w:tr>
        <w:trPr>
          <w:trHeight w:val="149"/>
        </w:trPr>
        <w:tc>
          <w:tcPr>
            <w:tcW w:w="3860" w:type="dxa"/>
            <w:vAlign w:val="bottom"/>
          </w:tcPr>
          <w:p>
            <w:pPr>
              <w:spacing w:after="0" w:line="142" w:lineRule="exact"/>
              <w:rPr>
                <w:sz w:val="20"/>
                <w:szCs w:val="20"/>
                <w:color w:val="auto"/>
              </w:rPr>
            </w:pPr>
            <w:r>
              <w:rPr>
                <w:rFonts w:ascii="Arial" w:cs="Arial" w:eastAsia="Arial" w:hAnsi="Arial"/>
                <w:sz w:val="13"/>
                <w:szCs w:val="13"/>
                <w:b w:val="1"/>
                <w:bCs w:val="1"/>
                <w:color w:val="auto"/>
              </w:rPr>
              <w:t>Total Cash and Cash Equivalents</w:t>
            </w:r>
          </w:p>
        </w:tc>
        <w:tc>
          <w:tcPr>
            <w:tcW w:w="6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54,401,649</w:t>
            </w:r>
          </w:p>
        </w:tc>
        <w:tc>
          <w:tcPr>
            <w:tcW w:w="2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54,329,248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86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Investments and Cash Equivalents—178.1%</w:t>
            </w:r>
          </w:p>
        </w:tc>
        <w:tc>
          <w:tcPr>
            <w:tcW w:w="68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w w:val="88"/>
              </w:rPr>
              <w:t>1,448,969,765</w:t>
            </w:r>
          </w:p>
        </w:tc>
        <w:tc>
          <w:tcPr>
            <w:tcW w:w="12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1,394,924,366</w:t>
            </w:r>
          </w:p>
        </w:tc>
        <w:tc>
          <w:tcPr>
            <w:tcW w:w="0" w:type="dxa"/>
            <w:vAlign w:val="bottom"/>
          </w:tcPr>
          <w:p>
            <w:pPr>
              <w:spacing w:after="0"/>
              <w:rPr>
                <w:sz w:val="1"/>
                <w:szCs w:val="1"/>
                <w:color w:val="auto"/>
              </w:rPr>
            </w:pPr>
          </w:p>
        </w:tc>
      </w:tr>
      <w:tr>
        <w:trPr>
          <w:trHeight w:val="20"/>
        </w:trPr>
        <w:tc>
          <w:tcPr>
            <w:tcW w:w="3860" w:type="dxa"/>
            <w:vAlign w:val="bottom"/>
            <w:vMerge w:val="restart"/>
          </w:tcPr>
          <w:p>
            <w:pPr>
              <w:spacing w:after="0"/>
              <w:rPr>
                <w:sz w:val="20"/>
                <w:szCs w:val="20"/>
                <w:color w:val="auto"/>
              </w:rPr>
            </w:pPr>
            <w:r>
              <w:rPr>
                <w:rFonts w:ascii="Arial" w:cs="Arial" w:eastAsia="Arial" w:hAnsi="Arial"/>
                <w:sz w:val="13"/>
                <w:szCs w:val="13"/>
                <w:b w:val="1"/>
                <w:bCs w:val="1"/>
                <w:color w:val="auto"/>
              </w:rPr>
              <w:t>Liabilities in Excess of Other Assets—(78.1%)</w:t>
            </w:r>
          </w:p>
        </w:tc>
        <w:tc>
          <w:tcPr>
            <w:tcW w:w="6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860" w:type="dxa"/>
            <w:vAlign w:val="bottom"/>
            <w:vMerge w:val="continue"/>
          </w:tcPr>
          <w:p>
            <w:pPr>
              <w:spacing w:after="0"/>
              <w:rPr>
                <w:sz w:val="11"/>
                <w:szCs w:val="11"/>
                <w:color w:val="auto"/>
              </w:rPr>
            </w:pPr>
          </w:p>
        </w:tc>
        <w:tc>
          <w:tcPr>
            <w:tcW w:w="68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right"/>
              <w:spacing w:after="0" w:line="129" w:lineRule="exact"/>
              <w:rPr>
                <w:sz w:val="20"/>
                <w:szCs w:val="20"/>
                <w:color w:val="auto"/>
              </w:rPr>
            </w:pPr>
            <w:r>
              <w:rPr>
                <w:rFonts w:ascii="Arial" w:cs="Arial" w:eastAsia="Arial" w:hAnsi="Arial"/>
                <w:sz w:val="13"/>
                <w:szCs w:val="13"/>
                <w:color w:val="auto"/>
              </w:rPr>
              <w:t>(611,886,126)</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6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Net Assets—100.0%</w:t>
            </w:r>
          </w:p>
        </w:tc>
        <w:tc>
          <w:tcPr>
            <w:tcW w:w="68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783,038,240</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NOTES TO CONSOLIDATED FINANCIAL STATEMENTS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240"/>
          </w:cols>
          <w:pgMar w:left="320" w:top="459" w:right="3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ind w:right="-59"/>
        <w:spacing w:after="0" w:line="226" w:lineRule="auto"/>
        <w:rPr>
          <w:sz w:val="20"/>
          <w:szCs w:val="20"/>
          <w:color w:val="auto"/>
        </w:rPr>
      </w:pPr>
      <w:r>
        <w:rPr>
          <w:rFonts w:ascii="Arial" w:cs="Arial" w:eastAsia="Arial" w:hAnsi="Arial"/>
          <w:sz w:val="14"/>
          <w:szCs w:val="14"/>
          <w:b w:val="1"/>
          <w:bCs w:val="1"/>
          <w:color w:val="auto"/>
        </w:rPr>
        <w:t>CONSOLIDATED SCHEDULE OF INVESTMENTS – (Continued)</w:t>
      </w:r>
    </w:p>
    <w:p>
      <w:pPr>
        <w:jc w:val="center"/>
        <w:ind w:right="-59"/>
        <w:spacing w:after="0" w:line="221" w:lineRule="auto"/>
        <w:rPr>
          <w:sz w:val="20"/>
          <w:szCs w:val="20"/>
          <w:color w:val="auto"/>
        </w:rPr>
      </w:pPr>
      <w:r>
        <w:rPr>
          <w:rFonts w:ascii="Arial" w:cs="Arial" w:eastAsia="Arial" w:hAnsi="Arial"/>
          <w:sz w:val="14"/>
          <w:szCs w:val="14"/>
          <w:b w:val="1"/>
          <w:bCs w:val="1"/>
          <w:color w:val="auto"/>
        </w:rPr>
        <w:t>DECEMBER 31, 2014</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330835</wp:posOffset>
            </wp:positionV>
            <wp:extent cx="185166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51660" cy="8890"/>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ind w:left="340" w:hanging="332"/>
        <w:spacing w:after="0" w:line="243" w:lineRule="auto"/>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ind w:left="340" w:right="20" w:hanging="332"/>
        <w:spacing w:after="0" w:line="234" w:lineRule="auto"/>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 (see Note 6).</w:t>
      </w:r>
    </w:p>
    <w:p>
      <w:pPr>
        <w:ind w:left="340" w:hanging="332"/>
        <w:spacing w:after="0" w:line="234" w:lineRule="auto"/>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Valued based on our accounting policy (see Note 2).</w:t>
      </w:r>
    </w:p>
    <w:p>
      <w:pPr>
        <w:ind w:left="340" w:right="140" w:hanging="332"/>
        <w:spacing w:after="0" w:line="234" w:lineRule="auto"/>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London Interbank Offered Rate, or LIBOR, or “L” or Prime, or “P” rate. All securities are subject to a LIBOR or Prime rate floor where a spread is provided, unless noted. The spread provided includes payment-in-kind, or PIK, interest and other fee rates, if any.</w:t>
      </w:r>
    </w:p>
    <w:p>
      <w:pPr>
        <w:ind w:left="340" w:right="340" w:hanging="332"/>
        <w:spacing w:after="0" w:line="234" w:lineRule="auto"/>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Security is exempt from registration under Rule 144A promulgated under the Securities Act of 1933, as amended, or the Securities Act. The security may be resold in transactions that are exempt from registration, normally to qualified institutional buyers.</w:t>
      </w:r>
    </w:p>
    <w:p>
      <w:pPr>
        <w:ind w:left="340" w:hanging="332"/>
        <w:spacing w:after="0" w:line="234" w:lineRule="auto"/>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Non-income producing securities.</w:t>
      </w:r>
    </w:p>
    <w:p>
      <w:pPr>
        <w:ind w:left="340" w:hanging="332"/>
        <w:spacing w:after="0" w:line="234" w:lineRule="auto"/>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Coupon is payable in cash and/or PIK.</w:t>
      </w:r>
    </w:p>
    <w:p>
      <w:pPr>
        <w:ind w:left="340" w:hanging="332"/>
        <w:spacing w:after="0" w:line="234" w:lineRule="auto"/>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Coupon is not subject to a LIBOR or Prime rate floor.</w:t>
      </w:r>
    </w:p>
    <w:p>
      <w:pPr>
        <w:ind w:left="340" w:hanging="332"/>
        <w:spacing w:after="0"/>
        <w:tabs>
          <w:tab w:leader="none" w:pos="340" w:val="left"/>
        </w:tabs>
        <w:numPr>
          <w:ilvl w:val="0"/>
          <w:numId w:val="3"/>
        </w:numPr>
        <w:rPr>
          <w:rFonts w:ascii="Arial" w:cs="Arial" w:eastAsia="Arial" w:hAnsi="Arial"/>
          <w:sz w:val="11"/>
          <w:szCs w:val="11"/>
          <w:color w:val="auto"/>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8" w:lineRule="exact"/>
        <w:rPr>
          <w:rFonts w:ascii="Arial" w:cs="Arial" w:eastAsia="Arial" w:hAnsi="Arial"/>
          <w:sz w:val="11"/>
          <w:szCs w:val="11"/>
          <w:color w:val="auto"/>
        </w:rPr>
      </w:pPr>
    </w:p>
    <w:p>
      <w:pPr>
        <w:ind w:left="340" w:hanging="332"/>
        <w:spacing w:after="0" w:line="234" w:lineRule="auto"/>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U.S.</w:t>
      </w:r>
    </w:p>
    <w:p>
      <w:pPr>
        <w:ind w:left="340" w:hanging="332"/>
        <w:spacing w:after="0" w:line="234" w:lineRule="auto"/>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Investment is held through a consolidated taxable subsidiary (See Note 1).</w:t>
      </w:r>
    </w:p>
    <w:p>
      <w:pPr>
        <w:ind w:left="340" w:hanging="332"/>
        <w:spacing w:after="0" w:line="234" w:lineRule="auto"/>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Par amount is denominated in British Pounds.</w:t>
      </w:r>
    </w:p>
    <w:p>
      <w:pPr>
        <w:ind w:left="340" w:hanging="332"/>
        <w:spacing w:after="0" w:line="237" w:lineRule="auto"/>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investment is treated as a non-qualifying asset under Section 55(a) of the 1940 Act. Under the 1940 Act, we may not acquire any non-qualifying asset unless, at the time the acquisition is made, qualifying assets represent at least 70% of our total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SEE NOTES TO CONSOLIDATED FINANCIAL STATEMENTS</w:t>
      </w:r>
    </w:p>
    <w:p>
      <w:pPr>
        <w:spacing w:after="0" w:line="13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180"/>
          </w:cols>
          <w:pgMar w:left="320" w:top="459" w:right="3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36" w:lineRule="exact"/>
        <w:rPr>
          <w:sz w:val="20"/>
          <w:szCs w:val="20"/>
          <w:color w:val="auto"/>
        </w:rPr>
      </w:pPr>
    </w:p>
    <w:p>
      <w:pPr>
        <w:jc w:val="center"/>
        <w:ind w:right="-219"/>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ind w:right="-219"/>
        <w:spacing w:after="0" w:line="226" w:lineRule="auto"/>
        <w:rPr>
          <w:sz w:val="20"/>
          <w:szCs w:val="20"/>
          <w:color w:val="auto"/>
        </w:rPr>
      </w:pPr>
      <w:r>
        <w:rPr>
          <w:rFonts w:ascii="Arial" w:cs="Arial" w:eastAsia="Arial" w:hAnsi="Arial"/>
          <w:sz w:val="14"/>
          <w:szCs w:val="14"/>
          <w:b w:val="1"/>
          <w:bCs w:val="1"/>
          <w:color w:val="auto"/>
        </w:rPr>
        <w:t>CONSOLIDATED SCHEDULE OF INVESTMENTS</w:t>
      </w:r>
    </w:p>
    <w:p>
      <w:pPr>
        <w:jc w:val="center"/>
        <w:ind w:right="-219"/>
        <w:spacing w:after="0"/>
        <w:rPr>
          <w:sz w:val="20"/>
          <w:szCs w:val="20"/>
          <w:color w:val="auto"/>
        </w:rPr>
      </w:pPr>
      <w:r>
        <w:rPr>
          <w:rFonts w:ascii="Arial" w:cs="Arial" w:eastAsia="Arial" w:hAnsi="Arial"/>
          <w:sz w:val="14"/>
          <w:szCs w:val="14"/>
          <w:b w:val="1"/>
          <w:bCs w:val="1"/>
          <w:color w:val="auto"/>
        </w:rPr>
        <w:t>SEPTEMBER 30, 2014</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60" w:type="dxa"/>
            <w:vAlign w:val="bottom"/>
          </w:tcPr>
          <w:p>
            <w:pPr>
              <w:jc w:val="center"/>
              <w:ind w:right="97"/>
              <w:spacing w:after="0"/>
              <w:rPr>
                <w:sz w:val="20"/>
                <w:szCs w:val="20"/>
                <w:color w:val="auto"/>
              </w:rPr>
            </w:pPr>
            <w:r>
              <w:rPr>
                <w:rFonts w:ascii="Arial" w:cs="Arial" w:eastAsia="Arial" w:hAnsi="Arial"/>
                <w:sz w:val="13"/>
                <w:szCs w:val="13"/>
                <w:b w:val="1"/>
                <w:bCs w:val="1"/>
                <w:color w:val="auto"/>
                <w:w w:val="81"/>
              </w:rPr>
              <w:t>Basis Point</w:t>
            </w: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4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jc w:val="center"/>
              <w:ind w:right="97"/>
              <w:spacing w:after="0" w:line="135" w:lineRule="exact"/>
              <w:rPr>
                <w:sz w:val="20"/>
                <w:szCs w:val="20"/>
                <w:color w:val="auto"/>
              </w:rPr>
            </w:pPr>
            <w:r>
              <w:rPr>
                <w:rFonts w:ascii="Arial" w:cs="Arial" w:eastAsia="Arial" w:hAnsi="Arial"/>
                <w:sz w:val="13"/>
                <w:szCs w:val="13"/>
                <w:b w:val="1"/>
                <w:bCs w:val="1"/>
                <w:color w:val="auto"/>
                <w:w w:val="86"/>
              </w:rPr>
              <w:t>Spread</w:t>
            </w: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60" w:type="dxa"/>
            <w:vAlign w:val="bottom"/>
            <w:vMerge w:val="restart"/>
          </w:tcPr>
          <w:p>
            <w:pPr>
              <w:spacing w:after="0"/>
              <w:rPr>
                <w:sz w:val="20"/>
                <w:szCs w:val="20"/>
                <w:color w:val="auto"/>
              </w:rPr>
            </w:pPr>
            <w:r>
              <w:rPr>
                <w:rFonts w:ascii="Arial" w:cs="Arial" w:eastAsia="Arial" w:hAnsi="Arial"/>
                <w:sz w:val="13"/>
                <w:szCs w:val="13"/>
                <w:b w:val="1"/>
                <w:bCs w:val="1"/>
                <w:color w:val="auto"/>
              </w:rPr>
              <w:t>Issuer Name</w:t>
            </w:r>
          </w:p>
        </w:tc>
        <w:tc>
          <w:tcPr>
            <w:tcW w:w="1320" w:type="dxa"/>
            <w:vAlign w:val="bottom"/>
          </w:tcPr>
          <w:p>
            <w:pPr>
              <w:ind w:left="700"/>
              <w:spacing w:after="0" w:line="135" w:lineRule="exact"/>
              <w:rPr>
                <w:sz w:val="20"/>
                <w:szCs w:val="20"/>
                <w:color w:val="auto"/>
              </w:rPr>
            </w:pPr>
            <w:r>
              <w:rPr>
                <w:rFonts w:ascii="Arial" w:cs="Arial" w:eastAsia="Arial" w:hAnsi="Arial"/>
                <w:sz w:val="13"/>
                <w:szCs w:val="13"/>
                <w:b w:val="1"/>
                <w:bCs w:val="1"/>
                <w:color w:val="auto"/>
              </w:rPr>
              <w:t>Maturity /</w:t>
            </w:r>
          </w:p>
        </w:tc>
        <w:tc>
          <w:tcPr>
            <w:tcW w:w="18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3"/>
              </w:rPr>
              <w:t>Industry</w:t>
            </w:r>
          </w:p>
        </w:tc>
        <w:tc>
          <w:tcPr>
            <w:tcW w:w="760" w:type="dxa"/>
            <w:vAlign w:val="bottom"/>
          </w:tcPr>
          <w:p>
            <w:pPr>
              <w:ind w:left="60"/>
              <w:spacing w:after="0" w:line="135" w:lineRule="exact"/>
              <w:rPr>
                <w:sz w:val="20"/>
                <w:szCs w:val="20"/>
                <w:color w:val="auto"/>
              </w:rPr>
            </w:pPr>
            <w:r>
              <w:rPr>
                <w:rFonts w:ascii="Arial" w:cs="Arial" w:eastAsia="Arial" w:hAnsi="Arial"/>
                <w:sz w:val="13"/>
                <w:szCs w:val="13"/>
                <w:b w:val="1"/>
                <w:bCs w:val="1"/>
                <w:color w:val="auto"/>
              </w:rPr>
              <w:t>Current</w:t>
            </w:r>
          </w:p>
        </w:tc>
        <w:tc>
          <w:tcPr>
            <w:tcW w:w="860" w:type="dxa"/>
            <w:vAlign w:val="bottom"/>
          </w:tcPr>
          <w:p>
            <w:pPr>
              <w:jc w:val="center"/>
              <w:ind w:right="97"/>
              <w:spacing w:after="0" w:line="135" w:lineRule="exact"/>
              <w:rPr>
                <w:sz w:val="20"/>
                <w:szCs w:val="20"/>
                <w:color w:val="auto"/>
              </w:rPr>
            </w:pPr>
            <w:r>
              <w:rPr>
                <w:rFonts w:ascii="Arial" w:cs="Arial" w:eastAsia="Arial" w:hAnsi="Arial"/>
                <w:sz w:val="13"/>
                <w:szCs w:val="13"/>
                <w:b w:val="1"/>
                <w:bCs w:val="1"/>
                <w:color w:val="auto"/>
                <w:w w:val="85"/>
              </w:rPr>
              <w:t>Above</w:t>
            </w:r>
          </w:p>
        </w:tc>
        <w:tc>
          <w:tcPr>
            <w:tcW w:w="760" w:type="dxa"/>
            <w:vAlign w:val="bottom"/>
          </w:tcPr>
          <w:p>
            <w:pPr>
              <w:jc w:val="right"/>
              <w:ind w:right="237"/>
              <w:spacing w:after="0" w:line="135" w:lineRule="exact"/>
              <w:rPr>
                <w:sz w:val="20"/>
                <w:szCs w:val="20"/>
                <w:color w:val="auto"/>
              </w:rPr>
            </w:pPr>
            <w:r>
              <w:rPr>
                <w:rFonts w:ascii="Arial" w:cs="Arial" w:eastAsia="Arial" w:hAnsi="Arial"/>
                <w:sz w:val="13"/>
                <w:szCs w:val="13"/>
                <w:b w:val="1"/>
                <w:bCs w:val="1"/>
                <w:color w:val="auto"/>
              </w:rPr>
              <w:t>Par /</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460" w:type="dxa"/>
            <w:vAlign w:val="bottom"/>
            <w:vMerge w:val="continue"/>
          </w:tcPr>
          <w:p>
            <w:pPr>
              <w:spacing w:after="0"/>
              <w:rPr>
                <w:sz w:val="13"/>
                <w:szCs w:val="13"/>
                <w:color w:val="auto"/>
              </w:rPr>
            </w:pPr>
          </w:p>
        </w:tc>
        <w:tc>
          <w:tcPr>
            <w:tcW w:w="1320" w:type="dxa"/>
            <w:vAlign w:val="bottom"/>
          </w:tcPr>
          <w:p>
            <w:pPr>
              <w:ind w:left="680"/>
              <w:spacing w:after="0"/>
              <w:rPr>
                <w:sz w:val="20"/>
                <w:szCs w:val="20"/>
                <w:color w:val="auto"/>
              </w:rPr>
            </w:pPr>
            <w:r>
              <w:rPr>
                <w:rFonts w:ascii="Arial" w:cs="Arial" w:eastAsia="Arial" w:hAnsi="Arial"/>
                <w:sz w:val="13"/>
                <w:szCs w:val="13"/>
                <w:b w:val="1"/>
                <w:bCs w:val="1"/>
                <w:color w:val="auto"/>
                <w:w w:val="97"/>
              </w:rPr>
              <w:t>Expiration</w:t>
            </w:r>
          </w:p>
        </w:tc>
        <w:tc>
          <w:tcPr>
            <w:tcW w:w="1860" w:type="dxa"/>
            <w:vAlign w:val="bottom"/>
            <w:vMerge w:val="continue"/>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3"/>
                <w:szCs w:val="13"/>
                <w:b w:val="1"/>
                <w:bCs w:val="1"/>
                <w:color w:val="auto"/>
              </w:rPr>
              <w:t>Coupon</w:t>
            </w:r>
          </w:p>
        </w:tc>
        <w:tc>
          <w:tcPr>
            <w:tcW w:w="860" w:type="dxa"/>
            <w:vAlign w:val="bottom"/>
          </w:tcPr>
          <w:p>
            <w:pPr>
              <w:jc w:val="center"/>
              <w:ind w:right="97"/>
              <w:spacing w:after="0"/>
              <w:rPr>
                <w:sz w:val="20"/>
                <w:szCs w:val="20"/>
                <w:color w:val="auto"/>
              </w:rPr>
            </w:pPr>
            <w:r>
              <w:rPr>
                <w:rFonts w:ascii="Arial" w:cs="Arial" w:eastAsia="Arial" w:hAnsi="Arial"/>
                <w:sz w:val="13"/>
                <w:szCs w:val="13"/>
                <w:b w:val="1"/>
                <w:bCs w:val="1"/>
                <w:color w:val="auto"/>
                <w:w w:val="92"/>
              </w:rPr>
              <w:t xml:space="preserve">Index </w:t>
            </w:r>
            <w:r>
              <w:rPr>
                <w:rFonts w:ascii="Arial" w:cs="Arial" w:eastAsia="Arial" w:hAnsi="Arial"/>
                <w:sz w:val="10"/>
                <w:szCs w:val="10"/>
                <w:b w:val="1"/>
                <w:bCs w:val="1"/>
                <w:color w:val="auto"/>
                <w:w w:val="92"/>
              </w:rPr>
              <w:t>(4)</w:t>
            </w:r>
          </w:p>
        </w:tc>
        <w:tc>
          <w:tcPr>
            <w:tcW w:w="760" w:type="dxa"/>
            <w:vAlign w:val="bottom"/>
          </w:tcPr>
          <w:p>
            <w:pPr>
              <w:jc w:val="right"/>
              <w:ind w:right="197"/>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3"/>
                <w:szCs w:val="13"/>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Cost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ind w:left="20"/>
              <w:spacing w:after="0"/>
              <w:rPr>
                <w:sz w:val="20"/>
                <w:szCs w:val="20"/>
                <w:color w:val="auto"/>
              </w:rPr>
            </w:pPr>
            <w:r>
              <w:rPr>
                <w:rFonts w:ascii="Arial" w:cs="Arial" w:eastAsia="Arial" w:hAnsi="Arial"/>
                <w:sz w:val="13"/>
                <w:szCs w:val="13"/>
                <w:b w:val="1"/>
                <w:bCs w:val="1"/>
                <w:color w:val="auto"/>
              </w:rPr>
              <w:t xml:space="preserve">Fair Value </w:t>
            </w:r>
            <w:r>
              <w:rPr>
                <w:rFonts w:ascii="Arial" w:cs="Arial" w:eastAsia="Arial" w:hAnsi="Arial"/>
                <w:sz w:val="10"/>
                <w:szCs w:val="10"/>
                <w:b w:val="1"/>
                <w:bCs w:val="1"/>
                <w:color w:val="auto"/>
              </w:rPr>
              <w:t>(3)</w:t>
            </w:r>
          </w:p>
        </w:tc>
        <w:tc>
          <w:tcPr>
            <w:tcW w:w="0" w:type="dxa"/>
            <w:vAlign w:val="bottom"/>
          </w:tcPr>
          <w:p>
            <w:pPr>
              <w:spacing w:after="0"/>
              <w:rPr>
                <w:sz w:val="1"/>
                <w:szCs w:val="1"/>
                <w:color w:val="auto"/>
              </w:rPr>
            </w:pPr>
          </w:p>
        </w:tc>
      </w:tr>
      <w:tr>
        <w:trPr>
          <w:trHeight w:val="110"/>
        </w:trPr>
        <w:tc>
          <w:tcPr>
            <w:tcW w:w="4780" w:type="dxa"/>
            <w:vAlign w:val="bottom"/>
            <w:tcBorders>
              <w:top w:val="single" w:sz="8" w:color="auto"/>
            </w:tcBorders>
            <w:gridSpan w:val="2"/>
            <w:shd w:val="clear" w:color="auto" w:fill="CCEEFF"/>
          </w:tcPr>
          <w:p>
            <w:pPr>
              <w:spacing w:after="0" w:line="110" w:lineRule="exact"/>
              <w:rPr>
                <w:sz w:val="20"/>
                <w:szCs w:val="20"/>
                <w:color w:val="auto"/>
              </w:rPr>
            </w:pPr>
            <w:r>
              <w:rPr>
                <w:rFonts w:ascii="Arial" w:cs="Arial" w:eastAsia="Arial" w:hAnsi="Arial"/>
                <w:sz w:val="12"/>
                <w:szCs w:val="12"/>
                <w:b w:val="1"/>
                <w:bCs w:val="1"/>
                <w:color w:val="auto"/>
              </w:rPr>
              <w:t xml:space="preserve">Investments in Non-Controlled, Non-Affiliated Portfolio Companies—146.4% </w:t>
            </w:r>
            <w:r>
              <w:rPr>
                <w:rFonts w:ascii="Arial" w:cs="Arial" w:eastAsia="Arial" w:hAnsi="Arial"/>
                <w:sz w:val="9"/>
                <w:szCs w:val="9"/>
                <w:b w:val="1"/>
                <w:bCs w:val="1"/>
                <w:color w:val="auto"/>
              </w:rPr>
              <w:t>(1), (2)</w:t>
            </w:r>
          </w:p>
        </w:tc>
        <w:tc>
          <w:tcPr>
            <w:tcW w:w="1860" w:type="dxa"/>
            <w:vAlign w:val="bottom"/>
            <w:tcBorders>
              <w:top w:val="single" w:sz="8" w:color="auto"/>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860" w:type="dxa"/>
            <w:vAlign w:val="bottom"/>
            <w:tcBorders>
              <w:top w:val="single" w:sz="8" w:color="auto"/>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34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First Lien Secured Debt—52.4%</w:t>
            </w:r>
          </w:p>
        </w:tc>
        <w:tc>
          <w:tcPr>
            <w:tcW w:w="1320" w:type="dxa"/>
            <w:vAlign w:val="bottom"/>
            <w:shd w:val="clear" w:color="auto" w:fill="CCEEFF"/>
          </w:tcPr>
          <w:p>
            <w:pPr>
              <w:spacing w:after="0"/>
              <w:rPr>
                <w:sz w:val="13"/>
                <w:szCs w:val="13"/>
                <w:color w:val="auto"/>
              </w:rPr>
            </w:pPr>
          </w:p>
        </w:tc>
        <w:tc>
          <w:tcPr>
            <w:tcW w:w="18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460" w:type="dxa"/>
            <w:vAlign w:val="bottom"/>
          </w:tcPr>
          <w:p>
            <w:pPr>
              <w:spacing w:after="0" w:line="135" w:lineRule="exact"/>
              <w:rPr>
                <w:sz w:val="20"/>
                <w:szCs w:val="20"/>
                <w:color w:val="auto"/>
              </w:rPr>
            </w:pPr>
            <w:r>
              <w:rPr>
                <w:rFonts w:ascii="Arial" w:cs="Arial" w:eastAsia="Arial" w:hAnsi="Arial"/>
                <w:sz w:val="13"/>
                <w:szCs w:val="13"/>
                <w:color w:val="auto"/>
              </w:rPr>
              <w:t>Aircell Business Aviation Services LLC</w:t>
            </w:r>
          </w:p>
        </w:tc>
        <w:tc>
          <w:tcPr>
            <w:tcW w:w="1320" w:type="dxa"/>
            <w:vAlign w:val="bottom"/>
          </w:tcPr>
          <w:p>
            <w:pPr>
              <w:ind w:left="680"/>
              <w:spacing w:after="0" w:line="135" w:lineRule="exact"/>
              <w:rPr>
                <w:sz w:val="20"/>
                <w:szCs w:val="20"/>
                <w:color w:val="auto"/>
              </w:rPr>
            </w:pPr>
            <w:r>
              <w:rPr>
                <w:rFonts w:ascii="Arial" w:cs="Arial" w:eastAsia="Arial" w:hAnsi="Arial"/>
                <w:sz w:val="13"/>
                <w:szCs w:val="13"/>
                <w:color w:val="auto"/>
                <w:w w:val="95"/>
              </w:rPr>
              <w:t>03/21/2018</w:t>
            </w:r>
          </w:p>
        </w:tc>
        <w:tc>
          <w:tcPr>
            <w:tcW w:w="1860" w:type="dxa"/>
            <w:vAlign w:val="bottom"/>
          </w:tcPr>
          <w:p>
            <w:pPr>
              <w:jc w:val="center"/>
              <w:spacing w:after="0" w:line="135" w:lineRule="exact"/>
              <w:rPr>
                <w:sz w:val="20"/>
                <w:szCs w:val="20"/>
                <w:color w:val="auto"/>
              </w:rPr>
            </w:pPr>
            <w:r>
              <w:rPr>
                <w:rFonts w:ascii="Arial" w:cs="Arial" w:eastAsia="Arial" w:hAnsi="Arial"/>
                <w:sz w:val="13"/>
                <w:szCs w:val="13"/>
                <w:color w:val="auto"/>
                <w:w w:val="88"/>
              </w:rPr>
              <w:t>Communications</w:t>
            </w:r>
          </w:p>
        </w:tc>
        <w:tc>
          <w:tcPr>
            <w:tcW w:w="7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11.25%</w:t>
            </w:r>
          </w:p>
        </w:tc>
        <w:tc>
          <w:tcPr>
            <w:tcW w:w="86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L+975</w:t>
            </w:r>
          </w:p>
        </w:tc>
        <w:tc>
          <w:tcPr>
            <w:tcW w:w="760" w:type="dxa"/>
            <w:vAlign w:val="bottom"/>
          </w:tcPr>
          <w:p>
            <w:pPr>
              <w:jc w:val="right"/>
              <w:ind w:right="57"/>
              <w:spacing w:after="0" w:line="135" w:lineRule="exact"/>
              <w:rPr>
                <w:sz w:val="20"/>
                <w:szCs w:val="20"/>
                <w:color w:val="auto"/>
              </w:rPr>
            </w:pPr>
            <w:r>
              <w:rPr>
                <w:rFonts w:ascii="Arial" w:cs="Arial" w:eastAsia="Arial" w:hAnsi="Arial"/>
                <w:sz w:val="13"/>
                <w:szCs w:val="13"/>
                <w:color w:val="auto"/>
                <w:w w:val="95"/>
              </w:rPr>
              <w:t>23,301,182</w:t>
            </w: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22,545,408</w:t>
            </w:r>
          </w:p>
        </w:tc>
        <w:tc>
          <w:tcPr>
            <w:tcW w:w="2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24,466,241</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AKA Diversified Holdings, Inc.</w:t>
            </w:r>
          </w:p>
        </w:tc>
        <w:tc>
          <w:tcPr>
            <w:tcW w:w="1320" w:type="dxa"/>
            <w:vAlign w:val="bottom"/>
            <w:shd w:val="clear" w:color="auto" w:fill="CCEEFF"/>
          </w:tcPr>
          <w:p>
            <w:pPr>
              <w:ind w:left="680"/>
              <w:spacing w:after="0" w:line="135" w:lineRule="exact"/>
              <w:rPr>
                <w:sz w:val="20"/>
                <w:szCs w:val="20"/>
                <w:color w:val="auto"/>
              </w:rPr>
            </w:pPr>
            <w:r>
              <w:rPr>
                <w:rFonts w:ascii="Arial" w:cs="Arial" w:eastAsia="Arial" w:hAnsi="Arial"/>
                <w:sz w:val="13"/>
                <w:szCs w:val="13"/>
                <w:color w:val="auto"/>
                <w:w w:val="95"/>
              </w:rPr>
              <w:t>04/02/2018</w:t>
            </w:r>
          </w:p>
        </w:tc>
        <w:tc>
          <w:tcPr>
            <w:tcW w:w="18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Retail</w:t>
            </w:r>
          </w:p>
        </w:tc>
        <w:tc>
          <w:tcPr>
            <w:tcW w:w="7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11.92%</w:t>
            </w:r>
          </w:p>
        </w:tc>
        <w:tc>
          <w:tcPr>
            <w:tcW w:w="8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L+1,175</w:t>
            </w:r>
            <w:r>
              <w:rPr>
                <w:rFonts w:ascii="Arial" w:cs="Arial" w:eastAsia="Arial" w:hAnsi="Arial"/>
                <w:sz w:val="10"/>
                <w:szCs w:val="10"/>
                <w:color w:val="auto"/>
              </w:rPr>
              <w:t>(8)</w:t>
            </w:r>
          </w:p>
        </w:tc>
        <w:tc>
          <w:tcPr>
            <w:tcW w:w="7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w w:val="95"/>
              </w:rPr>
              <w:t>38,382,219</w:t>
            </w:r>
          </w:p>
        </w:tc>
        <w:tc>
          <w:tcPr>
            <w:tcW w:w="1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37,594,531</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38,835,189</w:t>
            </w:r>
          </w:p>
        </w:tc>
        <w:tc>
          <w:tcPr>
            <w:tcW w:w="0" w:type="dxa"/>
            <w:vAlign w:val="bottom"/>
          </w:tcPr>
          <w:p>
            <w:pPr>
              <w:spacing w:after="0"/>
              <w:rPr>
                <w:sz w:val="1"/>
                <w:szCs w:val="1"/>
                <w:color w:val="auto"/>
              </w:rPr>
            </w:pPr>
          </w:p>
        </w:tc>
      </w:tr>
      <w:tr>
        <w:trPr>
          <w:trHeight w:val="135"/>
        </w:trPr>
        <w:tc>
          <w:tcPr>
            <w:tcW w:w="3460" w:type="dxa"/>
            <w:vAlign w:val="bottom"/>
          </w:tcPr>
          <w:p>
            <w:pPr>
              <w:spacing w:after="0" w:line="135" w:lineRule="exact"/>
              <w:rPr>
                <w:sz w:val="20"/>
                <w:szCs w:val="20"/>
                <w:color w:val="auto"/>
              </w:rPr>
            </w:pPr>
            <w:r>
              <w:rPr>
                <w:rFonts w:ascii="Arial" w:cs="Arial" w:eastAsia="Arial" w:hAnsi="Arial"/>
                <w:sz w:val="13"/>
                <w:szCs w:val="13"/>
                <w:color w:val="auto"/>
              </w:rPr>
              <w:t xml:space="preserve">AKA Diversified Holdings, Inc. </w:t>
            </w:r>
            <w:r>
              <w:rPr>
                <w:rFonts w:ascii="Arial" w:cs="Arial" w:eastAsia="Arial" w:hAnsi="Arial"/>
                <w:sz w:val="10"/>
                <w:szCs w:val="10"/>
                <w:color w:val="auto"/>
              </w:rPr>
              <w:t>(9)</w:t>
            </w:r>
          </w:p>
        </w:tc>
        <w:tc>
          <w:tcPr>
            <w:tcW w:w="1320" w:type="dxa"/>
            <w:vAlign w:val="bottom"/>
          </w:tcPr>
          <w:p>
            <w:pPr>
              <w:ind w:left="680"/>
              <w:spacing w:after="0" w:line="135" w:lineRule="exact"/>
              <w:rPr>
                <w:sz w:val="20"/>
                <w:szCs w:val="20"/>
                <w:color w:val="auto"/>
              </w:rPr>
            </w:pPr>
            <w:r>
              <w:rPr>
                <w:rFonts w:ascii="Arial" w:cs="Arial" w:eastAsia="Arial" w:hAnsi="Arial"/>
                <w:sz w:val="13"/>
                <w:szCs w:val="13"/>
                <w:color w:val="auto"/>
                <w:w w:val="95"/>
              </w:rPr>
              <w:t>04/02/2018</w:t>
            </w:r>
          </w:p>
        </w:tc>
        <w:tc>
          <w:tcPr>
            <w:tcW w:w="1860" w:type="dxa"/>
            <w:vAlign w:val="bottom"/>
          </w:tcPr>
          <w:p>
            <w:pPr>
              <w:jc w:val="center"/>
              <w:spacing w:after="0" w:line="135" w:lineRule="exact"/>
              <w:rPr>
                <w:sz w:val="20"/>
                <w:szCs w:val="20"/>
                <w:color w:val="auto"/>
              </w:rPr>
            </w:pPr>
            <w:r>
              <w:rPr>
                <w:rFonts w:ascii="Arial" w:cs="Arial" w:eastAsia="Arial" w:hAnsi="Arial"/>
                <w:sz w:val="13"/>
                <w:szCs w:val="13"/>
                <w:color w:val="auto"/>
                <w:w w:val="90"/>
              </w:rPr>
              <w:t>Retail</w:t>
            </w:r>
          </w:p>
        </w:tc>
        <w:tc>
          <w:tcPr>
            <w:tcW w:w="76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w:t>
            </w:r>
          </w:p>
        </w:tc>
        <w:tc>
          <w:tcPr>
            <w:tcW w:w="86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7,500,000</w:t>
            </w:r>
          </w:p>
        </w:tc>
        <w:tc>
          <w:tcPr>
            <w:tcW w:w="140" w:type="dxa"/>
            <w:vAlign w:val="bottom"/>
          </w:tcPr>
          <w:p>
            <w:pPr>
              <w:spacing w:after="0"/>
              <w:rPr>
                <w:sz w:val="11"/>
                <w:szCs w:val="11"/>
                <w:color w:val="auto"/>
              </w:rPr>
            </w:pPr>
          </w:p>
        </w:tc>
        <w:tc>
          <w:tcPr>
            <w:tcW w:w="7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7,500,000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7,588,512</w:t>
            </w:r>
          </w:p>
        </w:tc>
        <w:tc>
          <w:tcPr>
            <w:tcW w:w="0" w:type="dxa"/>
            <w:vAlign w:val="bottom"/>
          </w:tcPr>
          <w:p>
            <w:pPr>
              <w:spacing w:after="0"/>
              <w:rPr>
                <w:sz w:val="1"/>
                <w:szCs w:val="1"/>
                <w:color w:val="auto"/>
              </w:rPr>
            </w:pPr>
          </w:p>
        </w:tc>
      </w:tr>
      <w:tr>
        <w:trPr>
          <w:trHeight w:val="135"/>
        </w:trPr>
        <w:tc>
          <w:tcPr>
            <w:tcW w:w="3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AP Gaming I, LLC</w:t>
            </w:r>
          </w:p>
        </w:tc>
        <w:tc>
          <w:tcPr>
            <w:tcW w:w="1320" w:type="dxa"/>
            <w:vAlign w:val="bottom"/>
            <w:shd w:val="clear" w:color="auto" w:fill="CCEEFF"/>
          </w:tcPr>
          <w:p>
            <w:pPr>
              <w:ind w:left="680"/>
              <w:spacing w:after="0" w:line="135" w:lineRule="exact"/>
              <w:rPr>
                <w:sz w:val="20"/>
                <w:szCs w:val="20"/>
                <w:color w:val="auto"/>
              </w:rPr>
            </w:pPr>
            <w:r>
              <w:rPr>
                <w:rFonts w:ascii="Arial" w:cs="Arial" w:eastAsia="Arial" w:hAnsi="Arial"/>
                <w:sz w:val="13"/>
                <w:szCs w:val="13"/>
                <w:color w:val="auto"/>
                <w:w w:val="95"/>
              </w:rPr>
              <w:t>12/21/2020</w:t>
            </w:r>
          </w:p>
        </w:tc>
        <w:tc>
          <w:tcPr>
            <w:tcW w:w="18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Hotels, Motels, Inns and Gaming</w:t>
            </w:r>
          </w:p>
        </w:tc>
        <w:tc>
          <w:tcPr>
            <w:tcW w:w="7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9.25%</w:t>
            </w:r>
          </w:p>
        </w:tc>
        <w:tc>
          <w:tcPr>
            <w:tcW w:w="86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L+825</w:t>
            </w:r>
          </w:p>
        </w:tc>
        <w:tc>
          <w:tcPr>
            <w:tcW w:w="7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5,210,625</w:t>
            </w:r>
          </w:p>
        </w:tc>
        <w:tc>
          <w:tcPr>
            <w:tcW w:w="1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5,067,986</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5,236,678</w:t>
            </w:r>
          </w:p>
        </w:tc>
        <w:tc>
          <w:tcPr>
            <w:tcW w:w="0" w:type="dxa"/>
            <w:vAlign w:val="bottom"/>
          </w:tcPr>
          <w:p>
            <w:pPr>
              <w:spacing w:after="0"/>
              <w:rPr>
                <w:sz w:val="1"/>
                <w:szCs w:val="1"/>
                <w:color w:val="auto"/>
              </w:rPr>
            </w:pPr>
          </w:p>
        </w:tc>
      </w:tr>
      <w:tr>
        <w:trPr>
          <w:trHeight w:val="135"/>
        </w:trPr>
        <w:tc>
          <w:tcPr>
            <w:tcW w:w="3460" w:type="dxa"/>
            <w:vAlign w:val="bottom"/>
          </w:tcPr>
          <w:p>
            <w:pPr>
              <w:spacing w:after="0" w:line="135" w:lineRule="exact"/>
              <w:rPr>
                <w:sz w:val="20"/>
                <w:szCs w:val="20"/>
                <w:color w:val="auto"/>
              </w:rPr>
            </w:pPr>
            <w:r>
              <w:rPr>
                <w:rFonts w:ascii="Arial" w:cs="Arial" w:eastAsia="Arial" w:hAnsi="Arial"/>
                <w:sz w:val="13"/>
                <w:szCs w:val="13"/>
                <w:color w:val="auto"/>
              </w:rPr>
              <w:t>Hollander Sleep Products, LLC</w:t>
            </w:r>
          </w:p>
        </w:tc>
        <w:tc>
          <w:tcPr>
            <w:tcW w:w="1320" w:type="dxa"/>
            <w:vAlign w:val="bottom"/>
          </w:tcPr>
          <w:p>
            <w:pPr>
              <w:ind w:left="680"/>
              <w:spacing w:after="0" w:line="135" w:lineRule="exact"/>
              <w:rPr>
                <w:sz w:val="20"/>
                <w:szCs w:val="20"/>
                <w:color w:val="auto"/>
              </w:rPr>
            </w:pPr>
            <w:r>
              <w:rPr>
                <w:rFonts w:ascii="Arial" w:cs="Arial" w:eastAsia="Arial" w:hAnsi="Arial"/>
                <w:sz w:val="13"/>
                <w:szCs w:val="13"/>
                <w:color w:val="auto"/>
                <w:w w:val="95"/>
              </w:rPr>
              <w:t>10/20/2020</w:t>
            </w:r>
          </w:p>
        </w:tc>
        <w:tc>
          <w:tcPr>
            <w:tcW w:w="1860" w:type="dxa"/>
            <w:vAlign w:val="bottom"/>
          </w:tcPr>
          <w:p>
            <w:pPr>
              <w:jc w:val="center"/>
              <w:spacing w:after="0" w:line="135" w:lineRule="exact"/>
              <w:rPr>
                <w:sz w:val="20"/>
                <w:szCs w:val="20"/>
                <w:color w:val="auto"/>
              </w:rPr>
            </w:pPr>
            <w:r>
              <w:rPr>
                <w:rFonts w:ascii="Arial" w:cs="Arial" w:eastAsia="Arial" w:hAnsi="Arial"/>
                <w:sz w:val="13"/>
                <w:szCs w:val="13"/>
                <w:color w:val="auto"/>
                <w:w w:val="87"/>
              </w:rPr>
              <w:t>Consumer Products</w:t>
            </w:r>
          </w:p>
        </w:tc>
        <w:tc>
          <w:tcPr>
            <w:tcW w:w="7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9.00%</w:t>
            </w:r>
          </w:p>
        </w:tc>
        <w:tc>
          <w:tcPr>
            <w:tcW w:w="86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L+800</w:t>
            </w:r>
          </w:p>
        </w:tc>
        <w:tc>
          <w:tcPr>
            <w:tcW w:w="7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4,500,000</w:t>
            </w:r>
          </w:p>
        </w:tc>
        <w:tc>
          <w:tcPr>
            <w:tcW w:w="140" w:type="dxa"/>
            <w:vAlign w:val="bottom"/>
          </w:tcPr>
          <w:p>
            <w:pPr>
              <w:spacing w:after="0"/>
              <w:rPr>
                <w:sz w:val="11"/>
                <w:szCs w:val="11"/>
                <w:color w:val="auto"/>
              </w:rPr>
            </w:pPr>
          </w:p>
        </w:tc>
        <w:tc>
          <w:tcPr>
            <w:tcW w:w="7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4,432,500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4,432,500</w:t>
            </w:r>
          </w:p>
        </w:tc>
        <w:tc>
          <w:tcPr>
            <w:tcW w:w="0" w:type="dxa"/>
            <w:vAlign w:val="bottom"/>
          </w:tcPr>
          <w:p>
            <w:pPr>
              <w:spacing w:after="0"/>
              <w:rPr>
                <w:sz w:val="1"/>
                <w:szCs w:val="1"/>
                <w:color w:val="auto"/>
              </w:rPr>
            </w:pPr>
          </w:p>
        </w:tc>
      </w:tr>
      <w:tr>
        <w:trPr>
          <w:trHeight w:val="135"/>
        </w:trPr>
        <w:tc>
          <w:tcPr>
            <w:tcW w:w="3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IDQ Holdings, Inc. </w:t>
            </w:r>
            <w:r>
              <w:rPr>
                <w:rFonts w:ascii="Arial" w:cs="Arial" w:eastAsia="Arial" w:hAnsi="Arial"/>
                <w:sz w:val="10"/>
                <w:szCs w:val="10"/>
                <w:color w:val="auto"/>
              </w:rPr>
              <w:t>(5)</w:t>
            </w:r>
          </w:p>
        </w:tc>
        <w:tc>
          <w:tcPr>
            <w:tcW w:w="1320" w:type="dxa"/>
            <w:vAlign w:val="bottom"/>
            <w:shd w:val="clear" w:color="auto" w:fill="CCEEFF"/>
          </w:tcPr>
          <w:p>
            <w:pPr>
              <w:ind w:left="680"/>
              <w:spacing w:after="0" w:line="135" w:lineRule="exact"/>
              <w:rPr>
                <w:sz w:val="20"/>
                <w:szCs w:val="20"/>
                <w:color w:val="auto"/>
              </w:rPr>
            </w:pPr>
            <w:r>
              <w:rPr>
                <w:rFonts w:ascii="Arial" w:cs="Arial" w:eastAsia="Arial" w:hAnsi="Arial"/>
                <w:sz w:val="13"/>
                <w:szCs w:val="13"/>
                <w:color w:val="auto"/>
                <w:w w:val="95"/>
              </w:rPr>
              <w:t>03/30/2017</w:t>
            </w:r>
          </w:p>
        </w:tc>
        <w:tc>
          <w:tcPr>
            <w:tcW w:w="18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Auto Sector</w:t>
            </w:r>
          </w:p>
        </w:tc>
        <w:tc>
          <w:tcPr>
            <w:tcW w:w="7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11.50%</w:t>
            </w:r>
          </w:p>
        </w:tc>
        <w:tc>
          <w:tcPr>
            <w:tcW w:w="86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w w:val="95"/>
              </w:rPr>
              <w:t>11,500,000</w:t>
            </w:r>
          </w:p>
        </w:tc>
        <w:tc>
          <w:tcPr>
            <w:tcW w:w="1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11,369,159</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12,463,125</w:t>
            </w:r>
          </w:p>
        </w:tc>
        <w:tc>
          <w:tcPr>
            <w:tcW w:w="0" w:type="dxa"/>
            <w:vAlign w:val="bottom"/>
          </w:tcPr>
          <w:p>
            <w:pPr>
              <w:spacing w:after="0"/>
              <w:rPr>
                <w:sz w:val="1"/>
                <w:szCs w:val="1"/>
                <w:color w:val="auto"/>
              </w:rPr>
            </w:pPr>
          </w:p>
        </w:tc>
      </w:tr>
      <w:tr>
        <w:trPr>
          <w:trHeight w:val="121"/>
        </w:trPr>
        <w:tc>
          <w:tcPr>
            <w:tcW w:w="3460" w:type="dxa"/>
            <w:vAlign w:val="bottom"/>
          </w:tcPr>
          <w:p>
            <w:pPr>
              <w:spacing w:after="0" w:line="121" w:lineRule="exact"/>
              <w:rPr>
                <w:sz w:val="20"/>
                <w:szCs w:val="20"/>
                <w:color w:val="auto"/>
              </w:rPr>
            </w:pPr>
            <w:r>
              <w:rPr>
                <w:rFonts w:ascii="Arial" w:cs="Arial" w:eastAsia="Arial" w:hAnsi="Arial"/>
                <w:sz w:val="13"/>
                <w:szCs w:val="13"/>
                <w:color w:val="auto"/>
              </w:rPr>
              <w:t>InfuSystem Holdings, Inc.</w:t>
            </w:r>
          </w:p>
        </w:tc>
        <w:tc>
          <w:tcPr>
            <w:tcW w:w="1320" w:type="dxa"/>
            <w:vAlign w:val="bottom"/>
          </w:tcPr>
          <w:p>
            <w:pPr>
              <w:ind w:left="680"/>
              <w:spacing w:after="0" w:line="121" w:lineRule="exact"/>
              <w:rPr>
                <w:sz w:val="20"/>
                <w:szCs w:val="20"/>
                <w:color w:val="auto"/>
              </w:rPr>
            </w:pPr>
            <w:r>
              <w:rPr>
                <w:rFonts w:ascii="Arial" w:cs="Arial" w:eastAsia="Arial" w:hAnsi="Arial"/>
                <w:sz w:val="13"/>
                <w:szCs w:val="13"/>
                <w:color w:val="auto"/>
                <w:w w:val="95"/>
              </w:rPr>
              <w:t>11/30/2016</w:t>
            </w:r>
          </w:p>
        </w:tc>
        <w:tc>
          <w:tcPr>
            <w:tcW w:w="1860" w:type="dxa"/>
            <w:vAlign w:val="bottom"/>
          </w:tcPr>
          <w:p>
            <w:pPr>
              <w:jc w:val="center"/>
              <w:spacing w:after="0" w:line="121" w:lineRule="exact"/>
              <w:rPr>
                <w:sz w:val="20"/>
                <w:szCs w:val="20"/>
                <w:color w:val="auto"/>
              </w:rPr>
            </w:pPr>
            <w:r>
              <w:rPr>
                <w:rFonts w:ascii="Arial" w:cs="Arial" w:eastAsia="Arial" w:hAnsi="Arial"/>
                <w:sz w:val="13"/>
                <w:szCs w:val="13"/>
                <w:color w:val="auto"/>
                <w:w w:val="86"/>
              </w:rPr>
              <w:t>Healthcare, Education and</w:t>
            </w:r>
          </w:p>
        </w:tc>
        <w:tc>
          <w:tcPr>
            <w:tcW w:w="760" w:type="dxa"/>
            <w:vAlign w:val="bottom"/>
          </w:tcPr>
          <w:p>
            <w:pPr>
              <w:jc w:val="right"/>
              <w:ind w:right="37"/>
              <w:spacing w:after="0" w:line="121" w:lineRule="exact"/>
              <w:rPr>
                <w:sz w:val="20"/>
                <w:szCs w:val="20"/>
                <w:color w:val="auto"/>
              </w:rPr>
            </w:pPr>
            <w:r>
              <w:rPr>
                <w:rFonts w:ascii="Arial" w:cs="Arial" w:eastAsia="Arial" w:hAnsi="Arial"/>
                <w:sz w:val="13"/>
                <w:szCs w:val="13"/>
                <w:color w:val="auto"/>
              </w:rPr>
              <w:t>13.16%</w:t>
            </w:r>
          </w:p>
        </w:tc>
        <w:tc>
          <w:tcPr>
            <w:tcW w:w="860" w:type="dxa"/>
            <w:vAlign w:val="bottom"/>
          </w:tcPr>
          <w:p>
            <w:pPr>
              <w:jc w:val="right"/>
              <w:ind w:right="137"/>
              <w:spacing w:after="0" w:line="121" w:lineRule="exact"/>
              <w:rPr>
                <w:sz w:val="20"/>
                <w:szCs w:val="20"/>
                <w:color w:val="auto"/>
              </w:rPr>
            </w:pPr>
            <w:r>
              <w:rPr>
                <w:rFonts w:ascii="Arial" w:cs="Arial" w:eastAsia="Arial" w:hAnsi="Arial"/>
                <w:sz w:val="13"/>
                <w:szCs w:val="13"/>
                <w:color w:val="auto"/>
              </w:rPr>
              <w:t>P+992</w:t>
            </w:r>
          </w:p>
        </w:tc>
        <w:tc>
          <w:tcPr>
            <w:tcW w:w="760" w:type="dxa"/>
            <w:vAlign w:val="bottom"/>
          </w:tcPr>
          <w:p>
            <w:pPr>
              <w:jc w:val="right"/>
              <w:ind w:right="57"/>
              <w:spacing w:after="0" w:line="121" w:lineRule="exact"/>
              <w:rPr>
                <w:sz w:val="20"/>
                <w:szCs w:val="20"/>
                <w:color w:val="auto"/>
              </w:rPr>
            </w:pPr>
            <w:r>
              <w:rPr>
                <w:rFonts w:ascii="Arial" w:cs="Arial" w:eastAsia="Arial" w:hAnsi="Arial"/>
                <w:sz w:val="13"/>
                <w:szCs w:val="13"/>
                <w:color w:val="auto"/>
              </w:rPr>
              <w:t>8,000,000</w:t>
            </w:r>
          </w:p>
        </w:tc>
        <w:tc>
          <w:tcPr>
            <w:tcW w:w="140" w:type="dxa"/>
            <w:vAlign w:val="bottom"/>
          </w:tcPr>
          <w:p>
            <w:pPr>
              <w:spacing w:after="0"/>
              <w:rPr>
                <w:sz w:val="10"/>
                <w:szCs w:val="10"/>
                <w:color w:val="auto"/>
              </w:rPr>
            </w:pPr>
          </w:p>
        </w:tc>
        <w:tc>
          <w:tcPr>
            <w:tcW w:w="700" w:type="dxa"/>
            <w:vAlign w:val="bottom"/>
            <w:gridSpan w:val="2"/>
          </w:tcPr>
          <w:p>
            <w:pPr>
              <w:jc w:val="right"/>
              <w:ind w:right="20"/>
              <w:spacing w:after="0" w:line="121" w:lineRule="exact"/>
              <w:rPr>
                <w:sz w:val="20"/>
                <w:szCs w:val="20"/>
                <w:color w:val="auto"/>
              </w:rPr>
            </w:pPr>
            <w:r>
              <w:rPr>
                <w:rFonts w:ascii="Arial" w:cs="Arial" w:eastAsia="Arial" w:hAnsi="Arial"/>
                <w:sz w:val="13"/>
                <w:szCs w:val="13"/>
                <w:color w:val="auto"/>
              </w:rPr>
              <w:t>8,000,000</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8,190,480</w:t>
            </w: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860" w:type="dxa"/>
            <w:vAlign w:val="bottom"/>
          </w:tcPr>
          <w:p>
            <w:pPr>
              <w:jc w:val="center"/>
              <w:spacing w:after="0"/>
              <w:rPr>
                <w:sz w:val="20"/>
                <w:szCs w:val="20"/>
                <w:color w:val="auto"/>
              </w:rPr>
            </w:pPr>
            <w:r>
              <w:rPr>
                <w:rFonts w:ascii="Arial" w:cs="Arial" w:eastAsia="Arial" w:hAnsi="Arial"/>
                <w:sz w:val="13"/>
                <w:szCs w:val="13"/>
                <w:color w:val="auto"/>
                <w:w w:val="87"/>
              </w:rPr>
              <w:t>Childcare</w:t>
            </w: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4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Jackson Hewitt Tax Service Inc.</w:t>
            </w:r>
          </w:p>
        </w:tc>
        <w:tc>
          <w:tcPr>
            <w:tcW w:w="1320" w:type="dxa"/>
            <w:vAlign w:val="bottom"/>
            <w:shd w:val="clear" w:color="auto" w:fill="CCEEFF"/>
          </w:tcPr>
          <w:p>
            <w:pPr>
              <w:ind w:left="680"/>
              <w:spacing w:after="0" w:line="121" w:lineRule="exact"/>
              <w:rPr>
                <w:sz w:val="20"/>
                <w:szCs w:val="20"/>
                <w:color w:val="auto"/>
              </w:rPr>
            </w:pPr>
            <w:r>
              <w:rPr>
                <w:rFonts w:ascii="Arial" w:cs="Arial" w:eastAsia="Arial" w:hAnsi="Arial"/>
                <w:sz w:val="13"/>
                <w:szCs w:val="13"/>
                <w:color w:val="auto"/>
                <w:w w:val="95"/>
              </w:rPr>
              <w:t>10/16/2017</w:t>
            </w:r>
          </w:p>
        </w:tc>
        <w:tc>
          <w:tcPr>
            <w:tcW w:w="186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6"/>
              </w:rPr>
              <w:t>Personal, Food and Miscellaneous</w:t>
            </w:r>
          </w:p>
        </w:tc>
        <w:tc>
          <w:tcPr>
            <w:tcW w:w="760" w:type="dxa"/>
            <w:vAlign w:val="bottom"/>
            <w:shd w:val="clear" w:color="auto" w:fill="CCEEFF"/>
          </w:tcPr>
          <w:p>
            <w:pPr>
              <w:jc w:val="right"/>
              <w:ind w:right="37"/>
              <w:spacing w:after="0" w:line="121" w:lineRule="exact"/>
              <w:rPr>
                <w:sz w:val="20"/>
                <w:szCs w:val="20"/>
                <w:color w:val="auto"/>
              </w:rPr>
            </w:pPr>
            <w:r>
              <w:rPr>
                <w:rFonts w:ascii="Arial" w:cs="Arial" w:eastAsia="Arial" w:hAnsi="Arial"/>
                <w:sz w:val="13"/>
                <w:szCs w:val="13"/>
                <w:color w:val="auto"/>
              </w:rPr>
              <w:t>10.00%</w:t>
            </w:r>
          </w:p>
        </w:tc>
        <w:tc>
          <w:tcPr>
            <w:tcW w:w="860" w:type="dxa"/>
            <w:vAlign w:val="bottom"/>
            <w:shd w:val="clear" w:color="auto" w:fill="CCEEFF"/>
          </w:tcPr>
          <w:p>
            <w:pPr>
              <w:jc w:val="right"/>
              <w:ind w:right="137"/>
              <w:spacing w:after="0" w:line="121" w:lineRule="exact"/>
              <w:rPr>
                <w:sz w:val="20"/>
                <w:szCs w:val="20"/>
                <w:color w:val="auto"/>
              </w:rPr>
            </w:pPr>
            <w:r>
              <w:rPr>
                <w:rFonts w:ascii="Arial" w:cs="Arial" w:eastAsia="Arial" w:hAnsi="Arial"/>
                <w:sz w:val="13"/>
                <w:szCs w:val="13"/>
                <w:color w:val="auto"/>
              </w:rPr>
              <w:t>L+850</w:t>
            </w:r>
          </w:p>
        </w:tc>
        <w:tc>
          <w:tcPr>
            <w:tcW w:w="760" w:type="dxa"/>
            <w:vAlign w:val="bottom"/>
            <w:shd w:val="clear" w:color="auto" w:fill="CCEEFF"/>
          </w:tcPr>
          <w:p>
            <w:pPr>
              <w:jc w:val="right"/>
              <w:ind w:right="57"/>
              <w:spacing w:after="0" w:line="121" w:lineRule="exact"/>
              <w:rPr>
                <w:sz w:val="20"/>
                <w:szCs w:val="20"/>
                <w:color w:val="auto"/>
              </w:rPr>
            </w:pPr>
            <w:r>
              <w:rPr>
                <w:rFonts w:ascii="Arial" w:cs="Arial" w:eastAsia="Arial" w:hAnsi="Arial"/>
                <w:sz w:val="13"/>
                <w:szCs w:val="13"/>
                <w:color w:val="auto"/>
              </w:rPr>
              <w:t>7,777,902</w:t>
            </w:r>
          </w:p>
        </w:tc>
        <w:tc>
          <w:tcPr>
            <w:tcW w:w="14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20"/>
              <w:spacing w:after="0" w:line="121" w:lineRule="exact"/>
              <w:rPr>
                <w:sz w:val="20"/>
                <w:szCs w:val="20"/>
                <w:color w:val="auto"/>
              </w:rPr>
            </w:pPr>
            <w:r>
              <w:rPr>
                <w:rFonts w:ascii="Arial" w:cs="Arial" w:eastAsia="Arial" w:hAnsi="Arial"/>
                <w:sz w:val="13"/>
                <w:szCs w:val="13"/>
                <w:color w:val="auto"/>
              </w:rPr>
              <w:t>7,774,409</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6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7,739,013</w:t>
            </w:r>
          </w:p>
        </w:tc>
        <w:tc>
          <w:tcPr>
            <w:tcW w:w="0" w:type="dxa"/>
            <w:vAlign w:val="bottom"/>
          </w:tcPr>
          <w:p>
            <w:pPr>
              <w:spacing w:after="0"/>
              <w:rPr>
                <w:sz w:val="1"/>
                <w:szCs w:val="1"/>
                <w:color w:val="auto"/>
              </w:rPr>
            </w:pPr>
          </w:p>
        </w:tc>
      </w:tr>
      <w:tr>
        <w:trPr>
          <w:trHeight w:val="149"/>
        </w:trPr>
        <w:tc>
          <w:tcPr>
            <w:tcW w:w="34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Services</w:t>
            </w:r>
          </w:p>
        </w:tc>
        <w:tc>
          <w:tcPr>
            <w:tcW w:w="7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460" w:type="dxa"/>
            <w:vAlign w:val="bottom"/>
          </w:tcPr>
          <w:p>
            <w:pPr>
              <w:spacing w:after="0" w:line="135" w:lineRule="exact"/>
              <w:rPr>
                <w:sz w:val="20"/>
                <w:szCs w:val="20"/>
                <w:color w:val="auto"/>
              </w:rPr>
            </w:pPr>
            <w:r>
              <w:rPr>
                <w:rFonts w:ascii="Arial" w:cs="Arial" w:eastAsia="Arial" w:hAnsi="Arial"/>
                <w:sz w:val="13"/>
                <w:szCs w:val="13"/>
                <w:color w:val="auto"/>
              </w:rPr>
              <w:t>K2 Pure Solutions NoCal, L.P.</w:t>
            </w:r>
          </w:p>
        </w:tc>
        <w:tc>
          <w:tcPr>
            <w:tcW w:w="1320" w:type="dxa"/>
            <w:vAlign w:val="bottom"/>
          </w:tcPr>
          <w:p>
            <w:pPr>
              <w:ind w:left="680"/>
              <w:spacing w:after="0" w:line="135" w:lineRule="exact"/>
              <w:rPr>
                <w:sz w:val="20"/>
                <w:szCs w:val="20"/>
                <w:color w:val="auto"/>
              </w:rPr>
            </w:pPr>
            <w:r>
              <w:rPr>
                <w:rFonts w:ascii="Arial" w:cs="Arial" w:eastAsia="Arial" w:hAnsi="Arial"/>
                <w:sz w:val="13"/>
                <w:szCs w:val="13"/>
                <w:color w:val="auto"/>
                <w:w w:val="95"/>
              </w:rPr>
              <w:t>08/19/2019</w:t>
            </w:r>
          </w:p>
        </w:tc>
        <w:tc>
          <w:tcPr>
            <w:tcW w:w="1860" w:type="dxa"/>
            <w:vAlign w:val="bottom"/>
          </w:tcPr>
          <w:p>
            <w:pPr>
              <w:jc w:val="center"/>
              <w:spacing w:after="0" w:line="135" w:lineRule="exact"/>
              <w:rPr>
                <w:sz w:val="20"/>
                <w:szCs w:val="20"/>
                <w:color w:val="auto"/>
              </w:rPr>
            </w:pPr>
            <w:r>
              <w:rPr>
                <w:rFonts w:ascii="Arial" w:cs="Arial" w:eastAsia="Arial" w:hAnsi="Arial"/>
                <w:sz w:val="13"/>
                <w:szCs w:val="13"/>
                <w:color w:val="auto"/>
                <w:w w:val="86"/>
              </w:rPr>
              <w:t>Chemicals, Plastics and Rubber</w:t>
            </w:r>
          </w:p>
        </w:tc>
        <w:tc>
          <w:tcPr>
            <w:tcW w:w="7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10.00%</w:t>
            </w:r>
          </w:p>
        </w:tc>
        <w:tc>
          <w:tcPr>
            <w:tcW w:w="86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L+900</w:t>
            </w:r>
          </w:p>
        </w:tc>
        <w:tc>
          <w:tcPr>
            <w:tcW w:w="760" w:type="dxa"/>
            <w:vAlign w:val="bottom"/>
          </w:tcPr>
          <w:p>
            <w:pPr>
              <w:jc w:val="right"/>
              <w:ind w:right="57"/>
              <w:spacing w:after="0" w:line="135" w:lineRule="exact"/>
              <w:rPr>
                <w:sz w:val="20"/>
                <w:szCs w:val="20"/>
                <w:color w:val="auto"/>
              </w:rPr>
            </w:pPr>
            <w:r>
              <w:rPr>
                <w:rFonts w:ascii="Arial" w:cs="Arial" w:eastAsia="Arial" w:hAnsi="Arial"/>
                <w:sz w:val="13"/>
                <w:szCs w:val="13"/>
                <w:color w:val="auto"/>
                <w:w w:val="95"/>
              </w:rPr>
              <w:t>22,342,352</w:t>
            </w:r>
          </w:p>
        </w:tc>
        <w:tc>
          <w:tcPr>
            <w:tcW w:w="140" w:type="dxa"/>
            <w:vAlign w:val="bottom"/>
          </w:tcPr>
          <w:p>
            <w:pPr>
              <w:spacing w:after="0"/>
              <w:rPr>
                <w:sz w:val="11"/>
                <w:szCs w:val="11"/>
                <w:color w:val="auto"/>
              </w:rPr>
            </w:pPr>
          </w:p>
        </w:tc>
        <w:tc>
          <w:tcPr>
            <w:tcW w:w="7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21,957,793</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22,003,560</w:t>
            </w:r>
          </w:p>
        </w:tc>
        <w:tc>
          <w:tcPr>
            <w:tcW w:w="0" w:type="dxa"/>
            <w:vAlign w:val="bottom"/>
          </w:tcPr>
          <w:p>
            <w:pPr>
              <w:spacing w:after="0"/>
              <w:rPr>
                <w:sz w:val="1"/>
                <w:szCs w:val="1"/>
                <w:color w:val="auto"/>
              </w:rPr>
            </w:pPr>
          </w:p>
        </w:tc>
      </w:tr>
      <w:tr>
        <w:trPr>
          <w:trHeight w:val="135"/>
        </w:trPr>
        <w:tc>
          <w:tcPr>
            <w:tcW w:w="3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Linc USA GP and Linc Energy Finance (USA), Inc. </w:t>
            </w:r>
            <w:r>
              <w:rPr>
                <w:rFonts w:ascii="Arial" w:cs="Arial" w:eastAsia="Arial" w:hAnsi="Arial"/>
                <w:sz w:val="10"/>
                <w:szCs w:val="10"/>
                <w:color w:val="auto"/>
              </w:rPr>
              <w:t>(5)</w:t>
            </w:r>
          </w:p>
        </w:tc>
        <w:tc>
          <w:tcPr>
            <w:tcW w:w="1320" w:type="dxa"/>
            <w:vAlign w:val="bottom"/>
            <w:shd w:val="clear" w:color="auto" w:fill="CCEEFF"/>
          </w:tcPr>
          <w:p>
            <w:pPr>
              <w:ind w:left="680"/>
              <w:spacing w:after="0" w:line="135" w:lineRule="exact"/>
              <w:rPr>
                <w:sz w:val="20"/>
                <w:szCs w:val="20"/>
                <w:color w:val="auto"/>
              </w:rPr>
            </w:pPr>
            <w:r>
              <w:rPr>
                <w:rFonts w:ascii="Arial" w:cs="Arial" w:eastAsia="Arial" w:hAnsi="Arial"/>
                <w:sz w:val="13"/>
                <w:szCs w:val="13"/>
                <w:color w:val="auto"/>
                <w:w w:val="95"/>
              </w:rPr>
              <w:t>10/31/2017</w:t>
            </w:r>
          </w:p>
        </w:tc>
        <w:tc>
          <w:tcPr>
            <w:tcW w:w="18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Oil and Gas</w:t>
            </w:r>
          </w:p>
        </w:tc>
        <w:tc>
          <w:tcPr>
            <w:tcW w:w="7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9.63%</w:t>
            </w:r>
          </w:p>
        </w:tc>
        <w:tc>
          <w:tcPr>
            <w:tcW w:w="86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5,626,850</w:t>
            </w:r>
          </w:p>
        </w:tc>
        <w:tc>
          <w:tcPr>
            <w:tcW w:w="1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5,626,850</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5,851,924</w:t>
            </w:r>
          </w:p>
        </w:tc>
        <w:tc>
          <w:tcPr>
            <w:tcW w:w="0" w:type="dxa"/>
            <w:vAlign w:val="bottom"/>
          </w:tcPr>
          <w:p>
            <w:pPr>
              <w:spacing w:after="0"/>
              <w:rPr>
                <w:sz w:val="1"/>
                <w:szCs w:val="1"/>
                <w:color w:val="auto"/>
              </w:rPr>
            </w:pPr>
          </w:p>
        </w:tc>
      </w:tr>
      <w:tr>
        <w:trPr>
          <w:trHeight w:val="121"/>
        </w:trPr>
        <w:tc>
          <w:tcPr>
            <w:tcW w:w="3460" w:type="dxa"/>
            <w:vAlign w:val="bottom"/>
          </w:tcPr>
          <w:p>
            <w:pPr>
              <w:spacing w:after="0" w:line="121" w:lineRule="exact"/>
              <w:rPr>
                <w:sz w:val="20"/>
                <w:szCs w:val="20"/>
                <w:color w:val="auto"/>
              </w:rPr>
            </w:pPr>
            <w:r>
              <w:rPr>
                <w:rFonts w:ascii="Arial" w:cs="Arial" w:eastAsia="Arial" w:hAnsi="Arial"/>
                <w:sz w:val="13"/>
                <w:szCs w:val="13"/>
                <w:color w:val="auto"/>
              </w:rPr>
              <w:t>Patriot National, Inc.</w:t>
            </w:r>
          </w:p>
        </w:tc>
        <w:tc>
          <w:tcPr>
            <w:tcW w:w="1320" w:type="dxa"/>
            <w:vAlign w:val="bottom"/>
          </w:tcPr>
          <w:p>
            <w:pPr>
              <w:ind w:left="680"/>
              <w:spacing w:after="0" w:line="121" w:lineRule="exact"/>
              <w:rPr>
                <w:sz w:val="20"/>
                <w:szCs w:val="20"/>
                <w:color w:val="auto"/>
              </w:rPr>
            </w:pPr>
            <w:r>
              <w:rPr>
                <w:rFonts w:ascii="Arial" w:cs="Arial" w:eastAsia="Arial" w:hAnsi="Arial"/>
                <w:sz w:val="13"/>
                <w:szCs w:val="13"/>
                <w:color w:val="auto"/>
                <w:w w:val="95"/>
              </w:rPr>
              <w:t>11/27/2018</w:t>
            </w:r>
          </w:p>
        </w:tc>
        <w:tc>
          <w:tcPr>
            <w:tcW w:w="1860" w:type="dxa"/>
            <w:vAlign w:val="bottom"/>
          </w:tcPr>
          <w:p>
            <w:pPr>
              <w:jc w:val="center"/>
              <w:spacing w:after="0" w:line="121" w:lineRule="exact"/>
              <w:rPr>
                <w:sz w:val="20"/>
                <w:szCs w:val="20"/>
                <w:color w:val="auto"/>
              </w:rPr>
            </w:pPr>
            <w:r>
              <w:rPr>
                <w:rFonts w:ascii="Arial" w:cs="Arial" w:eastAsia="Arial" w:hAnsi="Arial"/>
                <w:sz w:val="13"/>
                <w:szCs w:val="13"/>
                <w:color w:val="auto"/>
                <w:w w:val="84"/>
              </w:rPr>
              <w:t>Insurance</w:t>
            </w:r>
          </w:p>
        </w:tc>
        <w:tc>
          <w:tcPr>
            <w:tcW w:w="760" w:type="dxa"/>
            <w:vAlign w:val="bottom"/>
          </w:tcPr>
          <w:p>
            <w:pPr>
              <w:jc w:val="right"/>
              <w:ind w:right="37"/>
              <w:spacing w:after="0" w:line="121" w:lineRule="exact"/>
              <w:rPr>
                <w:sz w:val="20"/>
                <w:szCs w:val="20"/>
                <w:color w:val="auto"/>
              </w:rPr>
            </w:pPr>
            <w:r>
              <w:rPr>
                <w:rFonts w:ascii="Arial" w:cs="Arial" w:eastAsia="Arial" w:hAnsi="Arial"/>
                <w:sz w:val="13"/>
                <w:szCs w:val="13"/>
                <w:color w:val="auto"/>
              </w:rPr>
              <w:t>12.50%</w:t>
            </w:r>
          </w:p>
        </w:tc>
        <w:tc>
          <w:tcPr>
            <w:tcW w:w="860" w:type="dxa"/>
            <w:vAlign w:val="bottom"/>
          </w:tcPr>
          <w:p>
            <w:pPr>
              <w:jc w:val="right"/>
              <w:ind w:right="137"/>
              <w:spacing w:after="0" w:line="121" w:lineRule="exact"/>
              <w:rPr>
                <w:sz w:val="20"/>
                <w:szCs w:val="20"/>
                <w:color w:val="auto"/>
              </w:rPr>
            </w:pPr>
            <w:r>
              <w:rPr>
                <w:rFonts w:ascii="Arial" w:cs="Arial" w:eastAsia="Arial" w:hAnsi="Arial"/>
                <w:sz w:val="13"/>
                <w:szCs w:val="13"/>
                <w:color w:val="auto"/>
              </w:rPr>
              <w:t>L+1,150</w:t>
            </w:r>
          </w:p>
        </w:tc>
        <w:tc>
          <w:tcPr>
            <w:tcW w:w="760" w:type="dxa"/>
            <w:vAlign w:val="bottom"/>
          </w:tcPr>
          <w:p>
            <w:pPr>
              <w:jc w:val="right"/>
              <w:ind w:right="57"/>
              <w:spacing w:after="0" w:line="121" w:lineRule="exact"/>
              <w:rPr>
                <w:sz w:val="20"/>
                <w:szCs w:val="20"/>
                <w:color w:val="auto"/>
              </w:rPr>
            </w:pPr>
            <w:r>
              <w:rPr>
                <w:rFonts w:ascii="Arial" w:cs="Arial" w:eastAsia="Arial" w:hAnsi="Arial"/>
                <w:sz w:val="13"/>
                <w:szCs w:val="13"/>
                <w:color w:val="auto"/>
                <w:w w:val="95"/>
              </w:rPr>
              <w:t>49,851,923</w:t>
            </w:r>
          </w:p>
        </w:tc>
        <w:tc>
          <w:tcPr>
            <w:tcW w:w="140" w:type="dxa"/>
            <w:vAlign w:val="bottom"/>
          </w:tcPr>
          <w:p>
            <w:pPr>
              <w:spacing w:after="0"/>
              <w:rPr>
                <w:sz w:val="10"/>
                <w:szCs w:val="10"/>
                <w:color w:val="auto"/>
              </w:rPr>
            </w:pPr>
          </w:p>
        </w:tc>
        <w:tc>
          <w:tcPr>
            <w:tcW w:w="700" w:type="dxa"/>
            <w:vAlign w:val="bottom"/>
            <w:gridSpan w:val="2"/>
          </w:tcPr>
          <w:p>
            <w:pPr>
              <w:jc w:val="right"/>
              <w:ind w:right="20"/>
              <w:spacing w:after="0" w:line="121" w:lineRule="exact"/>
              <w:rPr>
                <w:sz w:val="20"/>
                <w:szCs w:val="20"/>
                <w:color w:val="auto"/>
              </w:rPr>
            </w:pPr>
            <w:r>
              <w:rPr>
                <w:rFonts w:ascii="Arial" w:cs="Arial" w:eastAsia="Arial" w:hAnsi="Arial"/>
                <w:sz w:val="13"/>
                <w:szCs w:val="13"/>
                <w:color w:val="auto"/>
              </w:rPr>
              <w:t>47,685,257</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50,350,442</w:t>
            </w:r>
          </w:p>
        </w:tc>
        <w:tc>
          <w:tcPr>
            <w:tcW w:w="0" w:type="dxa"/>
            <w:vAlign w:val="bottom"/>
          </w:tcPr>
          <w:p>
            <w:pPr>
              <w:spacing w:after="0"/>
              <w:rPr>
                <w:sz w:val="1"/>
                <w:szCs w:val="1"/>
                <w:color w:val="auto"/>
              </w:rPr>
            </w:pPr>
          </w:p>
        </w:tc>
      </w:tr>
      <w:tr>
        <w:trPr>
          <w:trHeight w:val="149"/>
        </w:trPr>
        <w:tc>
          <w:tcPr>
            <w:tcW w:w="3460" w:type="dxa"/>
            <w:vAlign w:val="bottom"/>
          </w:tcPr>
          <w:p>
            <w:pPr>
              <w:ind w:left="140"/>
              <w:spacing w:after="0"/>
              <w:rPr>
                <w:sz w:val="20"/>
                <w:szCs w:val="20"/>
                <w:color w:val="auto"/>
              </w:rPr>
            </w:pPr>
            <w:r>
              <w:rPr>
                <w:rFonts w:ascii="Arial" w:cs="Arial" w:eastAsia="Arial" w:hAnsi="Arial"/>
                <w:sz w:val="13"/>
                <w:szCs w:val="13"/>
                <w:color w:val="auto"/>
              </w:rPr>
              <w:t>(f/k/a Old Guard Risk Services, Inc.)</w:t>
            </w:r>
          </w:p>
        </w:tc>
        <w:tc>
          <w:tcPr>
            <w:tcW w:w="13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4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 xml:space="preserve">Prince Mineral Holding Corp. </w:t>
            </w:r>
            <w:r>
              <w:rPr>
                <w:rFonts w:ascii="Arial" w:cs="Arial" w:eastAsia="Arial" w:hAnsi="Arial"/>
                <w:sz w:val="10"/>
                <w:szCs w:val="10"/>
                <w:color w:val="auto"/>
              </w:rPr>
              <w:t>(5)</w:t>
            </w:r>
          </w:p>
        </w:tc>
        <w:tc>
          <w:tcPr>
            <w:tcW w:w="1320" w:type="dxa"/>
            <w:vAlign w:val="bottom"/>
            <w:shd w:val="clear" w:color="auto" w:fill="CCEEFF"/>
          </w:tcPr>
          <w:p>
            <w:pPr>
              <w:ind w:left="680"/>
              <w:spacing w:after="0" w:line="121" w:lineRule="exact"/>
              <w:rPr>
                <w:sz w:val="20"/>
                <w:szCs w:val="20"/>
                <w:color w:val="auto"/>
              </w:rPr>
            </w:pPr>
            <w:r>
              <w:rPr>
                <w:rFonts w:ascii="Arial" w:cs="Arial" w:eastAsia="Arial" w:hAnsi="Arial"/>
                <w:sz w:val="13"/>
                <w:szCs w:val="13"/>
                <w:color w:val="auto"/>
                <w:w w:val="95"/>
              </w:rPr>
              <w:t>12/16/2019</w:t>
            </w:r>
          </w:p>
        </w:tc>
        <w:tc>
          <w:tcPr>
            <w:tcW w:w="186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90"/>
              </w:rPr>
              <w:t>Mining, Steel, Iron and Non-</w:t>
            </w:r>
          </w:p>
        </w:tc>
        <w:tc>
          <w:tcPr>
            <w:tcW w:w="760" w:type="dxa"/>
            <w:vAlign w:val="bottom"/>
            <w:shd w:val="clear" w:color="auto" w:fill="CCEEFF"/>
          </w:tcPr>
          <w:p>
            <w:pPr>
              <w:jc w:val="right"/>
              <w:ind w:right="37"/>
              <w:spacing w:after="0" w:line="121" w:lineRule="exact"/>
              <w:rPr>
                <w:sz w:val="20"/>
                <w:szCs w:val="20"/>
                <w:color w:val="auto"/>
              </w:rPr>
            </w:pPr>
            <w:r>
              <w:rPr>
                <w:rFonts w:ascii="Arial" w:cs="Arial" w:eastAsia="Arial" w:hAnsi="Arial"/>
                <w:sz w:val="13"/>
                <w:szCs w:val="13"/>
                <w:color w:val="auto"/>
              </w:rPr>
              <w:t>11.50%</w:t>
            </w:r>
          </w:p>
        </w:tc>
        <w:tc>
          <w:tcPr>
            <w:tcW w:w="860" w:type="dxa"/>
            <w:vAlign w:val="bottom"/>
            <w:shd w:val="clear" w:color="auto" w:fill="CCEEFF"/>
          </w:tcPr>
          <w:p>
            <w:pPr>
              <w:jc w:val="right"/>
              <w:ind w:right="137"/>
              <w:spacing w:after="0" w:line="121"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7"/>
              <w:spacing w:after="0" w:line="121" w:lineRule="exact"/>
              <w:rPr>
                <w:sz w:val="20"/>
                <w:szCs w:val="20"/>
                <w:color w:val="auto"/>
              </w:rPr>
            </w:pPr>
            <w:r>
              <w:rPr>
                <w:rFonts w:ascii="Arial" w:cs="Arial" w:eastAsia="Arial" w:hAnsi="Arial"/>
                <w:sz w:val="13"/>
                <w:szCs w:val="13"/>
                <w:color w:val="auto"/>
                <w:w w:val="95"/>
              </w:rPr>
              <w:t>14,250,000</w:t>
            </w:r>
          </w:p>
        </w:tc>
        <w:tc>
          <w:tcPr>
            <w:tcW w:w="14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20"/>
              <w:spacing w:after="0" w:line="121" w:lineRule="exact"/>
              <w:rPr>
                <w:sz w:val="20"/>
                <w:szCs w:val="20"/>
                <w:color w:val="auto"/>
              </w:rPr>
            </w:pPr>
            <w:r>
              <w:rPr>
                <w:rFonts w:ascii="Arial" w:cs="Arial" w:eastAsia="Arial" w:hAnsi="Arial"/>
                <w:sz w:val="13"/>
                <w:szCs w:val="13"/>
                <w:color w:val="auto"/>
              </w:rPr>
              <w:t>14,116,948</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6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15,960,000</w:t>
            </w:r>
          </w:p>
        </w:tc>
        <w:tc>
          <w:tcPr>
            <w:tcW w:w="0" w:type="dxa"/>
            <w:vAlign w:val="bottom"/>
          </w:tcPr>
          <w:p>
            <w:pPr>
              <w:spacing w:after="0"/>
              <w:rPr>
                <w:sz w:val="1"/>
                <w:szCs w:val="1"/>
                <w:color w:val="auto"/>
              </w:rPr>
            </w:pPr>
          </w:p>
        </w:tc>
      </w:tr>
      <w:tr>
        <w:trPr>
          <w:trHeight w:val="149"/>
        </w:trPr>
        <w:tc>
          <w:tcPr>
            <w:tcW w:w="34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Precious Metals</w:t>
            </w:r>
          </w:p>
        </w:tc>
        <w:tc>
          <w:tcPr>
            <w:tcW w:w="7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460" w:type="dxa"/>
            <w:vAlign w:val="bottom"/>
          </w:tcPr>
          <w:p>
            <w:pPr>
              <w:spacing w:after="0" w:line="135" w:lineRule="exact"/>
              <w:rPr>
                <w:sz w:val="20"/>
                <w:szCs w:val="20"/>
                <w:color w:val="auto"/>
              </w:rPr>
            </w:pPr>
            <w:r>
              <w:rPr>
                <w:rFonts w:ascii="Arial" w:cs="Arial" w:eastAsia="Arial" w:hAnsi="Arial"/>
                <w:sz w:val="13"/>
                <w:szCs w:val="13"/>
                <w:color w:val="auto"/>
              </w:rPr>
              <w:t>RAM Energy LLC, Tranche A</w:t>
            </w:r>
          </w:p>
        </w:tc>
        <w:tc>
          <w:tcPr>
            <w:tcW w:w="1320" w:type="dxa"/>
            <w:vAlign w:val="bottom"/>
          </w:tcPr>
          <w:p>
            <w:pPr>
              <w:ind w:left="680"/>
              <w:spacing w:after="0" w:line="135" w:lineRule="exact"/>
              <w:rPr>
                <w:sz w:val="20"/>
                <w:szCs w:val="20"/>
                <w:color w:val="auto"/>
              </w:rPr>
            </w:pPr>
            <w:r>
              <w:rPr>
                <w:rFonts w:ascii="Arial" w:cs="Arial" w:eastAsia="Arial" w:hAnsi="Arial"/>
                <w:sz w:val="13"/>
                <w:szCs w:val="13"/>
                <w:color w:val="auto"/>
                <w:w w:val="95"/>
              </w:rPr>
              <w:t>07/18/2019</w:t>
            </w:r>
          </w:p>
        </w:tc>
        <w:tc>
          <w:tcPr>
            <w:tcW w:w="1860" w:type="dxa"/>
            <w:vAlign w:val="bottom"/>
          </w:tcPr>
          <w:p>
            <w:pPr>
              <w:jc w:val="center"/>
              <w:spacing w:after="0" w:line="135" w:lineRule="exact"/>
              <w:rPr>
                <w:sz w:val="20"/>
                <w:szCs w:val="20"/>
                <w:color w:val="auto"/>
              </w:rPr>
            </w:pPr>
            <w:r>
              <w:rPr>
                <w:rFonts w:ascii="Arial" w:cs="Arial" w:eastAsia="Arial" w:hAnsi="Arial"/>
                <w:sz w:val="13"/>
                <w:szCs w:val="13"/>
                <w:color w:val="auto"/>
                <w:w w:val="89"/>
              </w:rPr>
              <w:t>Energy and Utilities</w:t>
            </w:r>
          </w:p>
        </w:tc>
        <w:tc>
          <w:tcPr>
            <w:tcW w:w="7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12.00%</w:t>
            </w:r>
          </w:p>
        </w:tc>
        <w:tc>
          <w:tcPr>
            <w:tcW w:w="86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L+1,000</w:t>
            </w:r>
          </w:p>
        </w:tc>
        <w:tc>
          <w:tcPr>
            <w:tcW w:w="760" w:type="dxa"/>
            <w:vAlign w:val="bottom"/>
          </w:tcPr>
          <w:p>
            <w:pPr>
              <w:jc w:val="right"/>
              <w:ind w:right="57"/>
              <w:spacing w:after="0" w:line="135" w:lineRule="exact"/>
              <w:rPr>
                <w:sz w:val="20"/>
                <w:szCs w:val="20"/>
                <w:color w:val="auto"/>
              </w:rPr>
            </w:pPr>
            <w:r>
              <w:rPr>
                <w:rFonts w:ascii="Arial" w:cs="Arial" w:eastAsia="Arial" w:hAnsi="Arial"/>
                <w:sz w:val="13"/>
                <w:szCs w:val="13"/>
                <w:color w:val="auto"/>
                <w:w w:val="95"/>
              </w:rPr>
              <w:t>75,000,000</w:t>
            </w:r>
          </w:p>
        </w:tc>
        <w:tc>
          <w:tcPr>
            <w:tcW w:w="140" w:type="dxa"/>
            <w:vAlign w:val="bottom"/>
          </w:tcPr>
          <w:p>
            <w:pPr>
              <w:spacing w:after="0"/>
              <w:rPr>
                <w:sz w:val="11"/>
                <w:szCs w:val="11"/>
                <w:color w:val="auto"/>
              </w:rPr>
            </w:pPr>
          </w:p>
        </w:tc>
        <w:tc>
          <w:tcPr>
            <w:tcW w:w="7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73,440,857</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74,250,000</w:t>
            </w:r>
          </w:p>
        </w:tc>
        <w:tc>
          <w:tcPr>
            <w:tcW w:w="0" w:type="dxa"/>
            <w:vAlign w:val="bottom"/>
          </w:tcPr>
          <w:p>
            <w:pPr>
              <w:spacing w:after="0"/>
              <w:rPr>
                <w:sz w:val="1"/>
                <w:szCs w:val="1"/>
                <w:color w:val="auto"/>
              </w:rPr>
            </w:pPr>
          </w:p>
        </w:tc>
      </w:tr>
      <w:tr>
        <w:trPr>
          <w:trHeight w:val="135"/>
        </w:trPr>
        <w:tc>
          <w:tcPr>
            <w:tcW w:w="3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RAM Energy LLC, Tranche B</w:t>
            </w:r>
          </w:p>
        </w:tc>
        <w:tc>
          <w:tcPr>
            <w:tcW w:w="1320" w:type="dxa"/>
            <w:vAlign w:val="bottom"/>
            <w:shd w:val="clear" w:color="auto" w:fill="CCEEFF"/>
          </w:tcPr>
          <w:p>
            <w:pPr>
              <w:ind w:left="680"/>
              <w:spacing w:after="0" w:line="135" w:lineRule="exact"/>
              <w:rPr>
                <w:sz w:val="20"/>
                <w:szCs w:val="20"/>
                <w:color w:val="auto"/>
              </w:rPr>
            </w:pPr>
            <w:r>
              <w:rPr>
                <w:rFonts w:ascii="Arial" w:cs="Arial" w:eastAsia="Arial" w:hAnsi="Arial"/>
                <w:sz w:val="13"/>
                <w:szCs w:val="13"/>
                <w:color w:val="auto"/>
                <w:w w:val="95"/>
              </w:rPr>
              <w:t>07/20/2015</w:t>
            </w:r>
          </w:p>
        </w:tc>
        <w:tc>
          <w:tcPr>
            <w:tcW w:w="18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Energy and Utilities</w:t>
            </w:r>
          </w:p>
        </w:tc>
        <w:tc>
          <w:tcPr>
            <w:tcW w:w="7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15.00%</w:t>
            </w:r>
          </w:p>
        </w:tc>
        <w:tc>
          <w:tcPr>
            <w:tcW w:w="86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L+1,300</w:t>
            </w:r>
          </w:p>
        </w:tc>
        <w:tc>
          <w:tcPr>
            <w:tcW w:w="7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w w:val="95"/>
              </w:rPr>
              <w:t>27,500,000</w:t>
            </w:r>
          </w:p>
        </w:tc>
        <w:tc>
          <w:tcPr>
            <w:tcW w:w="1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26,727,390</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27,500,000</w:t>
            </w:r>
          </w:p>
        </w:tc>
        <w:tc>
          <w:tcPr>
            <w:tcW w:w="0" w:type="dxa"/>
            <w:vAlign w:val="bottom"/>
          </w:tcPr>
          <w:p>
            <w:pPr>
              <w:spacing w:after="0"/>
              <w:rPr>
                <w:sz w:val="1"/>
                <w:szCs w:val="1"/>
                <w:color w:val="auto"/>
              </w:rPr>
            </w:pPr>
          </w:p>
        </w:tc>
      </w:tr>
      <w:tr>
        <w:trPr>
          <w:trHeight w:val="121"/>
        </w:trPr>
        <w:tc>
          <w:tcPr>
            <w:tcW w:w="3460" w:type="dxa"/>
            <w:vAlign w:val="bottom"/>
          </w:tcPr>
          <w:p>
            <w:pPr>
              <w:spacing w:after="0" w:line="121" w:lineRule="exact"/>
              <w:rPr>
                <w:sz w:val="20"/>
                <w:szCs w:val="20"/>
                <w:color w:val="auto"/>
              </w:rPr>
            </w:pPr>
            <w:r>
              <w:rPr>
                <w:rFonts w:ascii="Arial" w:cs="Arial" w:eastAsia="Arial" w:hAnsi="Arial"/>
                <w:sz w:val="13"/>
                <w:szCs w:val="13"/>
                <w:color w:val="auto"/>
              </w:rPr>
              <w:t>Robertshaw US Holding Corp.</w:t>
            </w:r>
          </w:p>
        </w:tc>
        <w:tc>
          <w:tcPr>
            <w:tcW w:w="1320" w:type="dxa"/>
            <w:vAlign w:val="bottom"/>
          </w:tcPr>
          <w:p>
            <w:pPr>
              <w:ind w:left="680"/>
              <w:spacing w:after="0" w:line="121" w:lineRule="exact"/>
              <w:rPr>
                <w:sz w:val="20"/>
                <w:szCs w:val="20"/>
                <w:color w:val="auto"/>
              </w:rPr>
            </w:pPr>
            <w:r>
              <w:rPr>
                <w:rFonts w:ascii="Arial" w:cs="Arial" w:eastAsia="Arial" w:hAnsi="Arial"/>
                <w:sz w:val="13"/>
                <w:szCs w:val="13"/>
                <w:color w:val="auto"/>
                <w:w w:val="95"/>
              </w:rPr>
              <w:t>06/18/2019</w:t>
            </w:r>
          </w:p>
        </w:tc>
        <w:tc>
          <w:tcPr>
            <w:tcW w:w="1860" w:type="dxa"/>
            <w:vAlign w:val="bottom"/>
          </w:tcPr>
          <w:p>
            <w:pPr>
              <w:jc w:val="center"/>
              <w:spacing w:after="0" w:line="121" w:lineRule="exact"/>
              <w:rPr>
                <w:sz w:val="20"/>
                <w:szCs w:val="20"/>
                <w:color w:val="auto"/>
              </w:rPr>
            </w:pPr>
            <w:r>
              <w:rPr>
                <w:rFonts w:ascii="Arial" w:cs="Arial" w:eastAsia="Arial" w:hAnsi="Arial"/>
                <w:sz w:val="13"/>
                <w:szCs w:val="13"/>
                <w:color w:val="auto"/>
                <w:w w:val="88"/>
              </w:rPr>
              <w:t>Electronics</w:t>
            </w:r>
          </w:p>
        </w:tc>
        <w:tc>
          <w:tcPr>
            <w:tcW w:w="760" w:type="dxa"/>
            <w:vAlign w:val="bottom"/>
          </w:tcPr>
          <w:p>
            <w:pPr>
              <w:jc w:val="right"/>
              <w:ind w:right="37"/>
              <w:spacing w:after="0" w:line="121" w:lineRule="exact"/>
              <w:rPr>
                <w:sz w:val="20"/>
                <w:szCs w:val="20"/>
                <w:color w:val="auto"/>
              </w:rPr>
            </w:pPr>
            <w:r>
              <w:rPr>
                <w:rFonts w:ascii="Arial" w:cs="Arial" w:eastAsia="Arial" w:hAnsi="Arial"/>
                <w:sz w:val="13"/>
                <w:szCs w:val="13"/>
                <w:color w:val="auto"/>
              </w:rPr>
              <w:t>9.00%</w:t>
            </w:r>
          </w:p>
        </w:tc>
        <w:tc>
          <w:tcPr>
            <w:tcW w:w="860" w:type="dxa"/>
            <w:vAlign w:val="bottom"/>
          </w:tcPr>
          <w:p>
            <w:pPr>
              <w:jc w:val="right"/>
              <w:ind w:right="137"/>
              <w:spacing w:after="0" w:line="121" w:lineRule="exact"/>
              <w:rPr>
                <w:sz w:val="20"/>
                <w:szCs w:val="20"/>
                <w:color w:val="auto"/>
              </w:rPr>
            </w:pPr>
            <w:r>
              <w:rPr>
                <w:rFonts w:ascii="Arial" w:cs="Arial" w:eastAsia="Arial" w:hAnsi="Arial"/>
                <w:sz w:val="13"/>
                <w:szCs w:val="13"/>
                <w:color w:val="auto"/>
              </w:rPr>
              <w:t>L+750</w:t>
            </w:r>
          </w:p>
        </w:tc>
        <w:tc>
          <w:tcPr>
            <w:tcW w:w="760" w:type="dxa"/>
            <w:vAlign w:val="bottom"/>
          </w:tcPr>
          <w:p>
            <w:pPr>
              <w:jc w:val="right"/>
              <w:ind w:right="57"/>
              <w:spacing w:after="0" w:line="121" w:lineRule="exact"/>
              <w:rPr>
                <w:sz w:val="20"/>
                <w:szCs w:val="20"/>
                <w:color w:val="auto"/>
              </w:rPr>
            </w:pPr>
            <w:r>
              <w:rPr>
                <w:rFonts w:ascii="Arial" w:cs="Arial" w:eastAsia="Arial" w:hAnsi="Arial"/>
                <w:sz w:val="13"/>
                <w:szCs w:val="13"/>
                <w:color w:val="auto"/>
                <w:w w:val="95"/>
              </w:rPr>
              <w:t>12,352,942</w:t>
            </w:r>
          </w:p>
        </w:tc>
        <w:tc>
          <w:tcPr>
            <w:tcW w:w="140" w:type="dxa"/>
            <w:vAlign w:val="bottom"/>
          </w:tcPr>
          <w:p>
            <w:pPr>
              <w:spacing w:after="0"/>
              <w:rPr>
                <w:sz w:val="10"/>
                <w:szCs w:val="10"/>
                <w:color w:val="auto"/>
              </w:rPr>
            </w:pPr>
          </w:p>
        </w:tc>
        <w:tc>
          <w:tcPr>
            <w:tcW w:w="700" w:type="dxa"/>
            <w:vAlign w:val="bottom"/>
            <w:gridSpan w:val="2"/>
          </w:tcPr>
          <w:p>
            <w:pPr>
              <w:jc w:val="right"/>
              <w:ind w:right="20"/>
              <w:spacing w:after="0" w:line="121" w:lineRule="exact"/>
              <w:rPr>
                <w:sz w:val="20"/>
                <w:szCs w:val="20"/>
                <w:color w:val="auto"/>
              </w:rPr>
            </w:pPr>
            <w:r>
              <w:rPr>
                <w:rFonts w:ascii="Arial" w:cs="Arial" w:eastAsia="Arial" w:hAnsi="Arial"/>
                <w:sz w:val="13"/>
                <w:szCs w:val="13"/>
                <w:color w:val="auto"/>
              </w:rPr>
              <w:t>12,235,053</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12,331,043</w:t>
            </w:r>
          </w:p>
        </w:tc>
        <w:tc>
          <w:tcPr>
            <w:tcW w:w="0" w:type="dxa"/>
            <w:vAlign w:val="bottom"/>
          </w:tcPr>
          <w:p>
            <w:pPr>
              <w:spacing w:after="0"/>
              <w:rPr>
                <w:sz w:val="1"/>
                <w:szCs w:val="1"/>
                <w:color w:val="auto"/>
              </w:rPr>
            </w:pPr>
          </w:p>
        </w:tc>
      </w:tr>
      <w:tr>
        <w:trPr>
          <w:trHeight w:val="149"/>
        </w:trPr>
        <w:tc>
          <w:tcPr>
            <w:tcW w:w="3460" w:type="dxa"/>
            <w:vAlign w:val="bottom"/>
          </w:tcPr>
          <w:p>
            <w:pPr>
              <w:ind w:left="140"/>
              <w:spacing w:after="0"/>
              <w:rPr>
                <w:sz w:val="20"/>
                <w:szCs w:val="20"/>
                <w:color w:val="auto"/>
              </w:rPr>
            </w:pPr>
            <w:r>
              <w:rPr>
                <w:rFonts w:ascii="Arial" w:cs="Arial" w:eastAsia="Arial" w:hAnsi="Arial"/>
                <w:sz w:val="13"/>
                <w:szCs w:val="13"/>
                <w:color w:val="auto"/>
              </w:rPr>
              <w:t>(f/k/a Fox US Bidco Corp.)</w:t>
            </w:r>
          </w:p>
        </w:tc>
        <w:tc>
          <w:tcPr>
            <w:tcW w:w="13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4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Robertshaw US Holding Corp.</w:t>
            </w:r>
          </w:p>
        </w:tc>
        <w:tc>
          <w:tcPr>
            <w:tcW w:w="1320" w:type="dxa"/>
            <w:vAlign w:val="bottom"/>
            <w:shd w:val="clear" w:color="auto" w:fill="CCEEFF"/>
          </w:tcPr>
          <w:p>
            <w:pPr>
              <w:ind w:left="680"/>
              <w:spacing w:after="0" w:line="121" w:lineRule="exact"/>
              <w:rPr>
                <w:sz w:val="20"/>
                <w:szCs w:val="20"/>
                <w:color w:val="auto"/>
              </w:rPr>
            </w:pPr>
            <w:r>
              <w:rPr>
                <w:rFonts w:ascii="Arial" w:cs="Arial" w:eastAsia="Arial" w:hAnsi="Arial"/>
                <w:sz w:val="13"/>
                <w:szCs w:val="13"/>
                <w:color w:val="auto"/>
                <w:w w:val="95"/>
              </w:rPr>
              <w:t>06/18/2019</w:t>
            </w:r>
          </w:p>
        </w:tc>
        <w:tc>
          <w:tcPr>
            <w:tcW w:w="186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8"/>
              </w:rPr>
              <w:t>Electronics</w:t>
            </w:r>
          </w:p>
        </w:tc>
        <w:tc>
          <w:tcPr>
            <w:tcW w:w="760" w:type="dxa"/>
            <w:vAlign w:val="bottom"/>
            <w:shd w:val="clear" w:color="auto" w:fill="CCEEFF"/>
          </w:tcPr>
          <w:p>
            <w:pPr>
              <w:jc w:val="right"/>
              <w:ind w:right="137"/>
              <w:spacing w:after="0" w:line="121" w:lineRule="exact"/>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137"/>
              <w:spacing w:after="0" w:line="121"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7"/>
              <w:spacing w:after="0" w:line="121" w:lineRule="exact"/>
              <w:rPr>
                <w:sz w:val="20"/>
                <w:szCs w:val="20"/>
                <w:color w:val="auto"/>
              </w:rPr>
            </w:pPr>
            <w:r>
              <w:rPr>
                <w:rFonts w:ascii="Arial" w:cs="Arial" w:eastAsia="Arial" w:hAnsi="Arial"/>
                <w:sz w:val="13"/>
                <w:szCs w:val="13"/>
                <w:color w:val="auto"/>
              </w:rPr>
              <w:t>2,647,058</w:t>
            </w:r>
          </w:p>
        </w:tc>
        <w:tc>
          <w:tcPr>
            <w:tcW w:w="14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20"/>
              <w:spacing w:after="0" w:line="121" w:lineRule="exact"/>
              <w:rPr>
                <w:sz w:val="20"/>
                <w:szCs w:val="20"/>
                <w:color w:val="auto"/>
              </w:rPr>
            </w:pPr>
            <w:r>
              <w:rPr>
                <w:rFonts w:ascii="Arial" w:cs="Arial" w:eastAsia="Arial" w:hAnsi="Arial"/>
                <w:sz w:val="13"/>
                <w:szCs w:val="13"/>
                <w:color w:val="auto"/>
              </w:rPr>
              <w:t>2,647,058</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6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2,642,366</w:t>
            </w:r>
          </w:p>
        </w:tc>
        <w:tc>
          <w:tcPr>
            <w:tcW w:w="0" w:type="dxa"/>
            <w:vAlign w:val="bottom"/>
          </w:tcPr>
          <w:p>
            <w:pPr>
              <w:spacing w:after="0"/>
              <w:rPr>
                <w:sz w:val="1"/>
                <w:szCs w:val="1"/>
                <w:color w:val="auto"/>
              </w:rPr>
            </w:pPr>
          </w:p>
        </w:tc>
      </w:tr>
      <w:tr>
        <w:trPr>
          <w:trHeight w:val="149"/>
        </w:trPr>
        <w:tc>
          <w:tcPr>
            <w:tcW w:w="34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 xml:space="preserve">(f/k/a Fox US Bidco Corp.) </w:t>
            </w:r>
            <w:r>
              <w:rPr>
                <w:rFonts w:ascii="Arial" w:cs="Arial" w:eastAsia="Arial" w:hAnsi="Arial"/>
                <w:sz w:val="10"/>
                <w:szCs w:val="10"/>
                <w:color w:val="auto"/>
              </w:rPr>
              <w:t>(9)</w:t>
            </w:r>
          </w:p>
        </w:tc>
        <w:tc>
          <w:tcPr>
            <w:tcW w:w="132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460" w:type="dxa"/>
            <w:vAlign w:val="bottom"/>
          </w:tcPr>
          <w:p>
            <w:pPr>
              <w:spacing w:after="0" w:line="135" w:lineRule="exact"/>
              <w:rPr>
                <w:sz w:val="20"/>
                <w:szCs w:val="20"/>
                <w:color w:val="auto"/>
              </w:rPr>
            </w:pPr>
            <w:r>
              <w:rPr>
                <w:rFonts w:ascii="Arial" w:cs="Arial" w:eastAsia="Arial" w:hAnsi="Arial"/>
                <w:sz w:val="13"/>
                <w:szCs w:val="13"/>
                <w:color w:val="auto"/>
              </w:rPr>
              <w:t>Sotera Defense Solutions, Inc.</w:t>
            </w:r>
          </w:p>
        </w:tc>
        <w:tc>
          <w:tcPr>
            <w:tcW w:w="1320" w:type="dxa"/>
            <w:vAlign w:val="bottom"/>
          </w:tcPr>
          <w:p>
            <w:pPr>
              <w:ind w:left="680"/>
              <w:spacing w:after="0" w:line="135" w:lineRule="exact"/>
              <w:rPr>
                <w:sz w:val="20"/>
                <w:szCs w:val="20"/>
                <w:color w:val="auto"/>
              </w:rPr>
            </w:pPr>
            <w:r>
              <w:rPr>
                <w:rFonts w:ascii="Arial" w:cs="Arial" w:eastAsia="Arial" w:hAnsi="Arial"/>
                <w:sz w:val="13"/>
                <w:szCs w:val="13"/>
                <w:color w:val="auto"/>
                <w:w w:val="95"/>
              </w:rPr>
              <w:t>04/21/2017</w:t>
            </w:r>
          </w:p>
        </w:tc>
        <w:tc>
          <w:tcPr>
            <w:tcW w:w="1860" w:type="dxa"/>
            <w:vAlign w:val="bottom"/>
          </w:tcPr>
          <w:p>
            <w:pPr>
              <w:jc w:val="center"/>
              <w:spacing w:after="0" w:line="135" w:lineRule="exact"/>
              <w:rPr>
                <w:sz w:val="20"/>
                <w:szCs w:val="20"/>
                <w:color w:val="auto"/>
              </w:rPr>
            </w:pPr>
            <w:r>
              <w:rPr>
                <w:rFonts w:ascii="Arial" w:cs="Arial" w:eastAsia="Arial" w:hAnsi="Arial"/>
                <w:sz w:val="13"/>
                <w:szCs w:val="13"/>
                <w:color w:val="auto"/>
                <w:w w:val="86"/>
              </w:rPr>
              <w:t>Aerospace and Defense</w:t>
            </w:r>
          </w:p>
        </w:tc>
        <w:tc>
          <w:tcPr>
            <w:tcW w:w="7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9.00%</w:t>
            </w:r>
          </w:p>
        </w:tc>
        <w:tc>
          <w:tcPr>
            <w:tcW w:w="86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L+750</w:t>
            </w:r>
          </w:p>
        </w:tc>
        <w:tc>
          <w:tcPr>
            <w:tcW w:w="760" w:type="dxa"/>
            <w:vAlign w:val="bottom"/>
          </w:tcPr>
          <w:p>
            <w:pPr>
              <w:jc w:val="right"/>
              <w:ind w:right="57"/>
              <w:spacing w:after="0" w:line="135" w:lineRule="exact"/>
              <w:rPr>
                <w:sz w:val="20"/>
                <w:szCs w:val="20"/>
                <w:color w:val="auto"/>
              </w:rPr>
            </w:pPr>
            <w:r>
              <w:rPr>
                <w:rFonts w:ascii="Arial" w:cs="Arial" w:eastAsia="Arial" w:hAnsi="Arial"/>
                <w:sz w:val="13"/>
                <w:szCs w:val="13"/>
                <w:color w:val="auto"/>
                <w:w w:val="95"/>
              </w:rPr>
              <w:t>19,838,145</w:t>
            </w:r>
          </w:p>
        </w:tc>
        <w:tc>
          <w:tcPr>
            <w:tcW w:w="140" w:type="dxa"/>
            <w:vAlign w:val="bottom"/>
          </w:tcPr>
          <w:p>
            <w:pPr>
              <w:spacing w:after="0"/>
              <w:rPr>
                <w:sz w:val="11"/>
                <w:szCs w:val="11"/>
                <w:color w:val="auto"/>
              </w:rPr>
            </w:pPr>
          </w:p>
        </w:tc>
        <w:tc>
          <w:tcPr>
            <w:tcW w:w="7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18,826,225</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17,854,331</w:t>
            </w:r>
          </w:p>
        </w:tc>
        <w:tc>
          <w:tcPr>
            <w:tcW w:w="0" w:type="dxa"/>
            <w:vAlign w:val="bottom"/>
          </w:tcPr>
          <w:p>
            <w:pPr>
              <w:spacing w:after="0"/>
              <w:rPr>
                <w:sz w:val="1"/>
                <w:szCs w:val="1"/>
                <w:color w:val="auto"/>
              </w:rPr>
            </w:pPr>
          </w:p>
        </w:tc>
      </w:tr>
      <w:tr>
        <w:trPr>
          <w:trHeight w:val="135"/>
        </w:trPr>
        <w:tc>
          <w:tcPr>
            <w:tcW w:w="3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TRAK Acquisition Corp.</w:t>
            </w:r>
          </w:p>
        </w:tc>
        <w:tc>
          <w:tcPr>
            <w:tcW w:w="1320" w:type="dxa"/>
            <w:vAlign w:val="bottom"/>
            <w:shd w:val="clear" w:color="auto" w:fill="CCEEFF"/>
          </w:tcPr>
          <w:p>
            <w:pPr>
              <w:ind w:left="680"/>
              <w:spacing w:after="0" w:line="135" w:lineRule="exact"/>
              <w:rPr>
                <w:sz w:val="20"/>
                <w:szCs w:val="20"/>
                <w:color w:val="auto"/>
              </w:rPr>
            </w:pPr>
            <w:r>
              <w:rPr>
                <w:rFonts w:ascii="Arial" w:cs="Arial" w:eastAsia="Arial" w:hAnsi="Arial"/>
                <w:sz w:val="13"/>
                <w:szCs w:val="13"/>
                <w:color w:val="auto"/>
                <w:w w:val="95"/>
              </w:rPr>
              <w:t>04/30/2018</w:t>
            </w:r>
          </w:p>
        </w:tc>
        <w:tc>
          <w:tcPr>
            <w:tcW w:w="18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Business Services</w:t>
            </w:r>
          </w:p>
        </w:tc>
        <w:tc>
          <w:tcPr>
            <w:tcW w:w="7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12.00%</w:t>
            </w:r>
          </w:p>
        </w:tc>
        <w:tc>
          <w:tcPr>
            <w:tcW w:w="86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L+1,050</w:t>
            </w:r>
          </w:p>
        </w:tc>
        <w:tc>
          <w:tcPr>
            <w:tcW w:w="7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w w:val="95"/>
              </w:rPr>
              <w:t>23,952,411</w:t>
            </w:r>
          </w:p>
        </w:tc>
        <w:tc>
          <w:tcPr>
            <w:tcW w:w="1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23,659,108</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23,952,411</w:t>
            </w:r>
          </w:p>
        </w:tc>
        <w:tc>
          <w:tcPr>
            <w:tcW w:w="0" w:type="dxa"/>
            <w:vAlign w:val="bottom"/>
          </w:tcPr>
          <w:p>
            <w:pPr>
              <w:spacing w:after="0"/>
              <w:rPr>
                <w:sz w:val="1"/>
                <w:szCs w:val="1"/>
                <w:color w:val="auto"/>
              </w:rPr>
            </w:pPr>
          </w:p>
        </w:tc>
      </w:tr>
      <w:tr>
        <w:trPr>
          <w:trHeight w:val="135"/>
        </w:trPr>
        <w:tc>
          <w:tcPr>
            <w:tcW w:w="3460" w:type="dxa"/>
            <w:vAlign w:val="bottom"/>
          </w:tcPr>
          <w:p>
            <w:pPr>
              <w:spacing w:after="0" w:line="135" w:lineRule="exact"/>
              <w:rPr>
                <w:sz w:val="20"/>
                <w:szCs w:val="20"/>
                <w:color w:val="auto"/>
              </w:rPr>
            </w:pPr>
            <w:r>
              <w:rPr>
                <w:rFonts w:ascii="Arial" w:cs="Arial" w:eastAsia="Arial" w:hAnsi="Arial"/>
                <w:sz w:val="13"/>
                <w:szCs w:val="13"/>
                <w:color w:val="auto"/>
              </w:rPr>
              <w:t xml:space="preserve">TRAK Acquisition Corp. </w:t>
            </w:r>
            <w:r>
              <w:rPr>
                <w:rFonts w:ascii="Arial" w:cs="Arial" w:eastAsia="Arial" w:hAnsi="Arial"/>
                <w:sz w:val="10"/>
                <w:szCs w:val="10"/>
                <w:color w:val="auto"/>
              </w:rPr>
              <w:t>(9)</w:t>
            </w:r>
          </w:p>
        </w:tc>
        <w:tc>
          <w:tcPr>
            <w:tcW w:w="1320" w:type="dxa"/>
            <w:vAlign w:val="bottom"/>
          </w:tcPr>
          <w:p>
            <w:pPr>
              <w:ind w:left="680"/>
              <w:spacing w:after="0" w:line="135" w:lineRule="exact"/>
              <w:rPr>
                <w:sz w:val="20"/>
                <w:szCs w:val="20"/>
                <w:color w:val="auto"/>
              </w:rPr>
            </w:pPr>
            <w:r>
              <w:rPr>
                <w:rFonts w:ascii="Arial" w:cs="Arial" w:eastAsia="Arial" w:hAnsi="Arial"/>
                <w:sz w:val="13"/>
                <w:szCs w:val="13"/>
                <w:color w:val="auto"/>
                <w:w w:val="95"/>
              </w:rPr>
              <w:t>10/31/2017</w:t>
            </w:r>
          </w:p>
        </w:tc>
        <w:tc>
          <w:tcPr>
            <w:tcW w:w="1860" w:type="dxa"/>
            <w:vAlign w:val="bottom"/>
          </w:tcPr>
          <w:p>
            <w:pPr>
              <w:jc w:val="center"/>
              <w:spacing w:after="0" w:line="135" w:lineRule="exact"/>
              <w:rPr>
                <w:sz w:val="20"/>
                <w:szCs w:val="20"/>
                <w:color w:val="auto"/>
              </w:rPr>
            </w:pPr>
            <w:r>
              <w:rPr>
                <w:rFonts w:ascii="Arial" w:cs="Arial" w:eastAsia="Arial" w:hAnsi="Arial"/>
                <w:sz w:val="13"/>
                <w:szCs w:val="13"/>
                <w:color w:val="auto"/>
                <w:w w:val="86"/>
              </w:rPr>
              <w:t>Business Services</w:t>
            </w:r>
          </w:p>
        </w:tc>
        <w:tc>
          <w:tcPr>
            <w:tcW w:w="76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w:t>
            </w:r>
          </w:p>
        </w:tc>
        <w:tc>
          <w:tcPr>
            <w:tcW w:w="86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1,000,000</w:t>
            </w:r>
          </w:p>
        </w:tc>
        <w:tc>
          <w:tcPr>
            <w:tcW w:w="140" w:type="dxa"/>
            <w:vAlign w:val="bottom"/>
          </w:tcPr>
          <w:p>
            <w:pPr>
              <w:spacing w:after="0"/>
              <w:rPr>
                <w:sz w:val="11"/>
                <w:szCs w:val="11"/>
                <w:color w:val="auto"/>
              </w:rPr>
            </w:pPr>
          </w:p>
        </w:tc>
        <w:tc>
          <w:tcPr>
            <w:tcW w:w="7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985,000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1,000,000</w:t>
            </w:r>
          </w:p>
        </w:tc>
        <w:tc>
          <w:tcPr>
            <w:tcW w:w="0" w:type="dxa"/>
            <w:vAlign w:val="bottom"/>
          </w:tcPr>
          <w:p>
            <w:pPr>
              <w:spacing w:after="0"/>
              <w:rPr>
                <w:sz w:val="1"/>
                <w:szCs w:val="1"/>
                <w:color w:val="auto"/>
              </w:rPr>
            </w:pPr>
          </w:p>
        </w:tc>
      </w:tr>
      <w:tr>
        <w:trPr>
          <w:trHeight w:val="135"/>
        </w:trPr>
        <w:tc>
          <w:tcPr>
            <w:tcW w:w="3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Trust Inns Limited </w:t>
            </w:r>
            <w:r>
              <w:rPr>
                <w:rFonts w:ascii="Arial" w:cs="Arial" w:eastAsia="Arial" w:hAnsi="Arial"/>
                <w:sz w:val="10"/>
                <w:szCs w:val="10"/>
                <w:color w:val="auto"/>
              </w:rPr>
              <w:t>(10), (12)</w:t>
            </w:r>
          </w:p>
        </w:tc>
        <w:tc>
          <w:tcPr>
            <w:tcW w:w="1320" w:type="dxa"/>
            <w:vAlign w:val="bottom"/>
            <w:shd w:val="clear" w:color="auto" w:fill="CCEEFF"/>
          </w:tcPr>
          <w:p>
            <w:pPr>
              <w:ind w:left="680"/>
              <w:spacing w:after="0" w:line="135" w:lineRule="exact"/>
              <w:rPr>
                <w:sz w:val="20"/>
                <w:szCs w:val="20"/>
                <w:color w:val="auto"/>
              </w:rPr>
            </w:pPr>
            <w:r>
              <w:rPr>
                <w:rFonts w:ascii="Arial" w:cs="Arial" w:eastAsia="Arial" w:hAnsi="Arial"/>
                <w:sz w:val="13"/>
                <w:szCs w:val="13"/>
                <w:color w:val="auto"/>
                <w:w w:val="95"/>
              </w:rPr>
              <w:t>02/12/2020</w:t>
            </w:r>
          </w:p>
        </w:tc>
        <w:tc>
          <w:tcPr>
            <w:tcW w:w="18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Buildings and Real Estate</w:t>
            </w:r>
          </w:p>
        </w:tc>
        <w:tc>
          <w:tcPr>
            <w:tcW w:w="7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11.06%</w:t>
            </w:r>
          </w:p>
        </w:tc>
        <w:tc>
          <w:tcPr>
            <w:tcW w:w="8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L+1,050</w:t>
            </w:r>
            <w:r>
              <w:rPr>
                <w:rFonts w:ascii="Arial" w:cs="Arial" w:eastAsia="Arial" w:hAnsi="Arial"/>
                <w:sz w:val="10"/>
                <w:szCs w:val="10"/>
                <w:color w:val="auto"/>
              </w:rPr>
              <w:t>(8)</w:t>
            </w:r>
          </w:p>
        </w:tc>
        <w:tc>
          <w:tcPr>
            <w:tcW w:w="7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w w:val="95"/>
              </w:rPr>
              <w:t>27,118,544</w:t>
            </w:r>
          </w:p>
        </w:tc>
        <w:tc>
          <w:tcPr>
            <w:tcW w:w="1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42,793,869</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44,024,504</w:t>
            </w:r>
          </w:p>
        </w:tc>
        <w:tc>
          <w:tcPr>
            <w:tcW w:w="0" w:type="dxa"/>
            <w:vAlign w:val="bottom"/>
          </w:tcPr>
          <w:p>
            <w:pPr>
              <w:spacing w:after="0"/>
              <w:rPr>
                <w:sz w:val="1"/>
                <w:szCs w:val="1"/>
                <w:color w:val="auto"/>
              </w:rPr>
            </w:pPr>
          </w:p>
        </w:tc>
      </w:tr>
      <w:tr>
        <w:trPr>
          <w:trHeight w:val="135"/>
        </w:trPr>
        <w:tc>
          <w:tcPr>
            <w:tcW w:w="3460" w:type="dxa"/>
            <w:vAlign w:val="bottom"/>
          </w:tcPr>
          <w:p>
            <w:pPr>
              <w:spacing w:after="0" w:line="135" w:lineRule="exact"/>
              <w:rPr>
                <w:sz w:val="20"/>
                <w:szCs w:val="20"/>
                <w:color w:val="auto"/>
              </w:rPr>
            </w:pPr>
            <w:r>
              <w:rPr>
                <w:rFonts w:ascii="Arial" w:cs="Arial" w:eastAsia="Arial" w:hAnsi="Arial"/>
                <w:sz w:val="13"/>
                <w:szCs w:val="13"/>
                <w:color w:val="auto"/>
              </w:rPr>
              <w:t>U.S. Well Services, LLC</w:t>
            </w:r>
          </w:p>
        </w:tc>
        <w:tc>
          <w:tcPr>
            <w:tcW w:w="1320" w:type="dxa"/>
            <w:vAlign w:val="bottom"/>
          </w:tcPr>
          <w:p>
            <w:pPr>
              <w:ind w:left="680"/>
              <w:spacing w:after="0" w:line="135" w:lineRule="exact"/>
              <w:rPr>
                <w:sz w:val="20"/>
                <w:szCs w:val="20"/>
                <w:color w:val="auto"/>
              </w:rPr>
            </w:pPr>
            <w:r>
              <w:rPr>
                <w:rFonts w:ascii="Arial" w:cs="Arial" w:eastAsia="Arial" w:hAnsi="Arial"/>
                <w:sz w:val="13"/>
                <w:szCs w:val="13"/>
                <w:color w:val="auto"/>
                <w:w w:val="95"/>
              </w:rPr>
              <w:t>05/02/2019</w:t>
            </w:r>
          </w:p>
        </w:tc>
        <w:tc>
          <w:tcPr>
            <w:tcW w:w="1860" w:type="dxa"/>
            <w:vAlign w:val="bottom"/>
          </w:tcPr>
          <w:p>
            <w:pPr>
              <w:jc w:val="center"/>
              <w:spacing w:after="0" w:line="135" w:lineRule="exact"/>
              <w:rPr>
                <w:sz w:val="20"/>
                <w:szCs w:val="20"/>
                <w:color w:val="auto"/>
              </w:rPr>
            </w:pPr>
            <w:r>
              <w:rPr>
                <w:rFonts w:ascii="Arial" w:cs="Arial" w:eastAsia="Arial" w:hAnsi="Arial"/>
                <w:sz w:val="13"/>
                <w:szCs w:val="13"/>
                <w:color w:val="auto"/>
                <w:w w:val="87"/>
              </w:rPr>
              <w:t>Oil and Gas</w:t>
            </w:r>
          </w:p>
        </w:tc>
        <w:tc>
          <w:tcPr>
            <w:tcW w:w="7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12.00%</w:t>
            </w:r>
          </w:p>
        </w:tc>
        <w:tc>
          <w:tcPr>
            <w:tcW w:w="86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L+1,150</w:t>
            </w:r>
          </w:p>
        </w:tc>
        <w:tc>
          <w:tcPr>
            <w:tcW w:w="760" w:type="dxa"/>
            <w:vAlign w:val="bottom"/>
          </w:tcPr>
          <w:p>
            <w:pPr>
              <w:jc w:val="right"/>
              <w:ind w:right="57"/>
              <w:spacing w:after="0" w:line="135" w:lineRule="exact"/>
              <w:rPr>
                <w:sz w:val="20"/>
                <w:szCs w:val="20"/>
                <w:color w:val="auto"/>
              </w:rPr>
            </w:pPr>
            <w:r>
              <w:rPr>
                <w:rFonts w:ascii="Arial" w:cs="Arial" w:eastAsia="Arial" w:hAnsi="Arial"/>
                <w:sz w:val="13"/>
                <w:szCs w:val="13"/>
                <w:color w:val="auto"/>
                <w:w w:val="95"/>
              </w:rPr>
              <w:t>16,235,293</w:t>
            </w:r>
          </w:p>
        </w:tc>
        <w:tc>
          <w:tcPr>
            <w:tcW w:w="140" w:type="dxa"/>
            <w:vAlign w:val="bottom"/>
          </w:tcPr>
          <w:p>
            <w:pPr>
              <w:spacing w:after="0"/>
              <w:rPr>
                <w:sz w:val="11"/>
                <w:szCs w:val="11"/>
                <w:color w:val="auto"/>
              </w:rPr>
            </w:pPr>
          </w:p>
        </w:tc>
        <w:tc>
          <w:tcPr>
            <w:tcW w:w="7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15,901,463</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16,206,786</w:t>
            </w:r>
          </w:p>
        </w:tc>
        <w:tc>
          <w:tcPr>
            <w:tcW w:w="0" w:type="dxa"/>
            <w:vAlign w:val="bottom"/>
          </w:tcPr>
          <w:p>
            <w:pPr>
              <w:spacing w:after="0"/>
              <w:rPr>
                <w:sz w:val="1"/>
                <w:szCs w:val="1"/>
                <w:color w:val="auto"/>
              </w:rPr>
            </w:pPr>
          </w:p>
        </w:tc>
      </w:tr>
      <w:tr>
        <w:trPr>
          <w:trHeight w:val="135"/>
        </w:trPr>
        <w:tc>
          <w:tcPr>
            <w:tcW w:w="3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Worley Claims Services, LLC</w:t>
            </w:r>
          </w:p>
        </w:tc>
        <w:tc>
          <w:tcPr>
            <w:tcW w:w="1320" w:type="dxa"/>
            <w:vAlign w:val="bottom"/>
            <w:shd w:val="clear" w:color="auto" w:fill="CCEEFF"/>
          </w:tcPr>
          <w:p>
            <w:pPr>
              <w:ind w:left="680"/>
              <w:spacing w:after="0" w:line="135" w:lineRule="exact"/>
              <w:rPr>
                <w:sz w:val="20"/>
                <w:szCs w:val="20"/>
                <w:color w:val="auto"/>
              </w:rPr>
            </w:pPr>
            <w:r>
              <w:rPr>
                <w:rFonts w:ascii="Arial" w:cs="Arial" w:eastAsia="Arial" w:hAnsi="Arial"/>
                <w:sz w:val="13"/>
                <w:szCs w:val="13"/>
                <w:color w:val="auto"/>
                <w:w w:val="95"/>
              </w:rPr>
              <w:t>07/06/2017</w:t>
            </w:r>
          </w:p>
        </w:tc>
        <w:tc>
          <w:tcPr>
            <w:tcW w:w="18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4"/>
              </w:rPr>
              <w:t>Insurance</w:t>
            </w:r>
          </w:p>
        </w:tc>
        <w:tc>
          <w:tcPr>
            <w:tcW w:w="7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12.50%</w:t>
            </w:r>
          </w:p>
        </w:tc>
        <w:tc>
          <w:tcPr>
            <w:tcW w:w="86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L+1,100</w:t>
            </w:r>
          </w:p>
        </w:tc>
        <w:tc>
          <w:tcPr>
            <w:tcW w:w="7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w w:val="95"/>
              </w:rPr>
              <w:t>11,201,270</w:t>
            </w:r>
          </w:p>
        </w:tc>
        <w:tc>
          <w:tcPr>
            <w:tcW w:w="1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11,201,270</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11,425,295</w:t>
            </w:r>
          </w:p>
        </w:tc>
        <w:tc>
          <w:tcPr>
            <w:tcW w:w="0" w:type="dxa"/>
            <w:vAlign w:val="bottom"/>
          </w:tcPr>
          <w:p>
            <w:pPr>
              <w:spacing w:after="0"/>
              <w:rPr>
                <w:sz w:val="1"/>
                <w:szCs w:val="1"/>
                <w:color w:val="auto"/>
              </w:rPr>
            </w:pPr>
          </w:p>
        </w:tc>
      </w:tr>
      <w:tr>
        <w:trPr>
          <w:trHeight w:val="149"/>
        </w:trPr>
        <w:tc>
          <w:tcPr>
            <w:tcW w:w="3460" w:type="dxa"/>
            <w:vAlign w:val="bottom"/>
          </w:tcPr>
          <w:p>
            <w:pPr>
              <w:spacing w:after="0" w:line="142" w:lineRule="exact"/>
              <w:rPr>
                <w:sz w:val="20"/>
                <w:szCs w:val="20"/>
                <w:color w:val="auto"/>
              </w:rPr>
            </w:pPr>
            <w:r>
              <w:rPr>
                <w:rFonts w:ascii="Arial" w:cs="Arial" w:eastAsia="Arial" w:hAnsi="Arial"/>
                <w:sz w:val="13"/>
                <w:szCs w:val="13"/>
                <w:b w:val="1"/>
                <w:bCs w:val="1"/>
                <w:color w:val="auto"/>
              </w:rPr>
              <w:t>Total First Lien Secured Debt</w:t>
            </w:r>
          </w:p>
        </w:tc>
        <w:tc>
          <w:tcPr>
            <w:tcW w:w="13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1"/>
              </w:rPr>
              <w:t>422,088,134</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434,304,400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46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Second Lien Secured Debt—58.5%</w:t>
            </w:r>
          </w:p>
        </w:tc>
        <w:tc>
          <w:tcPr>
            <w:tcW w:w="1320" w:type="dxa"/>
            <w:vAlign w:val="bottom"/>
            <w:shd w:val="clear" w:color="auto" w:fill="CCEEFF"/>
          </w:tcPr>
          <w:p>
            <w:pPr>
              <w:spacing w:after="0"/>
              <w:rPr>
                <w:sz w:val="11"/>
                <w:szCs w:val="11"/>
                <w:color w:val="auto"/>
              </w:rPr>
            </w:pPr>
          </w:p>
        </w:tc>
        <w:tc>
          <w:tcPr>
            <w:tcW w:w="18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460" w:type="dxa"/>
            <w:vAlign w:val="bottom"/>
          </w:tcPr>
          <w:p>
            <w:pPr>
              <w:spacing w:after="0" w:line="121" w:lineRule="exact"/>
              <w:rPr>
                <w:sz w:val="20"/>
                <w:szCs w:val="20"/>
                <w:color w:val="auto"/>
              </w:rPr>
            </w:pPr>
            <w:r>
              <w:rPr>
                <w:rFonts w:ascii="Arial" w:cs="Arial" w:eastAsia="Arial" w:hAnsi="Arial"/>
                <w:sz w:val="13"/>
                <w:szCs w:val="13"/>
                <w:color w:val="auto"/>
              </w:rPr>
              <w:t xml:space="preserve">American Gilsonite Company </w:t>
            </w:r>
            <w:r>
              <w:rPr>
                <w:rFonts w:ascii="Arial" w:cs="Arial" w:eastAsia="Arial" w:hAnsi="Arial"/>
                <w:sz w:val="10"/>
                <w:szCs w:val="10"/>
                <w:color w:val="auto"/>
              </w:rPr>
              <w:t>(5)</w:t>
            </w:r>
          </w:p>
        </w:tc>
        <w:tc>
          <w:tcPr>
            <w:tcW w:w="1320" w:type="dxa"/>
            <w:vAlign w:val="bottom"/>
          </w:tcPr>
          <w:p>
            <w:pPr>
              <w:ind w:left="680"/>
              <w:spacing w:after="0" w:line="121" w:lineRule="exact"/>
              <w:rPr>
                <w:sz w:val="20"/>
                <w:szCs w:val="20"/>
                <w:color w:val="auto"/>
              </w:rPr>
            </w:pPr>
            <w:r>
              <w:rPr>
                <w:rFonts w:ascii="Arial" w:cs="Arial" w:eastAsia="Arial" w:hAnsi="Arial"/>
                <w:sz w:val="13"/>
                <w:szCs w:val="13"/>
                <w:color w:val="auto"/>
                <w:w w:val="95"/>
              </w:rPr>
              <w:t>09/01/2017</w:t>
            </w:r>
          </w:p>
        </w:tc>
        <w:tc>
          <w:tcPr>
            <w:tcW w:w="1860" w:type="dxa"/>
            <w:vAlign w:val="bottom"/>
          </w:tcPr>
          <w:p>
            <w:pPr>
              <w:jc w:val="center"/>
              <w:spacing w:after="0" w:line="121" w:lineRule="exact"/>
              <w:rPr>
                <w:sz w:val="20"/>
                <w:szCs w:val="20"/>
                <w:color w:val="auto"/>
              </w:rPr>
            </w:pPr>
            <w:r>
              <w:rPr>
                <w:rFonts w:ascii="Arial" w:cs="Arial" w:eastAsia="Arial" w:hAnsi="Arial"/>
                <w:sz w:val="13"/>
                <w:szCs w:val="13"/>
                <w:color w:val="auto"/>
                <w:w w:val="88"/>
              </w:rPr>
              <w:t>Diversified Natural Resources,</w:t>
            </w:r>
          </w:p>
        </w:tc>
        <w:tc>
          <w:tcPr>
            <w:tcW w:w="760" w:type="dxa"/>
            <w:vAlign w:val="bottom"/>
          </w:tcPr>
          <w:p>
            <w:pPr>
              <w:jc w:val="right"/>
              <w:ind w:right="37"/>
              <w:spacing w:after="0" w:line="121" w:lineRule="exact"/>
              <w:rPr>
                <w:sz w:val="20"/>
                <w:szCs w:val="20"/>
                <w:color w:val="auto"/>
              </w:rPr>
            </w:pPr>
            <w:r>
              <w:rPr>
                <w:rFonts w:ascii="Arial" w:cs="Arial" w:eastAsia="Arial" w:hAnsi="Arial"/>
                <w:sz w:val="13"/>
                <w:szCs w:val="13"/>
                <w:color w:val="auto"/>
              </w:rPr>
              <w:t>11.50%</w:t>
            </w:r>
          </w:p>
        </w:tc>
        <w:tc>
          <w:tcPr>
            <w:tcW w:w="860" w:type="dxa"/>
            <w:vAlign w:val="bottom"/>
          </w:tcPr>
          <w:p>
            <w:pPr>
              <w:jc w:val="right"/>
              <w:ind w:right="137"/>
              <w:spacing w:after="0" w:line="121" w:lineRule="exact"/>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line="121" w:lineRule="exact"/>
              <w:rPr>
                <w:sz w:val="20"/>
                <w:szCs w:val="20"/>
                <w:color w:val="auto"/>
              </w:rPr>
            </w:pPr>
            <w:r>
              <w:rPr>
                <w:rFonts w:ascii="Arial" w:cs="Arial" w:eastAsia="Arial" w:hAnsi="Arial"/>
                <w:sz w:val="13"/>
                <w:szCs w:val="13"/>
                <w:color w:val="auto"/>
                <w:w w:val="95"/>
              </w:rPr>
              <w:t>25,400,000</w:t>
            </w:r>
          </w:p>
        </w:tc>
        <w:tc>
          <w:tcPr>
            <w:tcW w:w="140" w:type="dxa"/>
            <w:vAlign w:val="bottom"/>
          </w:tcPr>
          <w:p>
            <w:pPr>
              <w:spacing w:after="0"/>
              <w:rPr>
                <w:sz w:val="10"/>
                <w:szCs w:val="10"/>
                <w:color w:val="auto"/>
              </w:rPr>
            </w:pPr>
          </w:p>
        </w:tc>
        <w:tc>
          <w:tcPr>
            <w:tcW w:w="700" w:type="dxa"/>
            <w:vAlign w:val="bottom"/>
            <w:gridSpan w:val="2"/>
          </w:tcPr>
          <w:p>
            <w:pPr>
              <w:jc w:val="right"/>
              <w:ind w:right="20"/>
              <w:spacing w:after="0" w:line="121" w:lineRule="exact"/>
              <w:rPr>
                <w:sz w:val="20"/>
                <w:szCs w:val="20"/>
                <w:color w:val="auto"/>
              </w:rPr>
            </w:pPr>
            <w:r>
              <w:rPr>
                <w:rFonts w:ascii="Arial" w:cs="Arial" w:eastAsia="Arial" w:hAnsi="Arial"/>
                <w:sz w:val="13"/>
                <w:szCs w:val="13"/>
                <w:color w:val="auto"/>
              </w:rPr>
              <w:t>25,400,000</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27,432,000</w:t>
            </w: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860" w:type="dxa"/>
            <w:vAlign w:val="bottom"/>
          </w:tcPr>
          <w:p>
            <w:pPr>
              <w:jc w:val="center"/>
              <w:spacing w:after="0"/>
              <w:rPr>
                <w:sz w:val="20"/>
                <w:szCs w:val="20"/>
                <w:color w:val="auto"/>
              </w:rPr>
            </w:pPr>
            <w:r>
              <w:rPr>
                <w:rFonts w:ascii="Arial" w:cs="Arial" w:eastAsia="Arial" w:hAnsi="Arial"/>
                <w:sz w:val="13"/>
                <w:szCs w:val="13"/>
                <w:color w:val="auto"/>
                <w:w w:val="87"/>
              </w:rPr>
              <w:t>Precious Metals and Minerals</w:t>
            </w: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Ascensus, Inc.</w:t>
            </w:r>
          </w:p>
        </w:tc>
        <w:tc>
          <w:tcPr>
            <w:tcW w:w="1320" w:type="dxa"/>
            <w:vAlign w:val="bottom"/>
            <w:shd w:val="clear" w:color="auto" w:fill="CCEEFF"/>
          </w:tcPr>
          <w:p>
            <w:pPr>
              <w:ind w:left="680"/>
              <w:spacing w:after="0" w:line="135" w:lineRule="exact"/>
              <w:rPr>
                <w:sz w:val="20"/>
                <w:szCs w:val="20"/>
                <w:color w:val="auto"/>
              </w:rPr>
            </w:pPr>
            <w:r>
              <w:rPr>
                <w:rFonts w:ascii="Arial" w:cs="Arial" w:eastAsia="Arial" w:hAnsi="Arial"/>
                <w:sz w:val="13"/>
                <w:szCs w:val="13"/>
                <w:color w:val="auto"/>
                <w:w w:val="95"/>
              </w:rPr>
              <w:t>12/02/2020</w:t>
            </w:r>
          </w:p>
        </w:tc>
        <w:tc>
          <w:tcPr>
            <w:tcW w:w="18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Financial Services</w:t>
            </w:r>
          </w:p>
        </w:tc>
        <w:tc>
          <w:tcPr>
            <w:tcW w:w="7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9.00%</w:t>
            </w:r>
          </w:p>
        </w:tc>
        <w:tc>
          <w:tcPr>
            <w:tcW w:w="86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L+800</w:t>
            </w:r>
          </w:p>
        </w:tc>
        <w:tc>
          <w:tcPr>
            <w:tcW w:w="7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w w:val="95"/>
              </w:rPr>
              <w:t>15,500,000</w:t>
            </w:r>
          </w:p>
        </w:tc>
        <w:tc>
          <w:tcPr>
            <w:tcW w:w="1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15,297,220</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15,655,000</w:t>
            </w:r>
          </w:p>
        </w:tc>
        <w:tc>
          <w:tcPr>
            <w:tcW w:w="0" w:type="dxa"/>
            <w:vAlign w:val="bottom"/>
          </w:tcPr>
          <w:p>
            <w:pPr>
              <w:spacing w:after="0"/>
              <w:rPr>
                <w:sz w:val="1"/>
                <w:szCs w:val="1"/>
                <w:color w:val="auto"/>
              </w:rPr>
            </w:pPr>
          </w:p>
        </w:tc>
      </w:tr>
      <w:tr>
        <w:trPr>
          <w:trHeight w:val="135"/>
        </w:trPr>
        <w:tc>
          <w:tcPr>
            <w:tcW w:w="3460" w:type="dxa"/>
            <w:vAlign w:val="bottom"/>
          </w:tcPr>
          <w:p>
            <w:pPr>
              <w:spacing w:after="0" w:line="135" w:lineRule="exact"/>
              <w:rPr>
                <w:sz w:val="20"/>
                <w:szCs w:val="20"/>
                <w:color w:val="auto"/>
              </w:rPr>
            </w:pPr>
            <w:r>
              <w:rPr>
                <w:rFonts w:ascii="Arial" w:cs="Arial" w:eastAsia="Arial" w:hAnsi="Arial"/>
                <w:sz w:val="13"/>
                <w:szCs w:val="13"/>
                <w:color w:val="auto"/>
              </w:rPr>
              <w:t>Bennu Oil &amp; Gas, LLC</w:t>
            </w:r>
          </w:p>
        </w:tc>
        <w:tc>
          <w:tcPr>
            <w:tcW w:w="1320" w:type="dxa"/>
            <w:vAlign w:val="bottom"/>
          </w:tcPr>
          <w:p>
            <w:pPr>
              <w:ind w:left="680"/>
              <w:spacing w:after="0" w:line="135" w:lineRule="exact"/>
              <w:rPr>
                <w:sz w:val="20"/>
                <w:szCs w:val="20"/>
                <w:color w:val="auto"/>
              </w:rPr>
            </w:pPr>
            <w:r>
              <w:rPr>
                <w:rFonts w:ascii="Arial" w:cs="Arial" w:eastAsia="Arial" w:hAnsi="Arial"/>
                <w:sz w:val="13"/>
                <w:szCs w:val="13"/>
                <w:color w:val="auto"/>
                <w:w w:val="95"/>
              </w:rPr>
              <w:t>11/01/2018</w:t>
            </w:r>
          </w:p>
        </w:tc>
        <w:tc>
          <w:tcPr>
            <w:tcW w:w="1860" w:type="dxa"/>
            <w:vAlign w:val="bottom"/>
          </w:tcPr>
          <w:p>
            <w:pPr>
              <w:jc w:val="center"/>
              <w:spacing w:after="0" w:line="135" w:lineRule="exact"/>
              <w:rPr>
                <w:sz w:val="20"/>
                <w:szCs w:val="20"/>
                <w:color w:val="auto"/>
              </w:rPr>
            </w:pPr>
            <w:r>
              <w:rPr>
                <w:rFonts w:ascii="Arial" w:cs="Arial" w:eastAsia="Arial" w:hAnsi="Arial"/>
                <w:sz w:val="13"/>
                <w:szCs w:val="13"/>
                <w:color w:val="auto"/>
                <w:w w:val="87"/>
              </w:rPr>
              <w:t>Oil and Gas</w:t>
            </w:r>
          </w:p>
        </w:tc>
        <w:tc>
          <w:tcPr>
            <w:tcW w:w="7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8.75%</w:t>
            </w:r>
          </w:p>
        </w:tc>
        <w:tc>
          <w:tcPr>
            <w:tcW w:w="86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L+750</w:t>
            </w:r>
          </w:p>
        </w:tc>
        <w:tc>
          <w:tcPr>
            <w:tcW w:w="760" w:type="dxa"/>
            <w:vAlign w:val="bottom"/>
          </w:tcPr>
          <w:p>
            <w:pPr>
              <w:jc w:val="right"/>
              <w:ind w:right="57"/>
              <w:spacing w:after="0" w:line="135" w:lineRule="exact"/>
              <w:rPr>
                <w:sz w:val="20"/>
                <w:szCs w:val="20"/>
                <w:color w:val="auto"/>
              </w:rPr>
            </w:pPr>
            <w:r>
              <w:rPr>
                <w:rFonts w:ascii="Arial" w:cs="Arial" w:eastAsia="Arial" w:hAnsi="Arial"/>
                <w:sz w:val="13"/>
                <w:szCs w:val="13"/>
                <w:color w:val="auto"/>
                <w:w w:val="95"/>
              </w:rPr>
              <w:t>19,750,360</w:t>
            </w:r>
          </w:p>
        </w:tc>
        <w:tc>
          <w:tcPr>
            <w:tcW w:w="140" w:type="dxa"/>
            <w:vAlign w:val="bottom"/>
          </w:tcPr>
          <w:p>
            <w:pPr>
              <w:spacing w:after="0"/>
              <w:rPr>
                <w:sz w:val="11"/>
                <w:szCs w:val="11"/>
                <w:color w:val="auto"/>
              </w:rPr>
            </w:pPr>
          </w:p>
        </w:tc>
        <w:tc>
          <w:tcPr>
            <w:tcW w:w="7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19,659,292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19,635,216</w:t>
            </w:r>
          </w:p>
        </w:tc>
        <w:tc>
          <w:tcPr>
            <w:tcW w:w="0" w:type="dxa"/>
            <w:vAlign w:val="bottom"/>
          </w:tcPr>
          <w:p>
            <w:pPr>
              <w:spacing w:after="0"/>
              <w:rPr>
                <w:sz w:val="1"/>
                <w:szCs w:val="1"/>
                <w:color w:val="auto"/>
              </w:rPr>
            </w:pPr>
          </w:p>
        </w:tc>
      </w:tr>
      <w:tr>
        <w:trPr>
          <w:trHeight w:val="135"/>
        </w:trPr>
        <w:tc>
          <w:tcPr>
            <w:tcW w:w="3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Carolina Beverage Group, LLC</w:t>
            </w:r>
          </w:p>
        </w:tc>
        <w:tc>
          <w:tcPr>
            <w:tcW w:w="1320" w:type="dxa"/>
            <w:vAlign w:val="bottom"/>
            <w:shd w:val="clear" w:color="auto" w:fill="CCEEFF"/>
          </w:tcPr>
          <w:p>
            <w:pPr>
              <w:ind w:left="680"/>
              <w:spacing w:after="0" w:line="135" w:lineRule="exact"/>
              <w:rPr>
                <w:sz w:val="20"/>
                <w:szCs w:val="20"/>
                <w:color w:val="auto"/>
              </w:rPr>
            </w:pPr>
            <w:r>
              <w:rPr>
                <w:rFonts w:ascii="Arial" w:cs="Arial" w:eastAsia="Arial" w:hAnsi="Arial"/>
                <w:sz w:val="13"/>
                <w:szCs w:val="13"/>
                <w:color w:val="auto"/>
                <w:w w:val="95"/>
              </w:rPr>
              <w:t>08/01/2018</w:t>
            </w:r>
          </w:p>
        </w:tc>
        <w:tc>
          <w:tcPr>
            <w:tcW w:w="18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Beverage, Food and Tobacco</w:t>
            </w:r>
          </w:p>
        </w:tc>
        <w:tc>
          <w:tcPr>
            <w:tcW w:w="7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10.63%</w:t>
            </w:r>
          </w:p>
        </w:tc>
        <w:tc>
          <w:tcPr>
            <w:tcW w:w="86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w w:val="95"/>
              </w:rPr>
              <w:t>13,125,000</w:t>
            </w:r>
          </w:p>
        </w:tc>
        <w:tc>
          <w:tcPr>
            <w:tcW w:w="1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13,125,000</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13,551,562</w:t>
            </w:r>
          </w:p>
        </w:tc>
        <w:tc>
          <w:tcPr>
            <w:tcW w:w="0" w:type="dxa"/>
            <w:vAlign w:val="bottom"/>
          </w:tcPr>
          <w:p>
            <w:pPr>
              <w:spacing w:after="0"/>
              <w:rPr>
                <w:sz w:val="1"/>
                <w:szCs w:val="1"/>
                <w:color w:val="auto"/>
              </w:rPr>
            </w:pPr>
          </w:p>
        </w:tc>
      </w:tr>
      <w:tr>
        <w:trPr>
          <w:trHeight w:val="135"/>
        </w:trPr>
        <w:tc>
          <w:tcPr>
            <w:tcW w:w="3460" w:type="dxa"/>
            <w:vAlign w:val="bottom"/>
          </w:tcPr>
          <w:p>
            <w:pPr>
              <w:spacing w:after="0" w:line="135" w:lineRule="exact"/>
              <w:rPr>
                <w:sz w:val="20"/>
                <w:szCs w:val="20"/>
                <w:color w:val="auto"/>
              </w:rPr>
            </w:pPr>
            <w:r>
              <w:rPr>
                <w:rFonts w:ascii="Arial" w:cs="Arial" w:eastAsia="Arial" w:hAnsi="Arial"/>
                <w:sz w:val="13"/>
                <w:szCs w:val="13"/>
                <w:color w:val="auto"/>
              </w:rPr>
              <w:t>CT Technologies Intermediate Holdings, Inc.</w:t>
            </w:r>
          </w:p>
        </w:tc>
        <w:tc>
          <w:tcPr>
            <w:tcW w:w="1320" w:type="dxa"/>
            <w:vAlign w:val="bottom"/>
          </w:tcPr>
          <w:p>
            <w:pPr>
              <w:ind w:left="680"/>
              <w:spacing w:after="0" w:line="135" w:lineRule="exact"/>
              <w:rPr>
                <w:sz w:val="20"/>
                <w:szCs w:val="20"/>
                <w:color w:val="auto"/>
              </w:rPr>
            </w:pPr>
            <w:r>
              <w:rPr>
                <w:rFonts w:ascii="Arial" w:cs="Arial" w:eastAsia="Arial" w:hAnsi="Arial"/>
                <w:sz w:val="13"/>
                <w:szCs w:val="13"/>
                <w:color w:val="auto"/>
                <w:w w:val="95"/>
              </w:rPr>
              <w:t>10/05/2020</w:t>
            </w:r>
          </w:p>
        </w:tc>
        <w:tc>
          <w:tcPr>
            <w:tcW w:w="1860" w:type="dxa"/>
            <w:vAlign w:val="bottom"/>
          </w:tcPr>
          <w:p>
            <w:pPr>
              <w:jc w:val="center"/>
              <w:spacing w:after="0" w:line="135" w:lineRule="exact"/>
              <w:rPr>
                <w:sz w:val="20"/>
                <w:szCs w:val="20"/>
                <w:color w:val="auto"/>
              </w:rPr>
            </w:pPr>
            <w:r>
              <w:rPr>
                <w:rFonts w:ascii="Arial" w:cs="Arial" w:eastAsia="Arial" w:hAnsi="Arial"/>
                <w:sz w:val="13"/>
                <w:szCs w:val="13"/>
                <w:color w:val="auto"/>
                <w:w w:val="86"/>
              </w:rPr>
              <w:t>Business Services</w:t>
            </w:r>
          </w:p>
        </w:tc>
        <w:tc>
          <w:tcPr>
            <w:tcW w:w="7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9.25%</w:t>
            </w:r>
          </w:p>
        </w:tc>
        <w:tc>
          <w:tcPr>
            <w:tcW w:w="86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L+800</w:t>
            </w:r>
          </w:p>
        </w:tc>
        <w:tc>
          <w:tcPr>
            <w:tcW w:w="760" w:type="dxa"/>
            <w:vAlign w:val="bottom"/>
          </w:tcPr>
          <w:p>
            <w:pPr>
              <w:jc w:val="right"/>
              <w:ind w:right="57"/>
              <w:spacing w:after="0" w:line="135" w:lineRule="exact"/>
              <w:rPr>
                <w:sz w:val="20"/>
                <w:szCs w:val="20"/>
                <w:color w:val="auto"/>
              </w:rPr>
            </w:pPr>
            <w:r>
              <w:rPr>
                <w:rFonts w:ascii="Arial" w:cs="Arial" w:eastAsia="Arial" w:hAnsi="Arial"/>
                <w:sz w:val="13"/>
                <w:szCs w:val="13"/>
                <w:color w:val="auto"/>
                <w:w w:val="95"/>
              </w:rPr>
              <w:t>14,000,000</w:t>
            </w:r>
          </w:p>
        </w:tc>
        <w:tc>
          <w:tcPr>
            <w:tcW w:w="140" w:type="dxa"/>
            <w:vAlign w:val="bottom"/>
          </w:tcPr>
          <w:p>
            <w:pPr>
              <w:spacing w:after="0"/>
              <w:rPr>
                <w:sz w:val="11"/>
                <w:szCs w:val="11"/>
                <w:color w:val="auto"/>
              </w:rPr>
            </w:pPr>
          </w:p>
        </w:tc>
        <w:tc>
          <w:tcPr>
            <w:tcW w:w="7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13,817,560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13,930,000</w:t>
            </w:r>
          </w:p>
        </w:tc>
        <w:tc>
          <w:tcPr>
            <w:tcW w:w="0" w:type="dxa"/>
            <w:vAlign w:val="bottom"/>
          </w:tcPr>
          <w:p>
            <w:pPr>
              <w:spacing w:after="0"/>
              <w:rPr>
                <w:sz w:val="1"/>
                <w:szCs w:val="1"/>
                <w:color w:val="auto"/>
              </w:rPr>
            </w:pPr>
          </w:p>
        </w:tc>
      </w:tr>
      <w:tr>
        <w:trPr>
          <w:trHeight w:val="121"/>
        </w:trPr>
        <w:tc>
          <w:tcPr>
            <w:tcW w:w="34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Envision Acquisition Company, LLC</w:t>
            </w:r>
          </w:p>
        </w:tc>
        <w:tc>
          <w:tcPr>
            <w:tcW w:w="1320" w:type="dxa"/>
            <w:vAlign w:val="bottom"/>
            <w:shd w:val="clear" w:color="auto" w:fill="CCEEFF"/>
          </w:tcPr>
          <w:p>
            <w:pPr>
              <w:ind w:left="680"/>
              <w:spacing w:after="0" w:line="121" w:lineRule="exact"/>
              <w:rPr>
                <w:sz w:val="20"/>
                <w:szCs w:val="20"/>
                <w:color w:val="auto"/>
              </w:rPr>
            </w:pPr>
            <w:r>
              <w:rPr>
                <w:rFonts w:ascii="Arial" w:cs="Arial" w:eastAsia="Arial" w:hAnsi="Arial"/>
                <w:sz w:val="13"/>
                <w:szCs w:val="13"/>
                <w:color w:val="auto"/>
                <w:w w:val="95"/>
              </w:rPr>
              <w:t>11/04/2021</w:t>
            </w:r>
          </w:p>
        </w:tc>
        <w:tc>
          <w:tcPr>
            <w:tcW w:w="186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6"/>
              </w:rPr>
              <w:t>Healthcare, Education and</w:t>
            </w:r>
          </w:p>
        </w:tc>
        <w:tc>
          <w:tcPr>
            <w:tcW w:w="760" w:type="dxa"/>
            <w:vAlign w:val="bottom"/>
            <w:shd w:val="clear" w:color="auto" w:fill="CCEEFF"/>
          </w:tcPr>
          <w:p>
            <w:pPr>
              <w:jc w:val="right"/>
              <w:ind w:right="37"/>
              <w:spacing w:after="0" w:line="121" w:lineRule="exact"/>
              <w:rPr>
                <w:sz w:val="20"/>
                <w:szCs w:val="20"/>
                <w:color w:val="auto"/>
              </w:rPr>
            </w:pPr>
            <w:r>
              <w:rPr>
                <w:rFonts w:ascii="Arial" w:cs="Arial" w:eastAsia="Arial" w:hAnsi="Arial"/>
                <w:sz w:val="13"/>
                <w:szCs w:val="13"/>
                <w:color w:val="auto"/>
              </w:rPr>
              <w:t>9.75%</w:t>
            </w:r>
          </w:p>
        </w:tc>
        <w:tc>
          <w:tcPr>
            <w:tcW w:w="860" w:type="dxa"/>
            <w:vAlign w:val="bottom"/>
            <w:shd w:val="clear" w:color="auto" w:fill="CCEEFF"/>
          </w:tcPr>
          <w:p>
            <w:pPr>
              <w:jc w:val="right"/>
              <w:ind w:right="137"/>
              <w:spacing w:after="0" w:line="121" w:lineRule="exact"/>
              <w:rPr>
                <w:sz w:val="20"/>
                <w:szCs w:val="20"/>
                <w:color w:val="auto"/>
              </w:rPr>
            </w:pPr>
            <w:r>
              <w:rPr>
                <w:rFonts w:ascii="Arial" w:cs="Arial" w:eastAsia="Arial" w:hAnsi="Arial"/>
                <w:sz w:val="13"/>
                <w:szCs w:val="13"/>
                <w:color w:val="auto"/>
              </w:rPr>
              <w:t>L+875</w:t>
            </w:r>
          </w:p>
        </w:tc>
        <w:tc>
          <w:tcPr>
            <w:tcW w:w="760" w:type="dxa"/>
            <w:vAlign w:val="bottom"/>
            <w:shd w:val="clear" w:color="auto" w:fill="CCEEFF"/>
          </w:tcPr>
          <w:p>
            <w:pPr>
              <w:jc w:val="right"/>
              <w:ind w:right="57"/>
              <w:spacing w:after="0" w:line="121" w:lineRule="exact"/>
              <w:rPr>
                <w:sz w:val="20"/>
                <w:szCs w:val="20"/>
                <w:color w:val="auto"/>
              </w:rPr>
            </w:pPr>
            <w:r>
              <w:rPr>
                <w:rFonts w:ascii="Arial" w:cs="Arial" w:eastAsia="Arial" w:hAnsi="Arial"/>
                <w:sz w:val="13"/>
                <w:szCs w:val="13"/>
                <w:color w:val="auto"/>
                <w:w w:val="95"/>
              </w:rPr>
              <w:t>24,700,000</w:t>
            </w:r>
          </w:p>
        </w:tc>
        <w:tc>
          <w:tcPr>
            <w:tcW w:w="14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20"/>
              <w:spacing w:after="0" w:line="121" w:lineRule="exact"/>
              <w:rPr>
                <w:sz w:val="20"/>
                <w:szCs w:val="20"/>
                <w:color w:val="auto"/>
              </w:rPr>
            </w:pPr>
            <w:r>
              <w:rPr>
                <w:rFonts w:ascii="Arial" w:cs="Arial" w:eastAsia="Arial" w:hAnsi="Arial"/>
                <w:sz w:val="13"/>
                <w:szCs w:val="13"/>
                <w:color w:val="auto"/>
              </w:rPr>
              <w:t>24,324,871</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6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24,700,000</w:t>
            </w:r>
          </w:p>
        </w:tc>
        <w:tc>
          <w:tcPr>
            <w:tcW w:w="0" w:type="dxa"/>
            <w:vAlign w:val="bottom"/>
          </w:tcPr>
          <w:p>
            <w:pPr>
              <w:spacing w:after="0"/>
              <w:rPr>
                <w:sz w:val="1"/>
                <w:szCs w:val="1"/>
                <w:color w:val="auto"/>
              </w:rPr>
            </w:pPr>
          </w:p>
        </w:tc>
      </w:tr>
      <w:tr>
        <w:trPr>
          <w:trHeight w:val="149"/>
        </w:trPr>
        <w:tc>
          <w:tcPr>
            <w:tcW w:w="34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Childcare</w:t>
            </w:r>
          </w:p>
        </w:tc>
        <w:tc>
          <w:tcPr>
            <w:tcW w:w="7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460" w:type="dxa"/>
            <w:vAlign w:val="bottom"/>
          </w:tcPr>
          <w:p>
            <w:pPr>
              <w:spacing w:after="0" w:line="135" w:lineRule="exact"/>
              <w:rPr>
                <w:sz w:val="20"/>
                <w:szCs w:val="20"/>
                <w:color w:val="auto"/>
              </w:rPr>
            </w:pPr>
            <w:r>
              <w:rPr>
                <w:rFonts w:ascii="Arial" w:cs="Arial" w:eastAsia="Arial" w:hAnsi="Arial"/>
                <w:sz w:val="13"/>
                <w:szCs w:val="13"/>
                <w:color w:val="auto"/>
              </w:rPr>
              <w:t>Foundation Building Materials, LLC</w:t>
            </w:r>
          </w:p>
        </w:tc>
        <w:tc>
          <w:tcPr>
            <w:tcW w:w="1320" w:type="dxa"/>
            <w:vAlign w:val="bottom"/>
          </w:tcPr>
          <w:p>
            <w:pPr>
              <w:ind w:left="680"/>
              <w:spacing w:after="0" w:line="135" w:lineRule="exact"/>
              <w:rPr>
                <w:sz w:val="20"/>
                <w:szCs w:val="20"/>
                <w:color w:val="auto"/>
              </w:rPr>
            </w:pPr>
            <w:r>
              <w:rPr>
                <w:rFonts w:ascii="Arial" w:cs="Arial" w:eastAsia="Arial" w:hAnsi="Arial"/>
                <w:sz w:val="13"/>
                <w:szCs w:val="13"/>
                <w:color w:val="auto"/>
                <w:w w:val="95"/>
              </w:rPr>
              <w:t>04/30/2019</w:t>
            </w:r>
          </w:p>
        </w:tc>
        <w:tc>
          <w:tcPr>
            <w:tcW w:w="1860" w:type="dxa"/>
            <w:vAlign w:val="bottom"/>
          </w:tcPr>
          <w:p>
            <w:pPr>
              <w:jc w:val="center"/>
              <w:spacing w:after="0" w:line="135" w:lineRule="exact"/>
              <w:rPr>
                <w:sz w:val="20"/>
                <w:szCs w:val="20"/>
                <w:color w:val="auto"/>
              </w:rPr>
            </w:pPr>
            <w:r>
              <w:rPr>
                <w:rFonts w:ascii="Arial" w:cs="Arial" w:eastAsia="Arial" w:hAnsi="Arial"/>
                <w:sz w:val="13"/>
                <w:szCs w:val="13"/>
                <w:color w:val="auto"/>
                <w:w w:val="93"/>
              </w:rPr>
              <w:t>Building Materials</w:t>
            </w:r>
          </w:p>
        </w:tc>
        <w:tc>
          <w:tcPr>
            <w:tcW w:w="7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12.00%</w:t>
            </w:r>
          </w:p>
        </w:tc>
        <w:tc>
          <w:tcPr>
            <w:tcW w:w="86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L+1,100</w:t>
            </w:r>
          </w:p>
        </w:tc>
        <w:tc>
          <w:tcPr>
            <w:tcW w:w="760" w:type="dxa"/>
            <w:vAlign w:val="bottom"/>
          </w:tcPr>
          <w:p>
            <w:pPr>
              <w:jc w:val="right"/>
              <w:ind w:right="57"/>
              <w:spacing w:after="0" w:line="135" w:lineRule="exact"/>
              <w:rPr>
                <w:sz w:val="20"/>
                <w:szCs w:val="20"/>
                <w:color w:val="auto"/>
              </w:rPr>
            </w:pPr>
            <w:r>
              <w:rPr>
                <w:rFonts w:ascii="Arial" w:cs="Arial" w:eastAsia="Arial" w:hAnsi="Arial"/>
                <w:sz w:val="13"/>
                <w:szCs w:val="13"/>
                <w:color w:val="auto"/>
                <w:w w:val="95"/>
              </w:rPr>
              <w:t>45,000,000</w:t>
            </w:r>
          </w:p>
        </w:tc>
        <w:tc>
          <w:tcPr>
            <w:tcW w:w="140" w:type="dxa"/>
            <w:vAlign w:val="bottom"/>
          </w:tcPr>
          <w:p>
            <w:pPr>
              <w:spacing w:after="0"/>
              <w:rPr>
                <w:sz w:val="11"/>
                <w:szCs w:val="11"/>
                <w:color w:val="auto"/>
              </w:rPr>
            </w:pPr>
          </w:p>
        </w:tc>
        <w:tc>
          <w:tcPr>
            <w:tcW w:w="7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44,557,044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44,981,600</w:t>
            </w:r>
          </w:p>
        </w:tc>
        <w:tc>
          <w:tcPr>
            <w:tcW w:w="0" w:type="dxa"/>
            <w:vAlign w:val="bottom"/>
          </w:tcPr>
          <w:p>
            <w:pPr>
              <w:spacing w:after="0"/>
              <w:rPr>
                <w:sz w:val="1"/>
                <w:szCs w:val="1"/>
                <w:color w:val="auto"/>
              </w:rPr>
            </w:pPr>
          </w:p>
        </w:tc>
      </w:tr>
      <w:tr>
        <w:trPr>
          <w:trHeight w:val="121"/>
        </w:trPr>
        <w:tc>
          <w:tcPr>
            <w:tcW w:w="34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Foundation Building Materials, LLC</w:t>
            </w:r>
          </w:p>
        </w:tc>
        <w:tc>
          <w:tcPr>
            <w:tcW w:w="1320" w:type="dxa"/>
            <w:vAlign w:val="bottom"/>
            <w:shd w:val="clear" w:color="auto" w:fill="CCEEFF"/>
          </w:tcPr>
          <w:p>
            <w:pPr>
              <w:ind w:left="680"/>
              <w:spacing w:after="0" w:line="121" w:lineRule="exact"/>
              <w:rPr>
                <w:sz w:val="20"/>
                <w:szCs w:val="20"/>
                <w:color w:val="auto"/>
              </w:rPr>
            </w:pPr>
            <w:r>
              <w:rPr>
                <w:rFonts w:ascii="Arial" w:cs="Arial" w:eastAsia="Arial" w:hAnsi="Arial"/>
                <w:sz w:val="13"/>
                <w:szCs w:val="13"/>
                <w:color w:val="auto"/>
                <w:w w:val="95"/>
              </w:rPr>
              <w:t>04/30/2019</w:t>
            </w:r>
          </w:p>
        </w:tc>
        <w:tc>
          <w:tcPr>
            <w:tcW w:w="186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93"/>
              </w:rPr>
              <w:t>Building Materials</w:t>
            </w:r>
          </w:p>
        </w:tc>
        <w:tc>
          <w:tcPr>
            <w:tcW w:w="760" w:type="dxa"/>
            <w:vAlign w:val="bottom"/>
            <w:shd w:val="clear" w:color="auto" w:fill="CCEEFF"/>
          </w:tcPr>
          <w:p>
            <w:pPr>
              <w:jc w:val="right"/>
              <w:ind w:right="137"/>
              <w:spacing w:after="0" w:line="121" w:lineRule="exact"/>
              <w:rPr>
                <w:sz w:val="20"/>
                <w:szCs w:val="20"/>
                <w:color w:val="auto"/>
              </w:rPr>
            </w:pPr>
            <w:r>
              <w:rPr>
                <w:rFonts w:ascii="Arial" w:cs="Arial" w:eastAsia="Arial" w:hAnsi="Arial"/>
                <w:sz w:val="13"/>
                <w:szCs w:val="13"/>
                <w:color w:val="auto"/>
              </w:rPr>
              <w:t>13.00</w:t>
            </w:r>
          </w:p>
        </w:tc>
        <w:tc>
          <w:tcPr>
            <w:tcW w:w="860" w:type="dxa"/>
            <w:vAlign w:val="bottom"/>
            <w:shd w:val="clear" w:color="auto" w:fill="CCEEFF"/>
          </w:tcPr>
          <w:p>
            <w:pPr>
              <w:jc w:val="right"/>
              <w:ind w:right="137"/>
              <w:spacing w:after="0" w:line="121" w:lineRule="exact"/>
              <w:rPr>
                <w:sz w:val="20"/>
                <w:szCs w:val="20"/>
                <w:color w:val="auto"/>
              </w:rPr>
            </w:pPr>
            <w:r>
              <w:rPr>
                <w:rFonts w:ascii="Arial" w:cs="Arial" w:eastAsia="Arial" w:hAnsi="Arial"/>
                <w:sz w:val="13"/>
                <w:szCs w:val="13"/>
                <w:color w:val="auto"/>
              </w:rPr>
              <w:t>L+1,200</w:t>
            </w:r>
          </w:p>
        </w:tc>
        <w:tc>
          <w:tcPr>
            <w:tcW w:w="760" w:type="dxa"/>
            <w:vAlign w:val="bottom"/>
            <w:shd w:val="clear" w:color="auto" w:fill="CCEEFF"/>
          </w:tcPr>
          <w:p>
            <w:pPr>
              <w:jc w:val="right"/>
              <w:ind w:right="57"/>
              <w:spacing w:after="0" w:line="121" w:lineRule="exact"/>
              <w:rPr>
                <w:sz w:val="20"/>
                <w:szCs w:val="20"/>
                <w:color w:val="auto"/>
              </w:rPr>
            </w:pPr>
            <w:r>
              <w:rPr>
                <w:rFonts w:ascii="Arial" w:cs="Arial" w:eastAsia="Arial" w:hAnsi="Arial"/>
                <w:sz w:val="13"/>
                <w:szCs w:val="13"/>
                <w:color w:val="auto"/>
                <w:w w:val="95"/>
              </w:rPr>
              <w:t>32,776,212</w:t>
            </w:r>
          </w:p>
        </w:tc>
        <w:tc>
          <w:tcPr>
            <w:tcW w:w="14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20"/>
              <w:spacing w:after="0" w:line="121" w:lineRule="exact"/>
              <w:rPr>
                <w:sz w:val="20"/>
                <w:szCs w:val="20"/>
                <w:color w:val="auto"/>
              </w:rPr>
            </w:pPr>
            <w:r>
              <w:rPr>
                <w:rFonts w:ascii="Arial" w:cs="Arial" w:eastAsia="Arial" w:hAnsi="Arial"/>
                <w:sz w:val="13"/>
                <w:szCs w:val="13"/>
                <w:color w:val="auto"/>
              </w:rPr>
              <w:t>32,181,185</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6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32,762,810</w:t>
            </w:r>
          </w:p>
        </w:tc>
        <w:tc>
          <w:tcPr>
            <w:tcW w:w="0" w:type="dxa"/>
            <w:vAlign w:val="bottom"/>
          </w:tcPr>
          <w:p>
            <w:pPr>
              <w:spacing w:after="0"/>
              <w:rPr>
                <w:sz w:val="1"/>
                <w:szCs w:val="1"/>
                <w:color w:val="auto"/>
              </w:rPr>
            </w:pPr>
          </w:p>
        </w:tc>
      </w:tr>
      <w:tr>
        <w:trPr>
          <w:trHeight w:val="163"/>
        </w:trPr>
        <w:tc>
          <w:tcPr>
            <w:tcW w:w="34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760" w:type="dxa"/>
            <w:vAlign w:val="bottom"/>
            <w:shd w:val="clear" w:color="auto" w:fill="CCEEFF"/>
          </w:tcPr>
          <w:p>
            <w:pPr>
              <w:ind w:left="60"/>
              <w:spacing w:after="0"/>
              <w:rPr>
                <w:sz w:val="20"/>
                <w:szCs w:val="20"/>
                <w:color w:val="auto"/>
              </w:rPr>
            </w:pPr>
            <w:r>
              <w:rPr>
                <w:rFonts w:ascii="Arial" w:cs="Arial" w:eastAsia="Arial" w:hAnsi="Arial"/>
                <w:sz w:val="13"/>
                <w:szCs w:val="13"/>
                <w:color w:val="auto"/>
                <w:w w:val="96"/>
              </w:rPr>
              <w:t>(PIK 1.00%)</w:t>
            </w:r>
          </w:p>
        </w:tc>
        <w:tc>
          <w:tcPr>
            <w:tcW w:w="8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460" w:type="dxa"/>
            <w:vAlign w:val="bottom"/>
          </w:tcPr>
          <w:p>
            <w:pPr>
              <w:spacing w:after="0" w:line="135" w:lineRule="exact"/>
              <w:rPr>
                <w:sz w:val="20"/>
                <w:szCs w:val="20"/>
                <w:color w:val="auto"/>
              </w:rPr>
            </w:pPr>
            <w:r>
              <w:rPr>
                <w:rFonts w:ascii="Arial" w:cs="Arial" w:eastAsia="Arial" w:hAnsi="Arial"/>
                <w:sz w:val="13"/>
                <w:szCs w:val="13"/>
                <w:color w:val="auto"/>
              </w:rPr>
              <w:t xml:space="preserve">Intermediate Transportation 100, LLC </w:t>
            </w:r>
            <w:r>
              <w:rPr>
                <w:rFonts w:ascii="Arial" w:cs="Arial" w:eastAsia="Arial" w:hAnsi="Arial"/>
                <w:sz w:val="10"/>
                <w:szCs w:val="10"/>
                <w:color w:val="auto"/>
              </w:rPr>
              <w:t>(5)</w:t>
            </w:r>
          </w:p>
        </w:tc>
        <w:tc>
          <w:tcPr>
            <w:tcW w:w="1320" w:type="dxa"/>
            <w:vAlign w:val="bottom"/>
          </w:tcPr>
          <w:p>
            <w:pPr>
              <w:ind w:left="680"/>
              <w:spacing w:after="0" w:line="135" w:lineRule="exact"/>
              <w:rPr>
                <w:sz w:val="20"/>
                <w:szCs w:val="20"/>
                <w:color w:val="auto"/>
              </w:rPr>
            </w:pPr>
            <w:r>
              <w:rPr>
                <w:rFonts w:ascii="Arial" w:cs="Arial" w:eastAsia="Arial" w:hAnsi="Arial"/>
                <w:sz w:val="13"/>
                <w:szCs w:val="13"/>
                <w:color w:val="auto"/>
                <w:w w:val="95"/>
              </w:rPr>
              <w:t>03/01/2017</w:t>
            </w:r>
          </w:p>
        </w:tc>
        <w:tc>
          <w:tcPr>
            <w:tcW w:w="1860" w:type="dxa"/>
            <w:vAlign w:val="bottom"/>
          </w:tcPr>
          <w:p>
            <w:pPr>
              <w:jc w:val="center"/>
              <w:spacing w:after="0" w:line="135" w:lineRule="exact"/>
              <w:rPr>
                <w:sz w:val="20"/>
                <w:szCs w:val="20"/>
                <w:color w:val="auto"/>
              </w:rPr>
            </w:pPr>
            <w:r>
              <w:rPr>
                <w:rFonts w:ascii="Arial" w:cs="Arial" w:eastAsia="Arial" w:hAnsi="Arial"/>
                <w:sz w:val="13"/>
                <w:szCs w:val="13"/>
                <w:color w:val="auto"/>
                <w:w w:val="86"/>
              </w:rPr>
              <w:t>Cargo Transport</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r>
              <w:rPr>
                <w:rFonts w:ascii="Arial" w:cs="Arial" w:eastAsia="Arial" w:hAnsi="Arial"/>
                <w:sz w:val="10"/>
                <w:szCs w:val="10"/>
                <w:color w:val="auto"/>
              </w:rPr>
              <w:t>(6)</w:t>
            </w:r>
          </w:p>
        </w:tc>
        <w:tc>
          <w:tcPr>
            <w:tcW w:w="86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3,945,483</w:t>
            </w:r>
          </w:p>
        </w:tc>
        <w:tc>
          <w:tcPr>
            <w:tcW w:w="140" w:type="dxa"/>
            <w:vAlign w:val="bottom"/>
          </w:tcPr>
          <w:p>
            <w:pPr>
              <w:spacing w:after="0"/>
              <w:rPr>
                <w:sz w:val="11"/>
                <w:szCs w:val="11"/>
                <w:color w:val="auto"/>
              </w:rPr>
            </w:pPr>
          </w:p>
        </w:tc>
        <w:tc>
          <w:tcPr>
            <w:tcW w:w="7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3,945,485</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1,183,645</w:t>
            </w:r>
          </w:p>
        </w:tc>
        <w:tc>
          <w:tcPr>
            <w:tcW w:w="0" w:type="dxa"/>
            <w:vAlign w:val="bottom"/>
          </w:tcPr>
          <w:p>
            <w:pPr>
              <w:spacing w:after="0"/>
              <w:rPr>
                <w:sz w:val="1"/>
                <w:szCs w:val="1"/>
                <w:color w:val="auto"/>
              </w:rPr>
            </w:pPr>
          </w:p>
        </w:tc>
      </w:tr>
      <w:tr>
        <w:trPr>
          <w:trHeight w:val="135"/>
        </w:trPr>
        <w:tc>
          <w:tcPr>
            <w:tcW w:w="3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J.A. Cosmetics Holdings, Inc.</w:t>
            </w:r>
          </w:p>
        </w:tc>
        <w:tc>
          <w:tcPr>
            <w:tcW w:w="1320" w:type="dxa"/>
            <w:vAlign w:val="bottom"/>
            <w:shd w:val="clear" w:color="auto" w:fill="CCEEFF"/>
          </w:tcPr>
          <w:p>
            <w:pPr>
              <w:ind w:left="680"/>
              <w:spacing w:after="0" w:line="135" w:lineRule="exact"/>
              <w:rPr>
                <w:sz w:val="20"/>
                <w:szCs w:val="20"/>
                <w:color w:val="auto"/>
              </w:rPr>
            </w:pPr>
            <w:r>
              <w:rPr>
                <w:rFonts w:ascii="Arial" w:cs="Arial" w:eastAsia="Arial" w:hAnsi="Arial"/>
                <w:sz w:val="13"/>
                <w:szCs w:val="13"/>
                <w:color w:val="auto"/>
                <w:w w:val="95"/>
              </w:rPr>
              <w:t>07/31/2019</w:t>
            </w:r>
          </w:p>
        </w:tc>
        <w:tc>
          <w:tcPr>
            <w:tcW w:w="18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Consumer Products</w:t>
            </w:r>
          </w:p>
        </w:tc>
        <w:tc>
          <w:tcPr>
            <w:tcW w:w="7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11.00%</w:t>
            </w:r>
          </w:p>
        </w:tc>
        <w:tc>
          <w:tcPr>
            <w:tcW w:w="86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L+1,000</w:t>
            </w:r>
          </w:p>
        </w:tc>
        <w:tc>
          <w:tcPr>
            <w:tcW w:w="7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w w:val="95"/>
              </w:rPr>
              <w:t>34,000,000</w:t>
            </w:r>
          </w:p>
        </w:tc>
        <w:tc>
          <w:tcPr>
            <w:tcW w:w="1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33,374,349</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34,505,954</w:t>
            </w:r>
          </w:p>
        </w:tc>
        <w:tc>
          <w:tcPr>
            <w:tcW w:w="0" w:type="dxa"/>
            <w:vAlign w:val="bottom"/>
          </w:tcPr>
          <w:p>
            <w:pPr>
              <w:spacing w:after="0"/>
              <w:rPr>
                <w:sz w:val="1"/>
                <w:szCs w:val="1"/>
                <w:color w:val="auto"/>
              </w:rPr>
            </w:pPr>
          </w:p>
        </w:tc>
      </w:tr>
      <w:tr>
        <w:trPr>
          <w:trHeight w:val="135"/>
        </w:trPr>
        <w:tc>
          <w:tcPr>
            <w:tcW w:w="3460" w:type="dxa"/>
            <w:vAlign w:val="bottom"/>
          </w:tcPr>
          <w:p>
            <w:pPr>
              <w:spacing w:after="0" w:line="135" w:lineRule="exact"/>
              <w:rPr>
                <w:sz w:val="20"/>
                <w:szCs w:val="20"/>
                <w:color w:val="auto"/>
              </w:rPr>
            </w:pPr>
            <w:r>
              <w:rPr>
                <w:rFonts w:ascii="Arial" w:cs="Arial" w:eastAsia="Arial" w:hAnsi="Arial"/>
                <w:sz w:val="13"/>
                <w:szCs w:val="13"/>
                <w:color w:val="auto"/>
              </w:rPr>
              <w:t>Jacobs Entertainment, Inc.</w:t>
            </w:r>
          </w:p>
        </w:tc>
        <w:tc>
          <w:tcPr>
            <w:tcW w:w="1320" w:type="dxa"/>
            <w:vAlign w:val="bottom"/>
          </w:tcPr>
          <w:p>
            <w:pPr>
              <w:ind w:left="680"/>
              <w:spacing w:after="0" w:line="135" w:lineRule="exact"/>
              <w:rPr>
                <w:sz w:val="20"/>
                <w:szCs w:val="20"/>
                <w:color w:val="auto"/>
              </w:rPr>
            </w:pPr>
            <w:r>
              <w:rPr>
                <w:rFonts w:ascii="Arial" w:cs="Arial" w:eastAsia="Arial" w:hAnsi="Arial"/>
                <w:sz w:val="13"/>
                <w:szCs w:val="13"/>
                <w:color w:val="auto"/>
                <w:w w:val="95"/>
              </w:rPr>
              <w:t>10/29/2019</w:t>
            </w:r>
          </w:p>
        </w:tc>
        <w:tc>
          <w:tcPr>
            <w:tcW w:w="1860" w:type="dxa"/>
            <w:vAlign w:val="bottom"/>
          </w:tcPr>
          <w:p>
            <w:pPr>
              <w:jc w:val="center"/>
              <w:spacing w:after="0" w:line="135" w:lineRule="exact"/>
              <w:rPr>
                <w:sz w:val="20"/>
                <w:szCs w:val="20"/>
                <w:color w:val="auto"/>
              </w:rPr>
            </w:pPr>
            <w:r>
              <w:rPr>
                <w:rFonts w:ascii="Arial" w:cs="Arial" w:eastAsia="Arial" w:hAnsi="Arial"/>
                <w:sz w:val="13"/>
                <w:szCs w:val="13"/>
                <w:color w:val="auto"/>
                <w:w w:val="89"/>
              </w:rPr>
              <w:t>Hotels, Motels, Inns and Gaming</w:t>
            </w:r>
          </w:p>
        </w:tc>
        <w:tc>
          <w:tcPr>
            <w:tcW w:w="7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13.00%</w:t>
            </w:r>
          </w:p>
        </w:tc>
        <w:tc>
          <w:tcPr>
            <w:tcW w:w="86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L+1,175</w:t>
            </w:r>
          </w:p>
        </w:tc>
        <w:tc>
          <w:tcPr>
            <w:tcW w:w="760" w:type="dxa"/>
            <w:vAlign w:val="bottom"/>
          </w:tcPr>
          <w:p>
            <w:pPr>
              <w:jc w:val="right"/>
              <w:ind w:right="57"/>
              <w:spacing w:after="0" w:line="135" w:lineRule="exact"/>
              <w:rPr>
                <w:sz w:val="20"/>
                <w:szCs w:val="20"/>
                <w:color w:val="auto"/>
              </w:rPr>
            </w:pPr>
            <w:r>
              <w:rPr>
                <w:rFonts w:ascii="Arial" w:cs="Arial" w:eastAsia="Arial" w:hAnsi="Arial"/>
                <w:sz w:val="13"/>
                <w:szCs w:val="13"/>
                <w:color w:val="auto"/>
                <w:w w:val="95"/>
              </w:rPr>
              <w:t>38,950,000</w:t>
            </w:r>
          </w:p>
        </w:tc>
        <w:tc>
          <w:tcPr>
            <w:tcW w:w="140" w:type="dxa"/>
            <w:vAlign w:val="bottom"/>
          </w:tcPr>
          <w:p>
            <w:pPr>
              <w:spacing w:after="0"/>
              <w:rPr>
                <w:sz w:val="11"/>
                <w:szCs w:val="11"/>
                <w:color w:val="auto"/>
              </w:rPr>
            </w:pPr>
          </w:p>
        </w:tc>
        <w:tc>
          <w:tcPr>
            <w:tcW w:w="7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38,400,639</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36,223,500</w:t>
            </w:r>
          </w:p>
        </w:tc>
        <w:tc>
          <w:tcPr>
            <w:tcW w:w="0" w:type="dxa"/>
            <w:vAlign w:val="bottom"/>
          </w:tcPr>
          <w:p>
            <w:pPr>
              <w:spacing w:after="0"/>
              <w:rPr>
                <w:sz w:val="1"/>
                <w:szCs w:val="1"/>
                <w:color w:val="auto"/>
              </w:rPr>
            </w:pPr>
          </w:p>
        </w:tc>
      </w:tr>
      <w:tr>
        <w:trPr>
          <w:trHeight w:val="135"/>
        </w:trPr>
        <w:tc>
          <w:tcPr>
            <w:tcW w:w="3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KIK Custom Products Inc.</w:t>
            </w:r>
          </w:p>
        </w:tc>
        <w:tc>
          <w:tcPr>
            <w:tcW w:w="1320" w:type="dxa"/>
            <w:vAlign w:val="bottom"/>
            <w:shd w:val="clear" w:color="auto" w:fill="CCEEFF"/>
          </w:tcPr>
          <w:p>
            <w:pPr>
              <w:ind w:left="680"/>
              <w:spacing w:after="0" w:line="135" w:lineRule="exact"/>
              <w:rPr>
                <w:sz w:val="20"/>
                <w:szCs w:val="20"/>
                <w:color w:val="auto"/>
              </w:rPr>
            </w:pPr>
            <w:r>
              <w:rPr>
                <w:rFonts w:ascii="Arial" w:cs="Arial" w:eastAsia="Arial" w:hAnsi="Arial"/>
                <w:sz w:val="13"/>
                <w:szCs w:val="13"/>
                <w:color w:val="auto"/>
                <w:w w:val="95"/>
              </w:rPr>
              <w:t>10/29/2019</w:t>
            </w:r>
          </w:p>
        </w:tc>
        <w:tc>
          <w:tcPr>
            <w:tcW w:w="1860" w:type="dxa"/>
            <w:vAlign w:val="bottom"/>
            <w:shd w:val="clear" w:color="auto" w:fill="CCEEFF"/>
          </w:tcPr>
          <w:p>
            <w:pPr>
              <w:ind w:left="820"/>
              <w:spacing w:after="0" w:line="135" w:lineRule="exact"/>
              <w:rPr>
                <w:sz w:val="20"/>
                <w:szCs w:val="20"/>
                <w:color w:val="auto"/>
              </w:rPr>
            </w:pPr>
            <w:r>
              <w:rPr>
                <w:rFonts w:ascii="Arial" w:cs="Arial" w:eastAsia="Arial" w:hAnsi="Arial"/>
                <w:sz w:val="13"/>
                <w:szCs w:val="13"/>
                <w:color w:val="auto"/>
                <w:w w:val="88"/>
              </w:rPr>
              <w:t>Consumer Products</w:t>
            </w:r>
          </w:p>
        </w:tc>
        <w:tc>
          <w:tcPr>
            <w:tcW w:w="7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9.50%</w:t>
            </w:r>
          </w:p>
        </w:tc>
        <w:tc>
          <w:tcPr>
            <w:tcW w:w="86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L+825</w:t>
            </w:r>
          </w:p>
        </w:tc>
        <w:tc>
          <w:tcPr>
            <w:tcW w:w="7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9,500,000</w:t>
            </w:r>
          </w:p>
        </w:tc>
        <w:tc>
          <w:tcPr>
            <w:tcW w:w="1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9,368,296</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9,515,865</w:t>
            </w:r>
          </w:p>
        </w:tc>
        <w:tc>
          <w:tcPr>
            <w:tcW w:w="0" w:type="dxa"/>
            <w:vAlign w:val="bottom"/>
          </w:tcPr>
          <w:p>
            <w:pPr>
              <w:spacing w:after="0"/>
              <w:rPr>
                <w:sz w:val="1"/>
                <w:szCs w:val="1"/>
                <w:color w:val="auto"/>
              </w:rPr>
            </w:pPr>
          </w:p>
        </w:tc>
      </w:tr>
      <w:tr>
        <w:trPr>
          <w:trHeight w:val="121"/>
        </w:trPr>
        <w:tc>
          <w:tcPr>
            <w:tcW w:w="34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860" w:type="dxa"/>
            <w:vAlign w:val="bottom"/>
          </w:tcPr>
          <w:p>
            <w:pPr>
              <w:jc w:val="center"/>
              <w:spacing w:after="0" w:line="121" w:lineRule="exact"/>
              <w:rPr>
                <w:sz w:val="20"/>
                <w:szCs w:val="20"/>
                <w:color w:val="auto"/>
              </w:rPr>
            </w:pPr>
            <w:r>
              <w:rPr>
                <w:rFonts w:ascii="Arial" w:cs="Arial" w:eastAsia="Arial" w:hAnsi="Arial"/>
                <w:sz w:val="13"/>
                <w:szCs w:val="13"/>
                <w:color w:val="auto"/>
                <w:w w:val="86"/>
              </w:rPr>
              <w:t>Personal, Food and Miscellaneous</w:t>
            </w:r>
          </w:p>
        </w:tc>
        <w:tc>
          <w:tcPr>
            <w:tcW w:w="7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460" w:type="dxa"/>
            <w:vAlign w:val="bottom"/>
          </w:tcPr>
          <w:p>
            <w:pPr>
              <w:spacing w:after="0"/>
              <w:rPr>
                <w:sz w:val="20"/>
                <w:szCs w:val="20"/>
                <w:color w:val="auto"/>
              </w:rPr>
            </w:pPr>
            <w:r>
              <w:rPr>
                <w:rFonts w:ascii="Arial" w:cs="Arial" w:eastAsia="Arial" w:hAnsi="Arial"/>
                <w:sz w:val="13"/>
                <w:szCs w:val="13"/>
                <w:color w:val="auto"/>
              </w:rPr>
              <w:t>Language Line, LLC</w:t>
            </w:r>
          </w:p>
        </w:tc>
        <w:tc>
          <w:tcPr>
            <w:tcW w:w="1320" w:type="dxa"/>
            <w:vAlign w:val="bottom"/>
          </w:tcPr>
          <w:p>
            <w:pPr>
              <w:ind w:left="680"/>
              <w:spacing w:after="0"/>
              <w:rPr>
                <w:sz w:val="20"/>
                <w:szCs w:val="20"/>
                <w:color w:val="auto"/>
              </w:rPr>
            </w:pPr>
            <w:r>
              <w:rPr>
                <w:rFonts w:ascii="Arial" w:cs="Arial" w:eastAsia="Arial" w:hAnsi="Arial"/>
                <w:sz w:val="13"/>
                <w:szCs w:val="13"/>
                <w:color w:val="auto"/>
                <w:w w:val="95"/>
              </w:rPr>
              <w:t>12/20/2016</w:t>
            </w:r>
          </w:p>
        </w:tc>
        <w:tc>
          <w:tcPr>
            <w:tcW w:w="1860" w:type="dxa"/>
            <w:vAlign w:val="bottom"/>
          </w:tcPr>
          <w:p>
            <w:pPr>
              <w:jc w:val="center"/>
              <w:spacing w:after="0"/>
              <w:rPr>
                <w:sz w:val="20"/>
                <w:szCs w:val="20"/>
                <w:color w:val="auto"/>
              </w:rPr>
            </w:pPr>
            <w:r>
              <w:rPr>
                <w:rFonts w:ascii="Arial" w:cs="Arial" w:eastAsia="Arial" w:hAnsi="Arial"/>
                <w:sz w:val="13"/>
                <w:szCs w:val="13"/>
                <w:color w:val="auto"/>
                <w:w w:val="88"/>
              </w:rPr>
              <w:t>Services</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10.50%</w:t>
            </w:r>
          </w:p>
        </w:tc>
        <w:tc>
          <w:tcPr>
            <w:tcW w:w="860" w:type="dxa"/>
            <w:vAlign w:val="bottom"/>
          </w:tcPr>
          <w:p>
            <w:pPr>
              <w:jc w:val="right"/>
              <w:ind w:right="137"/>
              <w:spacing w:after="0"/>
              <w:rPr>
                <w:sz w:val="20"/>
                <w:szCs w:val="20"/>
                <w:color w:val="auto"/>
              </w:rPr>
            </w:pPr>
            <w:r>
              <w:rPr>
                <w:rFonts w:ascii="Arial" w:cs="Arial" w:eastAsia="Arial" w:hAnsi="Arial"/>
                <w:sz w:val="13"/>
                <w:szCs w:val="13"/>
                <w:color w:val="auto"/>
              </w:rPr>
              <w:t>L+875</w:t>
            </w:r>
          </w:p>
        </w:tc>
        <w:tc>
          <w:tcPr>
            <w:tcW w:w="760" w:type="dxa"/>
            <w:vAlign w:val="bottom"/>
          </w:tcPr>
          <w:p>
            <w:pPr>
              <w:jc w:val="right"/>
              <w:ind w:right="57"/>
              <w:spacing w:after="0"/>
              <w:rPr>
                <w:sz w:val="20"/>
                <w:szCs w:val="20"/>
                <w:color w:val="auto"/>
              </w:rPr>
            </w:pPr>
            <w:r>
              <w:rPr>
                <w:rFonts w:ascii="Arial" w:cs="Arial" w:eastAsia="Arial" w:hAnsi="Arial"/>
                <w:sz w:val="13"/>
                <w:szCs w:val="13"/>
                <w:color w:val="auto"/>
                <w:w w:val="95"/>
              </w:rPr>
              <w:t>33,750,000</w:t>
            </w:r>
          </w:p>
        </w:tc>
        <w:tc>
          <w:tcPr>
            <w:tcW w:w="140" w:type="dxa"/>
            <w:vAlign w:val="bottom"/>
          </w:tcPr>
          <w:p>
            <w:pPr>
              <w:spacing w:after="0"/>
              <w:rPr>
                <w:sz w:val="12"/>
                <w:szCs w:val="12"/>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3"/>
                <w:szCs w:val="13"/>
                <w:color w:val="auto"/>
              </w:rPr>
              <w:t>33,397,785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33,384,487</w:t>
            </w:r>
          </w:p>
        </w:tc>
        <w:tc>
          <w:tcPr>
            <w:tcW w:w="0" w:type="dxa"/>
            <w:vAlign w:val="bottom"/>
          </w:tcPr>
          <w:p>
            <w:pPr>
              <w:spacing w:after="0"/>
              <w:rPr>
                <w:sz w:val="1"/>
                <w:szCs w:val="1"/>
                <w:color w:val="auto"/>
              </w:rPr>
            </w:pPr>
          </w:p>
        </w:tc>
      </w:tr>
      <w:tr>
        <w:trPr>
          <w:trHeight w:val="135"/>
        </w:trPr>
        <w:tc>
          <w:tcPr>
            <w:tcW w:w="3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Linc USA GP and Linc Energy Finance (USA), Inc. </w:t>
            </w:r>
            <w:r>
              <w:rPr>
                <w:rFonts w:ascii="Arial" w:cs="Arial" w:eastAsia="Arial" w:hAnsi="Arial"/>
                <w:sz w:val="10"/>
                <w:szCs w:val="10"/>
                <w:color w:val="auto"/>
              </w:rPr>
              <w:t>(5)</w:t>
            </w:r>
          </w:p>
        </w:tc>
        <w:tc>
          <w:tcPr>
            <w:tcW w:w="1320" w:type="dxa"/>
            <w:vAlign w:val="bottom"/>
            <w:shd w:val="clear" w:color="auto" w:fill="CCEEFF"/>
          </w:tcPr>
          <w:p>
            <w:pPr>
              <w:ind w:left="680"/>
              <w:spacing w:after="0" w:line="135" w:lineRule="exact"/>
              <w:rPr>
                <w:sz w:val="20"/>
                <w:szCs w:val="20"/>
                <w:color w:val="auto"/>
              </w:rPr>
            </w:pPr>
            <w:r>
              <w:rPr>
                <w:rFonts w:ascii="Arial" w:cs="Arial" w:eastAsia="Arial" w:hAnsi="Arial"/>
                <w:sz w:val="13"/>
                <w:szCs w:val="13"/>
                <w:color w:val="auto"/>
                <w:w w:val="95"/>
              </w:rPr>
              <w:t>10/31/2017</w:t>
            </w:r>
          </w:p>
        </w:tc>
        <w:tc>
          <w:tcPr>
            <w:tcW w:w="18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Oil and Gas</w:t>
            </w:r>
          </w:p>
        </w:tc>
        <w:tc>
          <w:tcPr>
            <w:tcW w:w="7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12.50%</w:t>
            </w:r>
          </w:p>
        </w:tc>
        <w:tc>
          <w:tcPr>
            <w:tcW w:w="86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w w:val="95"/>
              </w:rPr>
              <w:t>11,875,000</w:t>
            </w:r>
          </w:p>
        </w:tc>
        <w:tc>
          <w:tcPr>
            <w:tcW w:w="1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11,585,997</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12,379,687</w:t>
            </w:r>
          </w:p>
        </w:tc>
        <w:tc>
          <w:tcPr>
            <w:tcW w:w="0" w:type="dxa"/>
            <w:vAlign w:val="bottom"/>
          </w:tcPr>
          <w:p>
            <w:pPr>
              <w:spacing w:after="0"/>
              <w:rPr>
                <w:sz w:val="1"/>
                <w:szCs w:val="1"/>
                <w:color w:val="auto"/>
              </w:rPr>
            </w:pPr>
          </w:p>
        </w:tc>
      </w:tr>
      <w:tr>
        <w:trPr>
          <w:trHeight w:val="135"/>
        </w:trPr>
        <w:tc>
          <w:tcPr>
            <w:tcW w:w="3460" w:type="dxa"/>
            <w:vAlign w:val="bottom"/>
          </w:tcPr>
          <w:p>
            <w:pPr>
              <w:spacing w:after="0" w:line="135" w:lineRule="exact"/>
              <w:rPr>
                <w:sz w:val="20"/>
                <w:szCs w:val="20"/>
                <w:color w:val="auto"/>
              </w:rPr>
            </w:pPr>
            <w:r>
              <w:rPr>
                <w:rFonts w:ascii="Arial" w:cs="Arial" w:eastAsia="Arial" w:hAnsi="Arial"/>
                <w:sz w:val="13"/>
                <w:szCs w:val="13"/>
                <w:color w:val="auto"/>
              </w:rPr>
              <w:t xml:space="preserve">New Gulf Resources, LLC </w:t>
            </w:r>
            <w:r>
              <w:rPr>
                <w:rFonts w:ascii="Arial" w:cs="Arial" w:eastAsia="Arial" w:hAnsi="Arial"/>
                <w:sz w:val="10"/>
                <w:szCs w:val="10"/>
                <w:color w:val="auto"/>
              </w:rPr>
              <w:t>(5)</w:t>
            </w:r>
          </w:p>
        </w:tc>
        <w:tc>
          <w:tcPr>
            <w:tcW w:w="1320" w:type="dxa"/>
            <w:vAlign w:val="bottom"/>
          </w:tcPr>
          <w:p>
            <w:pPr>
              <w:ind w:left="680"/>
              <w:spacing w:after="0" w:line="135" w:lineRule="exact"/>
              <w:rPr>
                <w:sz w:val="20"/>
                <w:szCs w:val="20"/>
                <w:color w:val="auto"/>
              </w:rPr>
            </w:pPr>
            <w:r>
              <w:rPr>
                <w:rFonts w:ascii="Arial" w:cs="Arial" w:eastAsia="Arial" w:hAnsi="Arial"/>
                <w:sz w:val="13"/>
                <w:szCs w:val="13"/>
                <w:color w:val="auto"/>
                <w:w w:val="95"/>
              </w:rPr>
              <w:t>05/15/2019</w:t>
            </w:r>
          </w:p>
        </w:tc>
        <w:tc>
          <w:tcPr>
            <w:tcW w:w="1860" w:type="dxa"/>
            <w:vAlign w:val="bottom"/>
          </w:tcPr>
          <w:p>
            <w:pPr>
              <w:jc w:val="center"/>
              <w:spacing w:after="0" w:line="135" w:lineRule="exact"/>
              <w:rPr>
                <w:sz w:val="20"/>
                <w:szCs w:val="20"/>
                <w:color w:val="auto"/>
              </w:rPr>
            </w:pPr>
            <w:r>
              <w:rPr>
                <w:rFonts w:ascii="Arial" w:cs="Arial" w:eastAsia="Arial" w:hAnsi="Arial"/>
                <w:sz w:val="13"/>
                <w:szCs w:val="13"/>
                <w:color w:val="auto"/>
                <w:w w:val="87"/>
              </w:rPr>
              <w:t>Oil and Gas</w:t>
            </w:r>
          </w:p>
        </w:tc>
        <w:tc>
          <w:tcPr>
            <w:tcW w:w="7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11.75%</w:t>
            </w:r>
          </w:p>
        </w:tc>
        <w:tc>
          <w:tcPr>
            <w:tcW w:w="86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line="135" w:lineRule="exact"/>
              <w:rPr>
                <w:sz w:val="20"/>
                <w:szCs w:val="20"/>
                <w:color w:val="auto"/>
              </w:rPr>
            </w:pPr>
            <w:r>
              <w:rPr>
                <w:rFonts w:ascii="Arial" w:cs="Arial" w:eastAsia="Arial" w:hAnsi="Arial"/>
                <w:sz w:val="13"/>
                <w:szCs w:val="13"/>
                <w:color w:val="auto"/>
                <w:w w:val="95"/>
              </w:rPr>
              <w:t>45,000,000</w:t>
            </w:r>
          </w:p>
        </w:tc>
        <w:tc>
          <w:tcPr>
            <w:tcW w:w="140" w:type="dxa"/>
            <w:vAlign w:val="bottom"/>
          </w:tcPr>
          <w:p>
            <w:pPr>
              <w:spacing w:after="0"/>
              <w:rPr>
                <w:sz w:val="11"/>
                <w:szCs w:val="11"/>
                <w:color w:val="auto"/>
              </w:rPr>
            </w:pPr>
          </w:p>
        </w:tc>
        <w:tc>
          <w:tcPr>
            <w:tcW w:w="7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44,615,705</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45,675,000</w:t>
            </w:r>
          </w:p>
        </w:tc>
        <w:tc>
          <w:tcPr>
            <w:tcW w:w="0" w:type="dxa"/>
            <w:vAlign w:val="bottom"/>
          </w:tcPr>
          <w:p>
            <w:pPr>
              <w:spacing w:after="0"/>
              <w:rPr>
                <w:sz w:val="1"/>
                <w:szCs w:val="1"/>
                <w:color w:val="auto"/>
              </w:rPr>
            </w:pPr>
          </w:p>
        </w:tc>
      </w:tr>
      <w:tr>
        <w:trPr>
          <w:trHeight w:val="135"/>
        </w:trPr>
        <w:tc>
          <w:tcPr>
            <w:tcW w:w="3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Novitex Acquisition, LLC</w:t>
            </w:r>
          </w:p>
        </w:tc>
        <w:tc>
          <w:tcPr>
            <w:tcW w:w="1320" w:type="dxa"/>
            <w:vAlign w:val="bottom"/>
            <w:shd w:val="clear" w:color="auto" w:fill="CCEEFF"/>
          </w:tcPr>
          <w:p>
            <w:pPr>
              <w:ind w:left="680"/>
              <w:spacing w:after="0" w:line="135" w:lineRule="exact"/>
              <w:rPr>
                <w:sz w:val="20"/>
                <w:szCs w:val="20"/>
                <w:color w:val="auto"/>
              </w:rPr>
            </w:pPr>
            <w:r>
              <w:rPr>
                <w:rFonts w:ascii="Arial" w:cs="Arial" w:eastAsia="Arial" w:hAnsi="Arial"/>
                <w:sz w:val="13"/>
                <w:szCs w:val="13"/>
                <w:color w:val="auto"/>
                <w:w w:val="95"/>
              </w:rPr>
              <w:t>07/07/2021</w:t>
            </w:r>
          </w:p>
        </w:tc>
        <w:tc>
          <w:tcPr>
            <w:tcW w:w="18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Business Services</w:t>
            </w:r>
          </w:p>
        </w:tc>
        <w:tc>
          <w:tcPr>
            <w:tcW w:w="7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11.75%</w:t>
            </w:r>
          </w:p>
        </w:tc>
        <w:tc>
          <w:tcPr>
            <w:tcW w:w="86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L+1,050</w:t>
            </w:r>
          </w:p>
        </w:tc>
        <w:tc>
          <w:tcPr>
            <w:tcW w:w="7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w w:val="95"/>
              </w:rPr>
              <w:t>41,250,000</w:t>
            </w:r>
          </w:p>
        </w:tc>
        <w:tc>
          <w:tcPr>
            <w:tcW w:w="1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40,850,421</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40,425,000</w:t>
            </w:r>
          </w:p>
        </w:tc>
        <w:tc>
          <w:tcPr>
            <w:tcW w:w="0" w:type="dxa"/>
            <w:vAlign w:val="bottom"/>
          </w:tcPr>
          <w:p>
            <w:pPr>
              <w:spacing w:after="0"/>
              <w:rPr>
                <w:sz w:val="1"/>
                <w:szCs w:val="1"/>
                <w:color w:val="auto"/>
              </w:rPr>
            </w:pPr>
          </w:p>
        </w:tc>
      </w:tr>
      <w:tr>
        <w:trPr>
          <w:trHeight w:val="135"/>
        </w:trPr>
        <w:tc>
          <w:tcPr>
            <w:tcW w:w="3460" w:type="dxa"/>
            <w:vAlign w:val="bottom"/>
          </w:tcPr>
          <w:p>
            <w:pPr>
              <w:spacing w:after="0" w:line="135" w:lineRule="exact"/>
              <w:rPr>
                <w:sz w:val="20"/>
                <w:szCs w:val="20"/>
                <w:color w:val="auto"/>
              </w:rPr>
            </w:pPr>
            <w:r>
              <w:rPr>
                <w:rFonts w:ascii="Arial" w:cs="Arial" w:eastAsia="Arial" w:hAnsi="Arial"/>
                <w:sz w:val="13"/>
                <w:szCs w:val="13"/>
                <w:color w:val="auto"/>
              </w:rPr>
              <w:t>Penton Media, Inc.</w:t>
            </w:r>
          </w:p>
        </w:tc>
        <w:tc>
          <w:tcPr>
            <w:tcW w:w="1320" w:type="dxa"/>
            <w:vAlign w:val="bottom"/>
          </w:tcPr>
          <w:p>
            <w:pPr>
              <w:ind w:left="680"/>
              <w:spacing w:after="0" w:line="135" w:lineRule="exact"/>
              <w:rPr>
                <w:sz w:val="20"/>
                <w:szCs w:val="20"/>
                <w:color w:val="auto"/>
              </w:rPr>
            </w:pPr>
            <w:r>
              <w:rPr>
                <w:rFonts w:ascii="Arial" w:cs="Arial" w:eastAsia="Arial" w:hAnsi="Arial"/>
                <w:sz w:val="13"/>
                <w:szCs w:val="13"/>
                <w:color w:val="auto"/>
                <w:w w:val="95"/>
              </w:rPr>
              <w:t>10/02/2020</w:t>
            </w:r>
          </w:p>
        </w:tc>
        <w:tc>
          <w:tcPr>
            <w:tcW w:w="1860" w:type="dxa"/>
            <w:vAlign w:val="bottom"/>
          </w:tcPr>
          <w:p>
            <w:pPr>
              <w:jc w:val="center"/>
              <w:spacing w:after="0" w:line="135" w:lineRule="exact"/>
              <w:rPr>
                <w:sz w:val="20"/>
                <w:szCs w:val="20"/>
                <w:color w:val="auto"/>
              </w:rPr>
            </w:pPr>
            <w:r>
              <w:rPr>
                <w:rFonts w:ascii="Arial" w:cs="Arial" w:eastAsia="Arial" w:hAnsi="Arial"/>
                <w:sz w:val="13"/>
                <w:szCs w:val="13"/>
                <w:color w:val="auto"/>
                <w:w w:val="90"/>
              </w:rPr>
              <w:t>Media</w:t>
            </w:r>
          </w:p>
        </w:tc>
        <w:tc>
          <w:tcPr>
            <w:tcW w:w="7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9.00%</w:t>
            </w:r>
          </w:p>
        </w:tc>
        <w:tc>
          <w:tcPr>
            <w:tcW w:w="86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L+775</w:t>
            </w:r>
          </w:p>
        </w:tc>
        <w:tc>
          <w:tcPr>
            <w:tcW w:w="760" w:type="dxa"/>
            <w:vAlign w:val="bottom"/>
          </w:tcPr>
          <w:p>
            <w:pPr>
              <w:jc w:val="right"/>
              <w:ind w:right="57"/>
              <w:spacing w:after="0" w:line="135" w:lineRule="exact"/>
              <w:rPr>
                <w:sz w:val="20"/>
                <w:szCs w:val="20"/>
                <w:color w:val="auto"/>
              </w:rPr>
            </w:pPr>
            <w:r>
              <w:rPr>
                <w:rFonts w:ascii="Arial" w:cs="Arial" w:eastAsia="Arial" w:hAnsi="Arial"/>
                <w:sz w:val="13"/>
                <w:szCs w:val="13"/>
                <w:color w:val="auto"/>
                <w:w w:val="95"/>
              </w:rPr>
              <w:t>21,000,000</w:t>
            </w:r>
          </w:p>
        </w:tc>
        <w:tc>
          <w:tcPr>
            <w:tcW w:w="140" w:type="dxa"/>
            <w:vAlign w:val="bottom"/>
          </w:tcPr>
          <w:p>
            <w:pPr>
              <w:spacing w:after="0"/>
              <w:rPr>
                <w:sz w:val="11"/>
                <w:szCs w:val="11"/>
                <w:color w:val="auto"/>
              </w:rPr>
            </w:pPr>
          </w:p>
        </w:tc>
        <w:tc>
          <w:tcPr>
            <w:tcW w:w="7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20,728,983</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20,973,750</w:t>
            </w:r>
          </w:p>
        </w:tc>
        <w:tc>
          <w:tcPr>
            <w:tcW w:w="0" w:type="dxa"/>
            <w:vAlign w:val="bottom"/>
          </w:tcPr>
          <w:p>
            <w:pPr>
              <w:spacing w:after="0"/>
              <w:rPr>
                <w:sz w:val="1"/>
                <w:szCs w:val="1"/>
                <w:color w:val="auto"/>
              </w:rPr>
            </w:pPr>
          </w:p>
        </w:tc>
      </w:tr>
      <w:tr>
        <w:trPr>
          <w:trHeight w:val="121"/>
        </w:trPr>
        <w:tc>
          <w:tcPr>
            <w:tcW w:w="34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Pre-Paid Legal Services, Inc.</w:t>
            </w:r>
          </w:p>
        </w:tc>
        <w:tc>
          <w:tcPr>
            <w:tcW w:w="1320" w:type="dxa"/>
            <w:vAlign w:val="bottom"/>
            <w:shd w:val="clear" w:color="auto" w:fill="CCEEFF"/>
          </w:tcPr>
          <w:p>
            <w:pPr>
              <w:ind w:left="680"/>
              <w:spacing w:after="0" w:line="121" w:lineRule="exact"/>
              <w:rPr>
                <w:sz w:val="20"/>
                <w:szCs w:val="20"/>
                <w:color w:val="auto"/>
              </w:rPr>
            </w:pPr>
            <w:r>
              <w:rPr>
                <w:rFonts w:ascii="Arial" w:cs="Arial" w:eastAsia="Arial" w:hAnsi="Arial"/>
                <w:sz w:val="13"/>
                <w:szCs w:val="13"/>
                <w:color w:val="auto"/>
                <w:w w:val="95"/>
              </w:rPr>
              <w:t>07/01/2020</w:t>
            </w:r>
          </w:p>
        </w:tc>
        <w:tc>
          <w:tcPr>
            <w:tcW w:w="186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6"/>
              </w:rPr>
              <w:t>Personal, Food and Miscellaneous</w:t>
            </w:r>
          </w:p>
        </w:tc>
        <w:tc>
          <w:tcPr>
            <w:tcW w:w="760" w:type="dxa"/>
            <w:vAlign w:val="bottom"/>
            <w:shd w:val="clear" w:color="auto" w:fill="CCEEFF"/>
          </w:tcPr>
          <w:p>
            <w:pPr>
              <w:jc w:val="right"/>
              <w:ind w:right="37"/>
              <w:spacing w:after="0" w:line="121" w:lineRule="exact"/>
              <w:rPr>
                <w:sz w:val="20"/>
                <w:szCs w:val="20"/>
                <w:color w:val="auto"/>
              </w:rPr>
            </w:pPr>
            <w:r>
              <w:rPr>
                <w:rFonts w:ascii="Arial" w:cs="Arial" w:eastAsia="Arial" w:hAnsi="Arial"/>
                <w:sz w:val="13"/>
                <w:szCs w:val="13"/>
                <w:color w:val="auto"/>
              </w:rPr>
              <w:t>9.75%</w:t>
            </w:r>
          </w:p>
        </w:tc>
        <w:tc>
          <w:tcPr>
            <w:tcW w:w="860" w:type="dxa"/>
            <w:vAlign w:val="bottom"/>
            <w:shd w:val="clear" w:color="auto" w:fill="CCEEFF"/>
          </w:tcPr>
          <w:p>
            <w:pPr>
              <w:jc w:val="right"/>
              <w:ind w:right="137"/>
              <w:spacing w:after="0" w:line="121" w:lineRule="exact"/>
              <w:rPr>
                <w:sz w:val="20"/>
                <w:szCs w:val="20"/>
                <w:color w:val="auto"/>
              </w:rPr>
            </w:pPr>
            <w:r>
              <w:rPr>
                <w:rFonts w:ascii="Arial" w:cs="Arial" w:eastAsia="Arial" w:hAnsi="Arial"/>
                <w:sz w:val="13"/>
                <w:szCs w:val="13"/>
                <w:color w:val="auto"/>
              </w:rPr>
              <w:t>L+850</w:t>
            </w:r>
          </w:p>
        </w:tc>
        <w:tc>
          <w:tcPr>
            <w:tcW w:w="760" w:type="dxa"/>
            <w:vAlign w:val="bottom"/>
            <w:shd w:val="clear" w:color="auto" w:fill="CCEEFF"/>
          </w:tcPr>
          <w:p>
            <w:pPr>
              <w:jc w:val="right"/>
              <w:ind w:right="57"/>
              <w:spacing w:after="0" w:line="121" w:lineRule="exact"/>
              <w:rPr>
                <w:sz w:val="20"/>
                <w:szCs w:val="20"/>
                <w:color w:val="auto"/>
              </w:rPr>
            </w:pPr>
            <w:r>
              <w:rPr>
                <w:rFonts w:ascii="Arial" w:cs="Arial" w:eastAsia="Arial" w:hAnsi="Arial"/>
                <w:sz w:val="13"/>
                <w:szCs w:val="13"/>
                <w:color w:val="auto"/>
                <w:w w:val="95"/>
              </w:rPr>
              <w:t>56,750,000</w:t>
            </w:r>
          </w:p>
        </w:tc>
        <w:tc>
          <w:tcPr>
            <w:tcW w:w="14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20"/>
              <w:spacing w:after="0" w:line="121" w:lineRule="exact"/>
              <w:rPr>
                <w:sz w:val="20"/>
                <w:szCs w:val="20"/>
                <w:color w:val="auto"/>
              </w:rPr>
            </w:pPr>
            <w:r>
              <w:rPr>
                <w:rFonts w:ascii="Arial" w:cs="Arial" w:eastAsia="Arial" w:hAnsi="Arial"/>
                <w:sz w:val="13"/>
                <w:szCs w:val="13"/>
                <w:color w:val="auto"/>
              </w:rPr>
              <w:t>56,012,103</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6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57,317,500</w:t>
            </w:r>
          </w:p>
        </w:tc>
        <w:tc>
          <w:tcPr>
            <w:tcW w:w="0" w:type="dxa"/>
            <w:vAlign w:val="bottom"/>
          </w:tcPr>
          <w:p>
            <w:pPr>
              <w:spacing w:after="0"/>
              <w:rPr>
                <w:sz w:val="1"/>
                <w:szCs w:val="1"/>
                <w:color w:val="auto"/>
              </w:rPr>
            </w:pPr>
          </w:p>
        </w:tc>
      </w:tr>
      <w:tr>
        <w:trPr>
          <w:trHeight w:val="149"/>
        </w:trPr>
        <w:tc>
          <w:tcPr>
            <w:tcW w:w="34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Services</w:t>
            </w:r>
          </w:p>
        </w:tc>
        <w:tc>
          <w:tcPr>
            <w:tcW w:w="7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60" w:type="dxa"/>
            <w:vAlign w:val="bottom"/>
          </w:tcPr>
          <w:p>
            <w:pPr>
              <w:spacing w:after="0" w:line="142" w:lineRule="exact"/>
              <w:rPr>
                <w:sz w:val="20"/>
                <w:szCs w:val="20"/>
                <w:color w:val="auto"/>
              </w:rPr>
            </w:pPr>
            <w:r>
              <w:rPr>
                <w:rFonts w:ascii="Arial" w:cs="Arial" w:eastAsia="Arial" w:hAnsi="Arial"/>
                <w:sz w:val="13"/>
                <w:szCs w:val="13"/>
                <w:b w:val="1"/>
                <w:bCs w:val="1"/>
                <w:color w:val="auto"/>
              </w:rPr>
              <w:t>Total Second Lien Secured Debt</w:t>
            </w:r>
          </w:p>
        </w:tc>
        <w:tc>
          <w:tcPr>
            <w:tcW w:w="13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1"/>
              </w:rPr>
              <w:t>480,641,935</w:t>
            </w:r>
          </w:p>
        </w:tc>
        <w:tc>
          <w:tcPr>
            <w:tcW w:w="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484,232,576</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SEE NOTES TO CONSOLIDATED FINANCIAL STATEMENTS</w:t>
      </w:r>
    </w:p>
    <w:p>
      <w:pPr>
        <w:spacing w:after="0" w:line="200" w:lineRule="exact"/>
        <w:rPr>
          <w:sz w:val="20"/>
          <w:szCs w:val="20"/>
          <w:color w:val="auto"/>
        </w:rPr>
      </w:pPr>
    </w:p>
    <w:p>
      <w:pPr>
        <w:spacing w:after="0" w:line="247"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020"/>
          </w:cols>
          <w:pgMar w:left="320" w:top="459" w:right="5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ind w:right="-219"/>
        <w:spacing w:after="0" w:line="226" w:lineRule="auto"/>
        <w:rPr>
          <w:sz w:val="20"/>
          <w:szCs w:val="20"/>
          <w:color w:val="auto"/>
        </w:rPr>
      </w:pPr>
      <w:r>
        <w:rPr>
          <w:rFonts w:ascii="Arial" w:cs="Arial" w:eastAsia="Arial" w:hAnsi="Arial"/>
          <w:sz w:val="14"/>
          <w:szCs w:val="14"/>
          <w:b w:val="1"/>
          <w:bCs w:val="1"/>
          <w:color w:val="auto"/>
        </w:rPr>
        <w:t>CONSOLIDATED SCHEDULE OF INVESTMENTS – (Continued)</w:t>
      </w:r>
    </w:p>
    <w:p>
      <w:pPr>
        <w:jc w:val="center"/>
        <w:ind w:right="-219"/>
        <w:spacing w:after="0"/>
        <w:rPr>
          <w:sz w:val="20"/>
          <w:szCs w:val="20"/>
          <w:color w:val="auto"/>
        </w:rPr>
      </w:pPr>
      <w:r>
        <w:rPr>
          <w:rFonts w:ascii="Arial" w:cs="Arial" w:eastAsia="Arial" w:hAnsi="Arial"/>
          <w:sz w:val="14"/>
          <w:szCs w:val="14"/>
          <w:b w:val="1"/>
          <w:bCs w:val="1"/>
          <w:color w:val="auto"/>
        </w:rPr>
        <w:t>SEPTEMBER 30, 2014</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9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jc w:val="center"/>
              <w:ind w:right="102"/>
              <w:spacing w:after="0"/>
              <w:rPr>
                <w:sz w:val="20"/>
                <w:szCs w:val="20"/>
                <w:color w:val="auto"/>
              </w:rPr>
            </w:pPr>
            <w:r>
              <w:rPr>
                <w:rFonts w:ascii="Arial" w:cs="Arial" w:eastAsia="Arial" w:hAnsi="Arial"/>
                <w:sz w:val="12"/>
                <w:szCs w:val="12"/>
                <w:b w:val="1"/>
                <w:bCs w:val="1"/>
                <w:color w:val="auto"/>
                <w:w w:val="85"/>
              </w:rPr>
              <w:t>Basis Point</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40" w:type="dxa"/>
            <w:vAlign w:val="bottom"/>
          </w:tcPr>
          <w:p>
            <w:pPr>
              <w:jc w:val="center"/>
              <w:ind w:right="102"/>
              <w:spacing w:after="0" w:line="135" w:lineRule="exact"/>
              <w:rPr>
                <w:sz w:val="20"/>
                <w:szCs w:val="20"/>
                <w:color w:val="auto"/>
              </w:rPr>
            </w:pPr>
            <w:r>
              <w:rPr>
                <w:rFonts w:ascii="Arial" w:cs="Arial" w:eastAsia="Arial" w:hAnsi="Arial"/>
                <w:sz w:val="12"/>
                <w:szCs w:val="12"/>
                <w:b w:val="1"/>
                <w:bCs w:val="1"/>
                <w:color w:val="auto"/>
                <w:w w:val="88"/>
              </w:rPr>
              <w:t>Spread</w:t>
            </w: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00" w:type="dxa"/>
            <w:vAlign w:val="bottom"/>
            <w:vMerge w:val="restart"/>
          </w:tcPr>
          <w:p>
            <w:pPr>
              <w:spacing w:after="0"/>
              <w:rPr>
                <w:sz w:val="20"/>
                <w:szCs w:val="20"/>
                <w:color w:val="auto"/>
              </w:rPr>
            </w:pPr>
            <w:r>
              <w:rPr>
                <w:rFonts w:ascii="Arial" w:cs="Arial" w:eastAsia="Arial" w:hAnsi="Arial"/>
                <w:sz w:val="12"/>
                <w:szCs w:val="12"/>
                <w:b w:val="1"/>
                <w:bCs w:val="1"/>
                <w:color w:val="auto"/>
              </w:rPr>
              <w:t>Issuer Name</w:t>
            </w:r>
          </w:p>
        </w:tc>
        <w:tc>
          <w:tcPr>
            <w:tcW w:w="114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Maturity /</w:t>
            </w:r>
          </w:p>
        </w:tc>
        <w:tc>
          <w:tcPr>
            <w:tcW w:w="208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2"/>
              </w:rPr>
              <w:t>Industry</w:t>
            </w:r>
          </w:p>
        </w:tc>
        <w:tc>
          <w:tcPr>
            <w:tcW w:w="1180" w:type="dxa"/>
            <w:vAlign w:val="bottom"/>
          </w:tcPr>
          <w:p>
            <w:pPr>
              <w:jc w:val="right"/>
              <w:ind w:right="502"/>
              <w:spacing w:after="0" w:line="135" w:lineRule="exact"/>
              <w:rPr>
                <w:sz w:val="20"/>
                <w:szCs w:val="20"/>
                <w:color w:val="auto"/>
              </w:rPr>
            </w:pPr>
            <w:r>
              <w:rPr>
                <w:rFonts w:ascii="Arial" w:cs="Arial" w:eastAsia="Arial" w:hAnsi="Arial"/>
                <w:sz w:val="12"/>
                <w:szCs w:val="12"/>
                <w:b w:val="1"/>
                <w:bCs w:val="1"/>
                <w:color w:val="auto"/>
              </w:rPr>
              <w:t>Current</w:t>
            </w:r>
          </w:p>
        </w:tc>
        <w:tc>
          <w:tcPr>
            <w:tcW w:w="1040" w:type="dxa"/>
            <w:vAlign w:val="bottom"/>
          </w:tcPr>
          <w:p>
            <w:pPr>
              <w:jc w:val="center"/>
              <w:ind w:right="102"/>
              <w:spacing w:after="0" w:line="135" w:lineRule="exact"/>
              <w:rPr>
                <w:sz w:val="20"/>
                <w:szCs w:val="20"/>
                <w:color w:val="auto"/>
              </w:rPr>
            </w:pPr>
            <w:r>
              <w:rPr>
                <w:rFonts w:ascii="Arial" w:cs="Arial" w:eastAsia="Arial" w:hAnsi="Arial"/>
                <w:sz w:val="12"/>
                <w:szCs w:val="12"/>
                <w:b w:val="1"/>
                <w:bCs w:val="1"/>
                <w:color w:val="auto"/>
                <w:w w:val="87"/>
              </w:rPr>
              <w:t>Above</w:t>
            </w:r>
          </w:p>
        </w:tc>
        <w:tc>
          <w:tcPr>
            <w:tcW w:w="840" w:type="dxa"/>
            <w:vAlign w:val="bottom"/>
          </w:tcPr>
          <w:p>
            <w:pPr>
              <w:jc w:val="right"/>
              <w:ind w:right="282"/>
              <w:spacing w:after="0" w:line="135" w:lineRule="exact"/>
              <w:rPr>
                <w:sz w:val="20"/>
                <w:szCs w:val="20"/>
                <w:color w:val="auto"/>
              </w:rPr>
            </w:pPr>
            <w:r>
              <w:rPr>
                <w:rFonts w:ascii="Arial" w:cs="Arial" w:eastAsia="Arial" w:hAnsi="Arial"/>
                <w:sz w:val="12"/>
                <w:szCs w:val="12"/>
                <w:b w:val="1"/>
                <w:bCs w:val="1"/>
                <w:color w:val="auto"/>
              </w:rPr>
              <w:t>Par /</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900" w:type="dxa"/>
            <w:vAlign w:val="bottom"/>
            <w:vMerge w:val="continue"/>
          </w:tcPr>
          <w:p>
            <w:pPr>
              <w:spacing w:after="0"/>
              <w:rPr>
                <w:sz w:val="12"/>
                <w:szCs w:val="12"/>
                <w:color w:val="auto"/>
              </w:rPr>
            </w:pPr>
          </w:p>
        </w:tc>
        <w:tc>
          <w:tcPr>
            <w:tcW w:w="1140" w:type="dxa"/>
            <w:vAlign w:val="bottom"/>
          </w:tcPr>
          <w:p>
            <w:pPr>
              <w:ind w:left="440"/>
              <w:spacing w:after="0"/>
              <w:rPr>
                <w:sz w:val="20"/>
                <w:szCs w:val="20"/>
                <w:color w:val="auto"/>
              </w:rPr>
            </w:pPr>
            <w:r>
              <w:rPr>
                <w:rFonts w:ascii="Arial" w:cs="Arial" w:eastAsia="Arial" w:hAnsi="Arial"/>
                <w:sz w:val="12"/>
                <w:szCs w:val="12"/>
                <w:b w:val="1"/>
                <w:bCs w:val="1"/>
                <w:color w:val="auto"/>
              </w:rPr>
              <w:t>Expiration</w:t>
            </w:r>
          </w:p>
        </w:tc>
        <w:tc>
          <w:tcPr>
            <w:tcW w:w="2080" w:type="dxa"/>
            <w:vAlign w:val="bottom"/>
            <w:vMerge w:val="continue"/>
          </w:tcPr>
          <w:p>
            <w:pPr>
              <w:spacing w:after="0"/>
              <w:rPr>
                <w:sz w:val="12"/>
                <w:szCs w:val="12"/>
                <w:color w:val="auto"/>
              </w:rPr>
            </w:pPr>
          </w:p>
        </w:tc>
        <w:tc>
          <w:tcPr>
            <w:tcW w:w="1180" w:type="dxa"/>
            <w:vAlign w:val="bottom"/>
          </w:tcPr>
          <w:p>
            <w:pPr>
              <w:jc w:val="right"/>
              <w:ind w:right="502"/>
              <w:spacing w:after="0"/>
              <w:rPr>
                <w:sz w:val="20"/>
                <w:szCs w:val="20"/>
                <w:color w:val="auto"/>
              </w:rPr>
            </w:pPr>
            <w:r>
              <w:rPr>
                <w:rFonts w:ascii="Arial" w:cs="Arial" w:eastAsia="Arial" w:hAnsi="Arial"/>
                <w:sz w:val="12"/>
                <w:szCs w:val="12"/>
                <w:b w:val="1"/>
                <w:bCs w:val="1"/>
                <w:color w:val="auto"/>
              </w:rPr>
              <w:t>Coupon</w:t>
            </w:r>
          </w:p>
        </w:tc>
        <w:tc>
          <w:tcPr>
            <w:tcW w:w="1040" w:type="dxa"/>
            <w:vAlign w:val="bottom"/>
          </w:tcPr>
          <w:p>
            <w:pPr>
              <w:jc w:val="center"/>
              <w:ind w:right="102"/>
              <w:spacing w:after="0"/>
              <w:rPr>
                <w:sz w:val="20"/>
                <w:szCs w:val="20"/>
                <w:color w:val="auto"/>
              </w:rPr>
            </w:pPr>
            <w:r>
              <w:rPr>
                <w:rFonts w:ascii="Arial" w:cs="Arial" w:eastAsia="Arial" w:hAnsi="Arial"/>
                <w:sz w:val="12"/>
                <w:szCs w:val="12"/>
                <w:b w:val="1"/>
                <w:bCs w:val="1"/>
                <w:color w:val="auto"/>
                <w:w w:val="96"/>
              </w:rPr>
              <w:t xml:space="preserve">Index </w:t>
            </w:r>
            <w:r>
              <w:rPr>
                <w:rFonts w:ascii="Arial" w:cs="Arial" w:eastAsia="Arial" w:hAnsi="Arial"/>
                <w:sz w:val="9"/>
                <w:szCs w:val="9"/>
                <w:b w:val="1"/>
                <w:bCs w:val="1"/>
                <w:color w:val="auto"/>
                <w:w w:val="96"/>
              </w:rPr>
              <w:t>(4)</w:t>
            </w:r>
          </w:p>
        </w:tc>
        <w:tc>
          <w:tcPr>
            <w:tcW w:w="840" w:type="dxa"/>
            <w:vAlign w:val="bottom"/>
          </w:tcPr>
          <w:p>
            <w:pPr>
              <w:jc w:val="right"/>
              <w:ind w:right="222"/>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2"/>
                <w:szCs w:val="12"/>
                <w:color w:val="auto"/>
              </w:rPr>
            </w:pPr>
          </w:p>
        </w:tc>
        <w:tc>
          <w:tcPr>
            <w:tcW w:w="920" w:type="dxa"/>
            <w:vAlign w:val="bottom"/>
            <w:gridSpan w:val="2"/>
          </w:tcPr>
          <w:p>
            <w:pPr>
              <w:ind w:left="220"/>
              <w:spacing w:after="0"/>
              <w:rPr>
                <w:sz w:val="20"/>
                <w:szCs w:val="20"/>
                <w:color w:val="auto"/>
              </w:rPr>
            </w:pPr>
            <w:r>
              <w:rPr>
                <w:rFonts w:ascii="Arial" w:cs="Arial" w:eastAsia="Arial" w:hAnsi="Arial"/>
                <w:sz w:val="12"/>
                <w:szCs w:val="12"/>
                <w:b w:val="1"/>
                <w:bCs w:val="1"/>
                <w:color w:val="auto"/>
              </w:rPr>
              <w:t>Cost</w:t>
            </w:r>
          </w:p>
        </w:tc>
        <w:tc>
          <w:tcPr>
            <w:tcW w:w="80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w w:val="89"/>
              </w:rPr>
              <w:t xml:space="preserve">Fair Value </w:t>
            </w:r>
            <w:r>
              <w:rPr>
                <w:rFonts w:ascii="Arial" w:cs="Arial" w:eastAsia="Arial" w:hAnsi="Arial"/>
                <w:sz w:val="9"/>
                <w:szCs w:val="9"/>
                <w:b w:val="1"/>
                <w:bCs w:val="1"/>
                <w:color w:val="auto"/>
                <w:w w:val="89"/>
              </w:rPr>
              <w:t>(3)</w:t>
            </w:r>
          </w:p>
        </w:tc>
        <w:tc>
          <w:tcPr>
            <w:tcW w:w="0" w:type="dxa"/>
            <w:vAlign w:val="bottom"/>
          </w:tcPr>
          <w:p>
            <w:pPr>
              <w:spacing w:after="0"/>
              <w:rPr>
                <w:sz w:val="1"/>
                <w:szCs w:val="1"/>
                <w:color w:val="auto"/>
              </w:rPr>
            </w:pPr>
          </w:p>
        </w:tc>
      </w:tr>
      <w:tr>
        <w:trPr>
          <w:trHeight w:val="128"/>
        </w:trPr>
        <w:tc>
          <w:tcPr>
            <w:tcW w:w="29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2"/>
                <w:szCs w:val="12"/>
                <w:b w:val="1"/>
                <w:bCs w:val="1"/>
                <w:color w:val="auto"/>
              </w:rPr>
              <w:t>Subordinated Debt/Corporate Notes—24.8%</w:t>
            </w:r>
          </w:p>
        </w:tc>
        <w:tc>
          <w:tcPr>
            <w:tcW w:w="1140" w:type="dxa"/>
            <w:vAlign w:val="bottom"/>
            <w:tcBorders>
              <w:top w:val="single" w:sz="8" w:color="auto"/>
            </w:tcBorders>
            <w:shd w:val="clear" w:color="auto" w:fill="CCEEFF"/>
          </w:tcPr>
          <w:p>
            <w:pPr>
              <w:spacing w:after="0"/>
              <w:rPr>
                <w:sz w:val="11"/>
                <w:szCs w:val="11"/>
                <w:color w:val="auto"/>
              </w:rPr>
            </w:pPr>
          </w:p>
        </w:tc>
        <w:tc>
          <w:tcPr>
            <w:tcW w:w="2080" w:type="dxa"/>
            <w:vAlign w:val="bottom"/>
            <w:tcBorders>
              <w:top w:val="single" w:sz="8" w:color="auto"/>
            </w:tcBorders>
            <w:shd w:val="clear" w:color="auto" w:fill="CCEEFF"/>
          </w:tcPr>
          <w:p>
            <w:pPr>
              <w:spacing w:after="0"/>
              <w:rPr>
                <w:sz w:val="11"/>
                <w:szCs w:val="11"/>
                <w:color w:val="auto"/>
              </w:rPr>
            </w:pPr>
          </w:p>
        </w:tc>
        <w:tc>
          <w:tcPr>
            <w:tcW w:w="118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00" w:type="dxa"/>
            <w:vAlign w:val="bottom"/>
          </w:tcPr>
          <w:p>
            <w:pPr>
              <w:spacing w:after="0" w:line="135" w:lineRule="exact"/>
              <w:rPr>
                <w:sz w:val="20"/>
                <w:szCs w:val="20"/>
                <w:color w:val="auto"/>
              </w:rPr>
            </w:pPr>
            <w:r>
              <w:rPr>
                <w:rFonts w:ascii="Arial" w:cs="Arial" w:eastAsia="Arial" w:hAnsi="Arial"/>
                <w:sz w:val="12"/>
                <w:szCs w:val="12"/>
                <w:color w:val="auto"/>
              </w:rPr>
              <w:t>Acentia, LLC</w:t>
            </w:r>
          </w:p>
        </w:tc>
        <w:tc>
          <w:tcPr>
            <w:tcW w:w="1140" w:type="dxa"/>
            <w:vAlign w:val="bottom"/>
          </w:tcPr>
          <w:p>
            <w:pPr>
              <w:jc w:val="center"/>
              <w:ind w:left="242"/>
              <w:spacing w:after="0" w:line="135" w:lineRule="exact"/>
              <w:rPr>
                <w:sz w:val="20"/>
                <w:szCs w:val="20"/>
                <w:color w:val="auto"/>
              </w:rPr>
            </w:pPr>
            <w:r>
              <w:rPr>
                <w:rFonts w:ascii="Arial" w:cs="Arial" w:eastAsia="Arial" w:hAnsi="Arial"/>
                <w:sz w:val="12"/>
                <w:szCs w:val="12"/>
                <w:color w:val="auto"/>
                <w:w w:val="86"/>
              </w:rPr>
              <w:t>10/02/2017</w:t>
            </w:r>
          </w:p>
        </w:tc>
        <w:tc>
          <w:tcPr>
            <w:tcW w:w="2080" w:type="dxa"/>
            <w:vAlign w:val="bottom"/>
          </w:tcPr>
          <w:p>
            <w:pPr>
              <w:jc w:val="center"/>
              <w:spacing w:after="0" w:line="135" w:lineRule="exact"/>
              <w:rPr>
                <w:sz w:val="20"/>
                <w:szCs w:val="20"/>
                <w:color w:val="auto"/>
              </w:rPr>
            </w:pPr>
            <w:r>
              <w:rPr>
                <w:rFonts w:ascii="Arial" w:cs="Arial" w:eastAsia="Arial" w:hAnsi="Arial"/>
                <w:sz w:val="12"/>
                <w:szCs w:val="12"/>
                <w:color w:val="auto"/>
                <w:w w:val="88"/>
              </w:rPr>
              <w:t>Electronics</w:t>
            </w:r>
          </w:p>
        </w:tc>
        <w:tc>
          <w:tcPr>
            <w:tcW w:w="1180" w:type="dxa"/>
            <w:vAlign w:val="bottom"/>
          </w:tcPr>
          <w:p>
            <w:pPr>
              <w:jc w:val="right"/>
              <w:ind w:right="222"/>
              <w:spacing w:after="0" w:line="135" w:lineRule="exact"/>
              <w:rPr>
                <w:sz w:val="20"/>
                <w:szCs w:val="20"/>
                <w:color w:val="auto"/>
              </w:rPr>
            </w:pPr>
            <w:r>
              <w:rPr>
                <w:rFonts w:ascii="Arial" w:cs="Arial" w:eastAsia="Arial" w:hAnsi="Arial"/>
                <w:sz w:val="12"/>
                <w:szCs w:val="12"/>
                <w:color w:val="auto"/>
              </w:rPr>
              <w:t>14.00%</w:t>
            </w:r>
          </w:p>
        </w:tc>
        <w:tc>
          <w:tcPr>
            <w:tcW w:w="1040" w:type="dxa"/>
            <w:vAlign w:val="bottom"/>
          </w:tcPr>
          <w:p>
            <w:pPr>
              <w:ind w:left="720"/>
              <w:spacing w:after="0" w:line="135" w:lineRule="exact"/>
              <w:rPr>
                <w:sz w:val="20"/>
                <w:szCs w:val="20"/>
                <w:color w:val="auto"/>
              </w:rPr>
            </w:pPr>
            <w:r>
              <w:rPr>
                <w:rFonts w:ascii="Arial" w:cs="Arial" w:eastAsia="Arial" w:hAnsi="Arial"/>
                <w:sz w:val="12"/>
                <w:szCs w:val="12"/>
                <w:color w:val="auto"/>
              </w:rPr>
              <w:t>—</w:t>
            </w:r>
          </w:p>
        </w:tc>
        <w:tc>
          <w:tcPr>
            <w:tcW w:w="840" w:type="dxa"/>
            <w:vAlign w:val="bottom"/>
          </w:tcPr>
          <w:p>
            <w:pPr>
              <w:jc w:val="right"/>
              <w:ind w:right="62"/>
              <w:spacing w:after="0" w:line="135" w:lineRule="exact"/>
              <w:rPr>
                <w:sz w:val="20"/>
                <w:szCs w:val="20"/>
                <w:color w:val="auto"/>
              </w:rPr>
            </w:pPr>
            <w:r>
              <w:rPr>
                <w:rFonts w:ascii="Arial" w:cs="Arial" w:eastAsia="Arial" w:hAnsi="Arial"/>
                <w:sz w:val="12"/>
                <w:szCs w:val="12"/>
                <w:color w:val="auto"/>
              </w:rPr>
              <w:t>19,000,000</w:t>
            </w:r>
          </w:p>
        </w:tc>
        <w:tc>
          <w:tcPr>
            <w:tcW w:w="1040" w:type="dxa"/>
            <w:vAlign w:val="bottom"/>
            <w:gridSpan w:val="3"/>
          </w:tcPr>
          <w:p>
            <w:pPr>
              <w:jc w:val="right"/>
              <w:ind w:right="240"/>
              <w:spacing w:after="0" w:line="135" w:lineRule="exact"/>
              <w:rPr>
                <w:sz w:val="20"/>
                <w:szCs w:val="20"/>
                <w:color w:val="auto"/>
              </w:rPr>
            </w:pPr>
            <w:r>
              <w:rPr>
                <w:rFonts w:ascii="Arial" w:cs="Arial" w:eastAsia="Arial" w:hAnsi="Arial"/>
                <w:sz w:val="12"/>
                <w:szCs w:val="12"/>
                <w:color w:val="auto"/>
              </w:rPr>
              <w:t>$  18,697,637</w:t>
            </w:r>
          </w:p>
        </w:tc>
        <w:tc>
          <w:tcPr>
            <w:tcW w:w="80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w w:val="87"/>
              </w:rPr>
              <w:t>$  19,145,804</w:t>
            </w:r>
          </w:p>
        </w:tc>
        <w:tc>
          <w:tcPr>
            <w:tcW w:w="0" w:type="dxa"/>
            <w:vAlign w:val="bottom"/>
          </w:tcPr>
          <w:p>
            <w:pPr>
              <w:spacing w:after="0"/>
              <w:rPr>
                <w:sz w:val="1"/>
                <w:szCs w:val="1"/>
                <w:color w:val="auto"/>
              </w:rPr>
            </w:pPr>
          </w:p>
        </w:tc>
      </w:tr>
      <w:tr>
        <w:trPr>
          <w:trHeight w:val="129"/>
        </w:trPr>
        <w:tc>
          <w:tcPr>
            <w:tcW w:w="290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 xml:space="preserve">Affinion Group Holdings, Inc. </w:t>
            </w:r>
            <w:r>
              <w:rPr>
                <w:rFonts w:ascii="Arial" w:cs="Arial" w:eastAsia="Arial" w:hAnsi="Arial"/>
                <w:sz w:val="9"/>
                <w:szCs w:val="9"/>
                <w:color w:val="auto"/>
              </w:rPr>
              <w:t>(5)</w:t>
            </w:r>
          </w:p>
        </w:tc>
        <w:tc>
          <w:tcPr>
            <w:tcW w:w="1140" w:type="dxa"/>
            <w:vAlign w:val="bottom"/>
            <w:shd w:val="clear" w:color="auto" w:fill="CCEEFF"/>
          </w:tcPr>
          <w:p>
            <w:pPr>
              <w:jc w:val="center"/>
              <w:ind w:left="242"/>
              <w:spacing w:after="0" w:line="129" w:lineRule="exact"/>
              <w:rPr>
                <w:sz w:val="20"/>
                <w:szCs w:val="20"/>
                <w:color w:val="auto"/>
              </w:rPr>
            </w:pPr>
            <w:r>
              <w:rPr>
                <w:rFonts w:ascii="Arial" w:cs="Arial" w:eastAsia="Arial" w:hAnsi="Arial"/>
                <w:sz w:val="12"/>
                <w:szCs w:val="12"/>
                <w:color w:val="auto"/>
                <w:w w:val="86"/>
              </w:rPr>
              <w:t>09/14/2018</w:t>
            </w:r>
          </w:p>
        </w:tc>
        <w:tc>
          <w:tcPr>
            <w:tcW w:w="208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86"/>
              </w:rPr>
              <w:t>Consumer Products</w:t>
            </w:r>
          </w:p>
        </w:tc>
        <w:tc>
          <w:tcPr>
            <w:tcW w:w="1180" w:type="dxa"/>
            <w:vAlign w:val="bottom"/>
            <w:shd w:val="clear" w:color="auto" w:fill="CCEEFF"/>
          </w:tcPr>
          <w:p>
            <w:pPr>
              <w:jc w:val="right"/>
              <w:ind w:right="322"/>
              <w:spacing w:after="0" w:line="129" w:lineRule="exact"/>
              <w:rPr>
                <w:sz w:val="20"/>
                <w:szCs w:val="20"/>
                <w:color w:val="auto"/>
              </w:rPr>
            </w:pPr>
            <w:r>
              <w:rPr>
                <w:rFonts w:ascii="Arial" w:cs="Arial" w:eastAsia="Arial" w:hAnsi="Arial"/>
                <w:sz w:val="12"/>
                <w:szCs w:val="12"/>
                <w:color w:val="auto"/>
              </w:rPr>
              <w:t>14.50</w:t>
            </w:r>
          </w:p>
        </w:tc>
        <w:tc>
          <w:tcPr>
            <w:tcW w:w="1040" w:type="dxa"/>
            <w:vAlign w:val="bottom"/>
            <w:shd w:val="clear" w:color="auto" w:fill="CCEEFF"/>
          </w:tcPr>
          <w:p>
            <w:pPr>
              <w:ind w:left="720"/>
              <w:spacing w:after="0" w:line="129" w:lineRule="exact"/>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62"/>
              <w:spacing w:after="0" w:line="129" w:lineRule="exact"/>
              <w:rPr>
                <w:sz w:val="20"/>
                <w:szCs w:val="20"/>
                <w:color w:val="auto"/>
              </w:rPr>
            </w:pPr>
            <w:r>
              <w:rPr>
                <w:rFonts w:ascii="Arial" w:cs="Arial" w:eastAsia="Arial" w:hAnsi="Arial"/>
                <w:sz w:val="12"/>
                <w:szCs w:val="12"/>
                <w:color w:val="auto"/>
              </w:rPr>
              <w:t>35,983,184</w:t>
            </w:r>
          </w:p>
        </w:tc>
        <w:tc>
          <w:tcPr>
            <w:tcW w:w="1040" w:type="dxa"/>
            <w:vAlign w:val="bottom"/>
            <w:gridSpan w:val="3"/>
            <w:shd w:val="clear" w:color="auto" w:fill="CCEEFF"/>
          </w:tcPr>
          <w:p>
            <w:pPr>
              <w:jc w:val="right"/>
              <w:ind w:right="240"/>
              <w:spacing w:after="0" w:line="129" w:lineRule="exact"/>
              <w:rPr>
                <w:sz w:val="20"/>
                <w:szCs w:val="20"/>
                <w:color w:val="auto"/>
              </w:rPr>
            </w:pPr>
            <w:r>
              <w:rPr>
                <w:rFonts w:ascii="Arial" w:cs="Arial" w:eastAsia="Arial" w:hAnsi="Arial"/>
                <w:sz w:val="12"/>
                <w:szCs w:val="12"/>
                <w:color w:val="auto"/>
              </w:rPr>
              <w:t>31,471,438</w:t>
            </w:r>
          </w:p>
        </w:tc>
        <w:tc>
          <w:tcPr>
            <w:tcW w:w="80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30,585,706</w:t>
            </w:r>
          </w:p>
        </w:tc>
        <w:tc>
          <w:tcPr>
            <w:tcW w:w="0" w:type="dxa"/>
            <w:vAlign w:val="bottom"/>
          </w:tcPr>
          <w:p>
            <w:pPr>
              <w:spacing w:after="0"/>
              <w:rPr>
                <w:sz w:val="1"/>
                <w:szCs w:val="1"/>
                <w:color w:val="auto"/>
              </w:rPr>
            </w:pPr>
          </w:p>
        </w:tc>
      </w:tr>
      <w:tr>
        <w:trPr>
          <w:trHeight w:val="155"/>
        </w:trPr>
        <w:tc>
          <w:tcPr>
            <w:tcW w:w="29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08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182"/>
              <w:spacing w:after="0"/>
              <w:rPr>
                <w:sz w:val="20"/>
                <w:szCs w:val="20"/>
                <w:color w:val="auto"/>
              </w:rPr>
            </w:pPr>
            <w:r>
              <w:rPr>
                <w:rFonts w:ascii="Arial" w:cs="Arial" w:eastAsia="Arial" w:hAnsi="Arial"/>
                <w:sz w:val="12"/>
                <w:szCs w:val="12"/>
                <w:color w:val="auto"/>
              </w:rPr>
              <w:t>(PIK 14.50%)</w:t>
            </w:r>
          </w:p>
        </w:tc>
        <w:tc>
          <w:tcPr>
            <w:tcW w:w="10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900" w:type="dxa"/>
            <w:vAlign w:val="bottom"/>
          </w:tcPr>
          <w:p>
            <w:pPr>
              <w:spacing w:after="0" w:line="135" w:lineRule="exact"/>
              <w:rPr>
                <w:sz w:val="20"/>
                <w:szCs w:val="20"/>
                <w:color w:val="auto"/>
              </w:rPr>
            </w:pPr>
            <w:r>
              <w:rPr>
                <w:rFonts w:ascii="Arial" w:cs="Arial" w:eastAsia="Arial" w:hAnsi="Arial"/>
                <w:sz w:val="12"/>
                <w:szCs w:val="12"/>
                <w:color w:val="auto"/>
              </w:rPr>
              <w:t xml:space="preserve">Affinion Investments LLC </w:t>
            </w:r>
            <w:r>
              <w:rPr>
                <w:rFonts w:ascii="Arial" w:cs="Arial" w:eastAsia="Arial" w:hAnsi="Arial"/>
                <w:sz w:val="9"/>
                <w:szCs w:val="9"/>
                <w:color w:val="auto"/>
              </w:rPr>
              <w:t>(5)</w:t>
            </w:r>
          </w:p>
        </w:tc>
        <w:tc>
          <w:tcPr>
            <w:tcW w:w="1140" w:type="dxa"/>
            <w:vAlign w:val="bottom"/>
          </w:tcPr>
          <w:p>
            <w:pPr>
              <w:jc w:val="center"/>
              <w:ind w:left="242"/>
              <w:spacing w:after="0" w:line="135" w:lineRule="exact"/>
              <w:rPr>
                <w:sz w:val="20"/>
                <w:szCs w:val="20"/>
                <w:color w:val="auto"/>
              </w:rPr>
            </w:pPr>
            <w:r>
              <w:rPr>
                <w:rFonts w:ascii="Arial" w:cs="Arial" w:eastAsia="Arial" w:hAnsi="Arial"/>
                <w:sz w:val="12"/>
                <w:szCs w:val="12"/>
                <w:color w:val="auto"/>
                <w:w w:val="86"/>
              </w:rPr>
              <w:t>08/15/2018</w:t>
            </w:r>
          </w:p>
        </w:tc>
        <w:tc>
          <w:tcPr>
            <w:tcW w:w="2080" w:type="dxa"/>
            <w:vAlign w:val="bottom"/>
          </w:tcPr>
          <w:p>
            <w:pPr>
              <w:jc w:val="center"/>
              <w:spacing w:after="0" w:line="135" w:lineRule="exact"/>
              <w:rPr>
                <w:sz w:val="20"/>
                <w:szCs w:val="20"/>
                <w:color w:val="auto"/>
              </w:rPr>
            </w:pPr>
            <w:r>
              <w:rPr>
                <w:rFonts w:ascii="Arial" w:cs="Arial" w:eastAsia="Arial" w:hAnsi="Arial"/>
                <w:sz w:val="12"/>
                <w:szCs w:val="12"/>
                <w:color w:val="auto"/>
                <w:w w:val="86"/>
              </w:rPr>
              <w:t>Consumer Products</w:t>
            </w:r>
          </w:p>
        </w:tc>
        <w:tc>
          <w:tcPr>
            <w:tcW w:w="1180" w:type="dxa"/>
            <w:vAlign w:val="bottom"/>
          </w:tcPr>
          <w:p>
            <w:pPr>
              <w:jc w:val="right"/>
              <w:ind w:right="222"/>
              <w:spacing w:after="0" w:line="135" w:lineRule="exact"/>
              <w:rPr>
                <w:sz w:val="20"/>
                <w:szCs w:val="20"/>
                <w:color w:val="auto"/>
              </w:rPr>
            </w:pPr>
            <w:r>
              <w:rPr>
                <w:rFonts w:ascii="Arial" w:cs="Arial" w:eastAsia="Arial" w:hAnsi="Arial"/>
                <w:sz w:val="12"/>
                <w:szCs w:val="12"/>
                <w:color w:val="auto"/>
              </w:rPr>
              <w:t>13.50%</w:t>
            </w:r>
          </w:p>
        </w:tc>
        <w:tc>
          <w:tcPr>
            <w:tcW w:w="1040" w:type="dxa"/>
            <w:vAlign w:val="bottom"/>
          </w:tcPr>
          <w:p>
            <w:pPr>
              <w:ind w:left="720"/>
              <w:spacing w:after="0" w:line="135" w:lineRule="exact"/>
              <w:rPr>
                <w:sz w:val="20"/>
                <w:szCs w:val="20"/>
                <w:color w:val="auto"/>
              </w:rPr>
            </w:pPr>
            <w:r>
              <w:rPr>
                <w:rFonts w:ascii="Arial" w:cs="Arial" w:eastAsia="Arial" w:hAnsi="Arial"/>
                <w:sz w:val="12"/>
                <w:szCs w:val="12"/>
                <w:color w:val="auto"/>
              </w:rPr>
              <w:t>—</w:t>
            </w:r>
          </w:p>
        </w:tc>
        <w:tc>
          <w:tcPr>
            <w:tcW w:w="840" w:type="dxa"/>
            <w:vAlign w:val="bottom"/>
          </w:tcPr>
          <w:p>
            <w:pPr>
              <w:jc w:val="right"/>
              <w:ind w:right="62"/>
              <w:spacing w:after="0" w:line="135" w:lineRule="exact"/>
              <w:rPr>
                <w:sz w:val="20"/>
                <w:szCs w:val="20"/>
                <w:color w:val="auto"/>
              </w:rPr>
            </w:pPr>
            <w:r>
              <w:rPr>
                <w:rFonts w:ascii="Arial" w:cs="Arial" w:eastAsia="Arial" w:hAnsi="Arial"/>
                <w:sz w:val="12"/>
                <w:szCs w:val="12"/>
                <w:color w:val="auto"/>
              </w:rPr>
              <w:t>15,096,000</w:t>
            </w:r>
          </w:p>
        </w:tc>
        <w:tc>
          <w:tcPr>
            <w:tcW w:w="1040" w:type="dxa"/>
            <w:vAlign w:val="bottom"/>
            <w:gridSpan w:val="3"/>
          </w:tcPr>
          <w:p>
            <w:pPr>
              <w:jc w:val="right"/>
              <w:ind w:right="240"/>
              <w:spacing w:after="0" w:line="135" w:lineRule="exact"/>
              <w:rPr>
                <w:sz w:val="20"/>
                <w:szCs w:val="20"/>
                <w:color w:val="auto"/>
              </w:rPr>
            </w:pPr>
            <w:r>
              <w:rPr>
                <w:rFonts w:ascii="Arial" w:cs="Arial" w:eastAsia="Arial" w:hAnsi="Arial"/>
                <w:sz w:val="12"/>
                <w:szCs w:val="12"/>
                <w:color w:val="auto"/>
              </w:rPr>
              <w:t>15,096,000</w:t>
            </w:r>
          </w:p>
        </w:tc>
        <w:tc>
          <w:tcPr>
            <w:tcW w:w="80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14,039,280</w:t>
            </w:r>
          </w:p>
        </w:tc>
        <w:tc>
          <w:tcPr>
            <w:tcW w:w="0" w:type="dxa"/>
            <w:vAlign w:val="bottom"/>
          </w:tcPr>
          <w:p>
            <w:pPr>
              <w:spacing w:after="0"/>
              <w:rPr>
                <w:sz w:val="1"/>
                <w:szCs w:val="1"/>
                <w:color w:val="auto"/>
              </w:rPr>
            </w:pPr>
          </w:p>
        </w:tc>
      </w:tr>
      <w:tr>
        <w:trPr>
          <w:trHeight w:val="135"/>
        </w:trPr>
        <w:tc>
          <w:tcPr>
            <w:tcW w:w="29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Alegeus Technologies, LLC</w:t>
            </w:r>
          </w:p>
        </w:tc>
        <w:tc>
          <w:tcPr>
            <w:tcW w:w="1140" w:type="dxa"/>
            <w:vAlign w:val="bottom"/>
            <w:shd w:val="clear" w:color="auto" w:fill="CCEEFF"/>
          </w:tcPr>
          <w:p>
            <w:pPr>
              <w:jc w:val="center"/>
              <w:ind w:left="242"/>
              <w:spacing w:after="0" w:line="135" w:lineRule="exact"/>
              <w:rPr>
                <w:sz w:val="20"/>
                <w:szCs w:val="20"/>
                <w:color w:val="auto"/>
              </w:rPr>
            </w:pPr>
            <w:r>
              <w:rPr>
                <w:rFonts w:ascii="Arial" w:cs="Arial" w:eastAsia="Arial" w:hAnsi="Arial"/>
                <w:sz w:val="12"/>
                <w:szCs w:val="12"/>
                <w:color w:val="auto"/>
                <w:w w:val="86"/>
              </w:rPr>
              <w:t>02/15/2019</w:t>
            </w:r>
          </w:p>
        </w:tc>
        <w:tc>
          <w:tcPr>
            <w:tcW w:w="2080" w:type="dxa"/>
            <w:vAlign w:val="bottom"/>
            <w:shd w:val="clear" w:color="auto" w:fill="CCEEFF"/>
          </w:tcPr>
          <w:p>
            <w:pPr>
              <w:jc w:val="center"/>
              <w:ind w:right="2"/>
              <w:spacing w:after="0" w:line="135" w:lineRule="exact"/>
              <w:rPr>
                <w:sz w:val="20"/>
                <w:szCs w:val="20"/>
                <w:color w:val="auto"/>
              </w:rPr>
            </w:pPr>
            <w:r>
              <w:rPr>
                <w:rFonts w:ascii="Arial" w:cs="Arial" w:eastAsia="Arial" w:hAnsi="Arial"/>
                <w:sz w:val="12"/>
                <w:szCs w:val="12"/>
                <w:color w:val="auto"/>
                <w:w w:val="88"/>
              </w:rPr>
              <w:t>Financial Services</w:t>
            </w:r>
          </w:p>
        </w:tc>
        <w:tc>
          <w:tcPr>
            <w:tcW w:w="1180" w:type="dxa"/>
            <w:vAlign w:val="bottom"/>
            <w:shd w:val="clear" w:color="auto" w:fill="CCEEFF"/>
          </w:tcPr>
          <w:p>
            <w:pPr>
              <w:jc w:val="right"/>
              <w:ind w:right="222"/>
              <w:spacing w:after="0" w:line="135" w:lineRule="exact"/>
              <w:rPr>
                <w:sz w:val="20"/>
                <w:szCs w:val="20"/>
                <w:color w:val="auto"/>
              </w:rPr>
            </w:pPr>
            <w:r>
              <w:rPr>
                <w:rFonts w:ascii="Arial" w:cs="Arial" w:eastAsia="Arial" w:hAnsi="Arial"/>
                <w:sz w:val="12"/>
                <w:szCs w:val="12"/>
                <w:color w:val="auto"/>
              </w:rPr>
              <w:t>12.00%</w:t>
            </w:r>
          </w:p>
        </w:tc>
        <w:tc>
          <w:tcPr>
            <w:tcW w:w="1040" w:type="dxa"/>
            <w:vAlign w:val="bottom"/>
            <w:shd w:val="clear" w:color="auto" w:fill="CCEEFF"/>
          </w:tcPr>
          <w:p>
            <w:pPr>
              <w:ind w:left="720"/>
              <w:spacing w:after="0" w:line="135" w:lineRule="exact"/>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62"/>
              <w:spacing w:after="0" w:line="135" w:lineRule="exact"/>
              <w:rPr>
                <w:sz w:val="20"/>
                <w:szCs w:val="20"/>
                <w:color w:val="auto"/>
              </w:rPr>
            </w:pPr>
            <w:r>
              <w:rPr>
                <w:rFonts w:ascii="Arial" w:cs="Arial" w:eastAsia="Arial" w:hAnsi="Arial"/>
                <w:sz w:val="12"/>
                <w:szCs w:val="12"/>
                <w:color w:val="auto"/>
              </w:rPr>
              <w:t>8,930,000</w:t>
            </w:r>
          </w:p>
        </w:tc>
        <w:tc>
          <w:tcPr>
            <w:tcW w:w="1040" w:type="dxa"/>
            <w:vAlign w:val="bottom"/>
            <w:gridSpan w:val="3"/>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8,795,450</w:t>
            </w:r>
          </w:p>
        </w:tc>
        <w:tc>
          <w:tcPr>
            <w:tcW w:w="8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8,805,334</w:t>
            </w:r>
          </w:p>
        </w:tc>
        <w:tc>
          <w:tcPr>
            <w:tcW w:w="0" w:type="dxa"/>
            <w:vAlign w:val="bottom"/>
          </w:tcPr>
          <w:p>
            <w:pPr>
              <w:spacing w:after="0"/>
              <w:rPr>
                <w:sz w:val="1"/>
                <w:szCs w:val="1"/>
                <w:color w:val="auto"/>
              </w:rPr>
            </w:pPr>
          </w:p>
        </w:tc>
      </w:tr>
      <w:tr>
        <w:trPr>
          <w:trHeight w:val="129"/>
        </w:trPr>
        <w:tc>
          <w:tcPr>
            <w:tcW w:w="2900" w:type="dxa"/>
            <w:vAlign w:val="bottom"/>
          </w:tcPr>
          <w:p>
            <w:pPr>
              <w:spacing w:after="0" w:line="129" w:lineRule="exact"/>
              <w:rPr>
                <w:sz w:val="20"/>
                <w:szCs w:val="20"/>
                <w:color w:val="auto"/>
              </w:rPr>
            </w:pPr>
            <w:r>
              <w:rPr>
                <w:rFonts w:ascii="Arial" w:cs="Arial" w:eastAsia="Arial" w:hAnsi="Arial"/>
                <w:sz w:val="12"/>
                <w:szCs w:val="12"/>
                <w:color w:val="auto"/>
              </w:rPr>
              <w:t>Convergint Technologies LLC</w:t>
            </w:r>
          </w:p>
        </w:tc>
        <w:tc>
          <w:tcPr>
            <w:tcW w:w="1140" w:type="dxa"/>
            <w:vAlign w:val="bottom"/>
          </w:tcPr>
          <w:p>
            <w:pPr>
              <w:jc w:val="center"/>
              <w:ind w:left="242"/>
              <w:spacing w:after="0" w:line="129" w:lineRule="exact"/>
              <w:rPr>
                <w:sz w:val="20"/>
                <w:szCs w:val="20"/>
                <w:color w:val="auto"/>
              </w:rPr>
            </w:pPr>
            <w:r>
              <w:rPr>
                <w:rFonts w:ascii="Arial" w:cs="Arial" w:eastAsia="Arial" w:hAnsi="Arial"/>
                <w:sz w:val="12"/>
                <w:szCs w:val="12"/>
                <w:color w:val="auto"/>
                <w:w w:val="86"/>
              </w:rPr>
              <w:t>03/26/2018</w:t>
            </w:r>
          </w:p>
        </w:tc>
        <w:tc>
          <w:tcPr>
            <w:tcW w:w="2080" w:type="dxa"/>
            <w:vAlign w:val="bottom"/>
          </w:tcPr>
          <w:p>
            <w:pPr>
              <w:jc w:val="center"/>
              <w:spacing w:after="0" w:line="129" w:lineRule="exact"/>
              <w:rPr>
                <w:sz w:val="20"/>
                <w:szCs w:val="20"/>
                <w:color w:val="auto"/>
              </w:rPr>
            </w:pPr>
            <w:r>
              <w:rPr>
                <w:rFonts w:ascii="Arial" w:cs="Arial" w:eastAsia="Arial" w:hAnsi="Arial"/>
                <w:sz w:val="12"/>
                <w:szCs w:val="12"/>
                <w:color w:val="auto"/>
                <w:w w:val="88"/>
              </w:rPr>
              <w:t>Electronics</w:t>
            </w:r>
          </w:p>
        </w:tc>
        <w:tc>
          <w:tcPr>
            <w:tcW w:w="1180" w:type="dxa"/>
            <w:vAlign w:val="bottom"/>
          </w:tcPr>
          <w:p>
            <w:pPr>
              <w:jc w:val="right"/>
              <w:ind w:right="322"/>
              <w:spacing w:after="0" w:line="129" w:lineRule="exact"/>
              <w:rPr>
                <w:sz w:val="20"/>
                <w:szCs w:val="20"/>
                <w:color w:val="auto"/>
              </w:rPr>
            </w:pPr>
            <w:r>
              <w:rPr>
                <w:rFonts w:ascii="Arial" w:cs="Arial" w:eastAsia="Arial" w:hAnsi="Arial"/>
                <w:sz w:val="12"/>
                <w:szCs w:val="12"/>
                <w:color w:val="auto"/>
              </w:rPr>
              <w:t>12.00</w:t>
            </w:r>
          </w:p>
        </w:tc>
        <w:tc>
          <w:tcPr>
            <w:tcW w:w="1040" w:type="dxa"/>
            <w:vAlign w:val="bottom"/>
          </w:tcPr>
          <w:p>
            <w:pPr>
              <w:ind w:left="720"/>
              <w:spacing w:after="0" w:line="129" w:lineRule="exact"/>
              <w:rPr>
                <w:sz w:val="20"/>
                <w:szCs w:val="20"/>
                <w:color w:val="auto"/>
              </w:rPr>
            </w:pPr>
            <w:r>
              <w:rPr>
                <w:rFonts w:ascii="Arial" w:cs="Arial" w:eastAsia="Arial" w:hAnsi="Arial"/>
                <w:sz w:val="12"/>
                <w:szCs w:val="12"/>
                <w:color w:val="auto"/>
              </w:rPr>
              <w:t>—</w:t>
            </w:r>
          </w:p>
        </w:tc>
        <w:tc>
          <w:tcPr>
            <w:tcW w:w="840" w:type="dxa"/>
            <w:vAlign w:val="bottom"/>
          </w:tcPr>
          <w:p>
            <w:pPr>
              <w:jc w:val="right"/>
              <w:ind w:right="62"/>
              <w:spacing w:after="0" w:line="129" w:lineRule="exact"/>
              <w:rPr>
                <w:sz w:val="20"/>
                <w:szCs w:val="20"/>
                <w:color w:val="auto"/>
              </w:rPr>
            </w:pPr>
            <w:r>
              <w:rPr>
                <w:rFonts w:ascii="Arial" w:cs="Arial" w:eastAsia="Arial" w:hAnsi="Arial"/>
                <w:sz w:val="12"/>
                <w:szCs w:val="12"/>
                <w:color w:val="auto"/>
              </w:rPr>
              <w:t>23,753,813</w:t>
            </w:r>
          </w:p>
        </w:tc>
        <w:tc>
          <w:tcPr>
            <w:tcW w:w="1040" w:type="dxa"/>
            <w:vAlign w:val="bottom"/>
            <w:gridSpan w:val="3"/>
          </w:tcPr>
          <w:p>
            <w:pPr>
              <w:jc w:val="right"/>
              <w:ind w:right="240"/>
              <w:spacing w:after="0" w:line="129" w:lineRule="exact"/>
              <w:rPr>
                <w:sz w:val="20"/>
                <w:szCs w:val="20"/>
                <w:color w:val="auto"/>
              </w:rPr>
            </w:pPr>
            <w:r>
              <w:rPr>
                <w:rFonts w:ascii="Arial" w:cs="Arial" w:eastAsia="Arial" w:hAnsi="Arial"/>
                <w:sz w:val="12"/>
                <w:szCs w:val="12"/>
                <w:color w:val="auto"/>
              </w:rPr>
              <w:t>23,422,959</w:t>
            </w:r>
          </w:p>
        </w:tc>
        <w:tc>
          <w:tcPr>
            <w:tcW w:w="80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23,991,351</w:t>
            </w:r>
          </w:p>
        </w:tc>
        <w:tc>
          <w:tcPr>
            <w:tcW w:w="0" w:type="dxa"/>
            <w:vAlign w:val="bottom"/>
          </w:tcPr>
          <w:p>
            <w:pPr>
              <w:spacing w:after="0"/>
              <w:rPr>
                <w:sz w:val="1"/>
                <w:szCs w:val="1"/>
                <w:color w:val="auto"/>
              </w:rPr>
            </w:pPr>
          </w:p>
        </w:tc>
      </w:tr>
      <w:tr>
        <w:trPr>
          <w:trHeight w:val="151"/>
        </w:trPr>
        <w:tc>
          <w:tcPr>
            <w:tcW w:w="29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180" w:type="dxa"/>
            <w:vAlign w:val="bottom"/>
          </w:tcPr>
          <w:p>
            <w:pPr>
              <w:jc w:val="right"/>
              <w:ind w:right="182"/>
              <w:spacing w:after="0"/>
              <w:rPr>
                <w:sz w:val="20"/>
                <w:szCs w:val="20"/>
                <w:color w:val="auto"/>
              </w:rPr>
            </w:pPr>
            <w:r>
              <w:rPr>
                <w:rFonts w:ascii="Arial" w:cs="Arial" w:eastAsia="Arial" w:hAnsi="Arial"/>
                <w:sz w:val="12"/>
                <w:szCs w:val="12"/>
                <w:color w:val="auto"/>
              </w:rPr>
              <w:t>(PIK 1.00%)</w:t>
            </w:r>
          </w:p>
        </w:tc>
        <w:tc>
          <w:tcPr>
            <w:tcW w:w="10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900" w:type="dxa"/>
            <w:vAlign w:val="bottom"/>
            <w:shd w:val="clear" w:color="auto" w:fill="CCEEFF"/>
          </w:tcPr>
          <w:p>
            <w:pPr>
              <w:spacing w:after="0" w:line="132" w:lineRule="exact"/>
              <w:rPr>
                <w:sz w:val="20"/>
                <w:szCs w:val="20"/>
                <w:color w:val="auto"/>
              </w:rPr>
            </w:pPr>
            <w:r>
              <w:rPr>
                <w:rFonts w:ascii="Arial" w:cs="Arial" w:eastAsia="Arial" w:hAnsi="Arial"/>
                <w:sz w:val="12"/>
                <w:szCs w:val="12"/>
                <w:color w:val="auto"/>
              </w:rPr>
              <w:t>Credit Infonet, Inc.</w:t>
            </w:r>
          </w:p>
        </w:tc>
        <w:tc>
          <w:tcPr>
            <w:tcW w:w="1140" w:type="dxa"/>
            <w:vAlign w:val="bottom"/>
            <w:shd w:val="clear" w:color="auto" w:fill="CCEEFF"/>
          </w:tcPr>
          <w:p>
            <w:pPr>
              <w:jc w:val="center"/>
              <w:ind w:left="242"/>
              <w:spacing w:after="0" w:line="132" w:lineRule="exact"/>
              <w:rPr>
                <w:sz w:val="20"/>
                <w:szCs w:val="20"/>
                <w:color w:val="auto"/>
              </w:rPr>
            </w:pPr>
            <w:r>
              <w:rPr>
                <w:rFonts w:ascii="Arial" w:cs="Arial" w:eastAsia="Arial" w:hAnsi="Arial"/>
                <w:sz w:val="12"/>
                <w:szCs w:val="12"/>
                <w:color w:val="auto"/>
                <w:w w:val="86"/>
              </w:rPr>
              <w:t>10/26/2018</w:t>
            </w:r>
          </w:p>
        </w:tc>
        <w:tc>
          <w:tcPr>
            <w:tcW w:w="2080" w:type="dxa"/>
            <w:vAlign w:val="bottom"/>
            <w:shd w:val="clear" w:color="auto" w:fill="CCEEFF"/>
          </w:tcPr>
          <w:p>
            <w:pPr>
              <w:jc w:val="center"/>
              <w:ind w:right="2"/>
              <w:spacing w:after="0" w:line="132" w:lineRule="exact"/>
              <w:rPr>
                <w:sz w:val="20"/>
                <w:szCs w:val="20"/>
                <w:color w:val="auto"/>
              </w:rPr>
            </w:pPr>
            <w:r>
              <w:rPr>
                <w:rFonts w:ascii="Arial" w:cs="Arial" w:eastAsia="Arial" w:hAnsi="Arial"/>
                <w:sz w:val="12"/>
                <w:szCs w:val="12"/>
                <w:color w:val="auto"/>
                <w:w w:val="85"/>
              </w:rPr>
              <w:t>Personal, Food and</w:t>
            </w:r>
          </w:p>
        </w:tc>
        <w:tc>
          <w:tcPr>
            <w:tcW w:w="1180" w:type="dxa"/>
            <w:vAlign w:val="bottom"/>
            <w:shd w:val="clear" w:color="auto" w:fill="CCEEFF"/>
          </w:tcPr>
          <w:p>
            <w:pPr>
              <w:jc w:val="right"/>
              <w:ind w:right="322"/>
              <w:spacing w:after="0" w:line="132" w:lineRule="exact"/>
              <w:rPr>
                <w:sz w:val="20"/>
                <w:szCs w:val="20"/>
                <w:color w:val="auto"/>
              </w:rPr>
            </w:pPr>
            <w:r>
              <w:rPr>
                <w:rFonts w:ascii="Arial" w:cs="Arial" w:eastAsia="Arial" w:hAnsi="Arial"/>
                <w:sz w:val="12"/>
                <w:szCs w:val="12"/>
                <w:color w:val="auto"/>
              </w:rPr>
              <w:t>12.50</w:t>
            </w:r>
          </w:p>
        </w:tc>
        <w:tc>
          <w:tcPr>
            <w:tcW w:w="1040" w:type="dxa"/>
            <w:vAlign w:val="bottom"/>
            <w:shd w:val="clear" w:color="auto" w:fill="CCEEFF"/>
          </w:tcPr>
          <w:p>
            <w:pPr>
              <w:ind w:left="720"/>
              <w:spacing w:after="0" w:line="132" w:lineRule="exact"/>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62"/>
              <w:spacing w:after="0" w:line="132" w:lineRule="exact"/>
              <w:rPr>
                <w:sz w:val="20"/>
                <w:szCs w:val="20"/>
                <w:color w:val="auto"/>
              </w:rPr>
            </w:pPr>
            <w:r>
              <w:rPr>
                <w:rFonts w:ascii="Arial" w:cs="Arial" w:eastAsia="Arial" w:hAnsi="Arial"/>
                <w:sz w:val="12"/>
                <w:szCs w:val="12"/>
                <w:color w:val="auto"/>
              </w:rPr>
              <w:t>10,633,397</w:t>
            </w:r>
          </w:p>
        </w:tc>
        <w:tc>
          <w:tcPr>
            <w:tcW w:w="1040" w:type="dxa"/>
            <w:vAlign w:val="bottom"/>
            <w:gridSpan w:val="3"/>
            <w:shd w:val="clear" w:color="auto" w:fill="CCEEFF"/>
          </w:tcPr>
          <w:p>
            <w:pPr>
              <w:jc w:val="right"/>
              <w:ind w:right="240"/>
              <w:spacing w:after="0" w:line="132" w:lineRule="exact"/>
              <w:rPr>
                <w:sz w:val="20"/>
                <w:szCs w:val="20"/>
                <w:color w:val="auto"/>
              </w:rPr>
            </w:pPr>
            <w:r>
              <w:rPr>
                <w:rFonts w:ascii="Arial" w:cs="Arial" w:eastAsia="Arial" w:hAnsi="Arial"/>
                <w:sz w:val="12"/>
                <w:szCs w:val="12"/>
                <w:color w:val="auto"/>
              </w:rPr>
              <w:t>10,462,892</w:t>
            </w:r>
          </w:p>
        </w:tc>
        <w:tc>
          <w:tcPr>
            <w:tcW w:w="800" w:type="dxa"/>
            <w:vAlign w:val="bottom"/>
            <w:gridSpan w:val="2"/>
            <w:shd w:val="clear" w:color="auto" w:fill="CCEEFF"/>
          </w:tcPr>
          <w:p>
            <w:pPr>
              <w:jc w:val="right"/>
              <w:ind w:right="140"/>
              <w:spacing w:after="0" w:line="132" w:lineRule="exact"/>
              <w:rPr>
                <w:sz w:val="20"/>
                <w:szCs w:val="20"/>
                <w:color w:val="auto"/>
              </w:rPr>
            </w:pPr>
            <w:r>
              <w:rPr>
                <w:rFonts w:ascii="Arial" w:cs="Arial" w:eastAsia="Arial" w:hAnsi="Arial"/>
                <w:sz w:val="12"/>
                <w:szCs w:val="12"/>
                <w:color w:val="auto"/>
              </w:rPr>
              <w:t>10,261,422</w:t>
            </w:r>
          </w:p>
        </w:tc>
        <w:tc>
          <w:tcPr>
            <w:tcW w:w="0" w:type="dxa"/>
            <w:vAlign w:val="bottom"/>
          </w:tcPr>
          <w:p>
            <w:pPr>
              <w:spacing w:after="0"/>
              <w:rPr>
                <w:sz w:val="1"/>
                <w:szCs w:val="1"/>
                <w:color w:val="auto"/>
              </w:rPr>
            </w:pPr>
          </w:p>
        </w:tc>
      </w:tr>
      <w:tr>
        <w:trPr>
          <w:trHeight w:val="155"/>
        </w:trPr>
        <w:tc>
          <w:tcPr>
            <w:tcW w:w="29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080" w:type="dxa"/>
            <w:vAlign w:val="bottom"/>
            <w:shd w:val="clear" w:color="auto" w:fill="CCEEFF"/>
          </w:tcPr>
          <w:p>
            <w:pPr>
              <w:jc w:val="center"/>
              <w:ind w:right="2"/>
              <w:spacing w:after="0"/>
              <w:rPr>
                <w:sz w:val="20"/>
                <w:szCs w:val="20"/>
                <w:color w:val="auto"/>
              </w:rPr>
            </w:pPr>
            <w:r>
              <w:rPr>
                <w:rFonts w:ascii="Arial" w:cs="Arial" w:eastAsia="Arial" w:hAnsi="Arial"/>
                <w:sz w:val="12"/>
                <w:szCs w:val="12"/>
                <w:color w:val="auto"/>
                <w:w w:val="87"/>
              </w:rPr>
              <w:t>Miscellaneous Services</w:t>
            </w:r>
          </w:p>
        </w:tc>
        <w:tc>
          <w:tcPr>
            <w:tcW w:w="1180" w:type="dxa"/>
            <w:vAlign w:val="bottom"/>
            <w:shd w:val="clear" w:color="auto" w:fill="CCEEFF"/>
          </w:tcPr>
          <w:p>
            <w:pPr>
              <w:jc w:val="right"/>
              <w:ind w:right="182"/>
              <w:spacing w:after="0"/>
              <w:rPr>
                <w:sz w:val="20"/>
                <w:szCs w:val="20"/>
                <w:color w:val="auto"/>
              </w:rPr>
            </w:pPr>
            <w:r>
              <w:rPr>
                <w:rFonts w:ascii="Arial" w:cs="Arial" w:eastAsia="Arial" w:hAnsi="Arial"/>
                <w:sz w:val="12"/>
                <w:szCs w:val="12"/>
                <w:color w:val="auto"/>
              </w:rPr>
              <w:t>(PIK 1.25%)</w:t>
            </w:r>
          </w:p>
        </w:tc>
        <w:tc>
          <w:tcPr>
            <w:tcW w:w="10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900" w:type="dxa"/>
            <w:vAlign w:val="bottom"/>
          </w:tcPr>
          <w:p>
            <w:pPr>
              <w:spacing w:after="0" w:line="135" w:lineRule="exact"/>
              <w:rPr>
                <w:sz w:val="20"/>
                <w:szCs w:val="20"/>
                <w:color w:val="auto"/>
              </w:rPr>
            </w:pPr>
            <w:r>
              <w:rPr>
                <w:rFonts w:ascii="Arial" w:cs="Arial" w:eastAsia="Arial" w:hAnsi="Arial"/>
                <w:sz w:val="12"/>
                <w:szCs w:val="12"/>
                <w:color w:val="auto"/>
              </w:rPr>
              <w:t>Energy &amp; Exploration Partners, Inc.</w:t>
            </w:r>
          </w:p>
        </w:tc>
        <w:tc>
          <w:tcPr>
            <w:tcW w:w="1140" w:type="dxa"/>
            <w:vAlign w:val="bottom"/>
          </w:tcPr>
          <w:p>
            <w:pPr>
              <w:jc w:val="center"/>
              <w:ind w:left="242"/>
              <w:spacing w:after="0" w:line="135" w:lineRule="exact"/>
              <w:rPr>
                <w:sz w:val="20"/>
                <w:szCs w:val="20"/>
                <w:color w:val="auto"/>
              </w:rPr>
            </w:pPr>
            <w:r>
              <w:rPr>
                <w:rFonts w:ascii="Arial" w:cs="Arial" w:eastAsia="Arial" w:hAnsi="Arial"/>
                <w:sz w:val="12"/>
                <w:szCs w:val="12"/>
                <w:color w:val="auto"/>
                <w:w w:val="86"/>
              </w:rPr>
              <w:t>07/01/2019</w:t>
            </w:r>
          </w:p>
        </w:tc>
        <w:tc>
          <w:tcPr>
            <w:tcW w:w="2080" w:type="dxa"/>
            <w:vAlign w:val="bottom"/>
          </w:tcPr>
          <w:p>
            <w:pPr>
              <w:jc w:val="center"/>
              <w:spacing w:after="0" w:line="135" w:lineRule="exact"/>
              <w:rPr>
                <w:sz w:val="20"/>
                <w:szCs w:val="20"/>
                <w:color w:val="auto"/>
              </w:rPr>
            </w:pPr>
            <w:r>
              <w:rPr>
                <w:rFonts w:ascii="Arial" w:cs="Arial" w:eastAsia="Arial" w:hAnsi="Arial"/>
                <w:sz w:val="12"/>
                <w:szCs w:val="12"/>
                <w:color w:val="auto"/>
                <w:w w:val="88"/>
              </w:rPr>
              <w:t>Oil and Gas</w:t>
            </w:r>
          </w:p>
        </w:tc>
        <w:tc>
          <w:tcPr>
            <w:tcW w:w="1180" w:type="dxa"/>
            <w:vAlign w:val="bottom"/>
          </w:tcPr>
          <w:p>
            <w:pPr>
              <w:jc w:val="right"/>
              <w:ind w:right="222"/>
              <w:spacing w:after="0" w:line="135" w:lineRule="exact"/>
              <w:rPr>
                <w:sz w:val="20"/>
                <w:szCs w:val="20"/>
                <w:color w:val="auto"/>
              </w:rPr>
            </w:pPr>
            <w:r>
              <w:rPr>
                <w:rFonts w:ascii="Arial" w:cs="Arial" w:eastAsia="Arial" w:hAnsi="Arial"/>
                <w:sz w:val="12"/>
                <w:szCs w:val="12"/>
                <w:color w:val="auto"/>
              </w:rPr>
              <w:t>8.00%</w:t>
            </w:r>
          </w:p>
        </w:tc>
        <w:tc>
          <w:tcPr>
            <w:tcW w:w="1040" w:type="dxa"/>
            <w:vAlign w:val="bottom"/>
          </w:tcPr>
          <w:p>
            <w:pPr>
              <w:ind w:left="720"/>
              <w:spacing w:after="0" w:line="135" w:lineRule="exact"/>
              <w:rPr>
                <w:sz w:val="20"/>
                <w:szCs w:val="20"/>
                <w:color w:val="auto"/>
              </w:rPr>
            </w:pPr>
            <w:r>
              <w:rPr>
                <w:rFonts w:ascii="Arial" w:cs="Arial" w:eastAsia="Arial" w:hAnsi="Arial"/>
                <w:sz w:val="12"/>
                <w:szCs w:val="12"/>
                <w:color w:val="auto"/>
              </w:rPr>
              <w:t>—</w:t>
            </w:r>
          </w:p>
        </w:tc>
        <w:tc>
          <w:tcPr>
            <w:tcW w:w="840" w:type="dxa"/>
            <w:vAlign w:val="bottom"/>
          </w:tcPr>
          <w:p>
            <w:pPr>
              <w:jc w:val="right"/>
              <w:ind w:right="62"/>
              <w:spacing w:after="0" w:line="135" w:lineRule="exact"/>
              <w:rPr>
                <w:sz w:val="20"/>
                <w:szCs w:val="20"/>
                <w:color w:val="auto"/>
              </w:rPr>
            </w:pPr>
            <w:r>
              <w:rPr>
                <w:rFonts w:ascii="Arial" w:cs="Arial" w:eastAsia="Arial" w:hAnsi="Arial"/>
                <w:sz w:val="12"/>
                <w:szCs w:val="12"/>
                <w:color w:val="auto"/>
              </w:rPr>
              <w:t>9,500,000</w:t>
            </w:r>
          </w:p>
        </w:tc>
        <w:tc>
          <w:tcPr>
            <w:tcW w:w="1040" w:type="dxa"/>
            <w:vAlign w:val="bottom"/>
            <w:gridSpan w:val="3"/>
          </w:tcPr>
          <w:p>
            <w:pPr>
              <w:jc w:val="right"/>
              <w:ind w:right="240"/>
              <w:spacing w:after="0" w:line="135" w:lineRule="exact"/>
              <w:rPr>
                <w:sz w:val="20"/>
                <w:szCs w:val="20"/>
                <w:color w:val="auto"/>
              </w:rPr>
            </w:pPr>
            <w:r>
              <w:rPr>
                <w:rFonts w:ascii="Arial" w:cs="Arial" w:eastAsia="Arial" w:hAnsi="Arial"/>
                <w:sz w:val="12"/>
                <w:szCs w:val="12"/>
                <w:color w:val="auto"/>
              </w:rPr>
              <w:t>9,500,000</w:t>
            </w:r>
          </w:p>
        </w:tc>
        <w:tc>
          <w:tcPr>
            <w:tcW w:w="80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9,310,000</w:t>
            </w:r>
          </w:p>
        </w:tc>
        <w:tc>
          <w:tcPr>
            <w:tcW w:w="0" w:type="dxa"/>
            <w:vAlign w:val="bottom"/>
          </w:tcPr>
          <w:p>
            <w:pPr>
              <w:spacing w:after="0"/>
              <w:rPr>
                <w:sz w:val="1"/>
                <w:szCs w:val="1"/>
                <w:color w:val="auto"/>
              </w:rPr>
            </w:pPr>
          </w:p>
        </w:tc>
      </w:tr>
      <w:tr>
        <w:trPr>
          <w:trHeight w:val="129"/>
        </w:trPr>
        <w:tc>
          <w:tcPr>
            <w:tcW w:w="290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JF Acquisition, LLC</w:t>
            </w:r>
          </w:p>
        </w:tc>
        <w:tc>
          <w:tcPr>
            <w:tcW w:w="1140" w:type="dxa"/>
            <w:vAlign w:val="bottom"/>
            <w:shd w:val="clear" w:color="auto" w:fill="CCEEFF"/>
          </w:tcPr>
          <w:p>
            <w:pPr>
              <w:jc w:val="center"/>
              <w:ind w:left="242"/>
              <w:spacing w:after="0" w:line="129" w:lineRule="exact"/>
              <w:rPr>
                <w:sz w:val="20"/>
                <w:szCs w:val="20"/>
                <w:color w:val="auto"/>
              </w:rPr>
            </w:pPr>
            <w:r>
              <w:rPr>
                <w:rFonts w:ascii="Arial" w:cs="Arial" w:eastAsia="Arial" w:hAnsi="Arial"/>
                <w:sz w:val="12"/>
                <w:szCs w:val="12"/>
                <w:color w:val="auto"/>
                <w:w w:val="86"/>
              </w:rPr>
              <w:t>06/30/2017</w:t>
            </w:r>
          </w:p>
        </w:tc>
        <w:tc>
          <w:tcPr>
            <w:tcW w:w="208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93"/>
              </w:rPr>
              <w:t>Distribution</w:t>
            </w:r>
          </w:p>
        </w:tc>
        <w:tc>
          <w:tcPr>
            <w:tcW w:w="1180" w:type="dxa"/>
            <w:vAlign w:val="bottom"/>
            <w:shd w:val="clear" w:color="auto" w:fill="CCEEFF"/>
          </w:tcPr>
          <w:p>
            <w:pPr>
              <w:jc w:val="right"/>
              <w:ind w:right="322"/>
              <w:spacing w:after="0" w:line="129" w:lineRule="exact"/>
              <w:rPr>
                <w:sz w:val="20"/>
                <w:szCs w:val="20"/>
                <w:color w:val="auto"/>
              </w:rPr>
            </w:pPr>
            <w:r>
              <w:rPr>
                <w:rFonts w:ascii="Arial" w:cs="Arial" w:eastAsia="Arial" w:hAnsi="Arial"/>
                <w:sz w:val="12"/>
                <w:szCs w:val="12"/>
                <w:color w:val="auto"/>
              </w:rPr>
              <w:t>14.00</w:t>
            </w:r>
          </w:p>
        </w:tc>
        <w:tc>
          <w:tcPr>
            <w:tcW w:w="1040" w:type="dxa"/>
            <w:vAlign w:val="bottom"/>
            <w:shd w:val="clear" w:color="auto" w:fill="CCEEFF"/>
          </w:tcPr>
          <w:p>
            <w:pPr>
              <w:ind w:left="720"/>
              <w:spacing w:after="0" w:line="129" w:lineRule="exact"/>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62"/>
              <w:spacing w:after="0" w:line="129" w:lineRule="exact"/>
              <w:rPr>
                <w:sz w:val="20"/>
                <w:szCs w:val="20"/>
                <w:color w:val="auto"/>
              </w:rPr>
            </w:pPr>
            <w:r>
              <w:rPr>
                <w:rFonts w:ascii="Arial" w:cs="Arial" w:eastAsia="Arial" w:hAnsi="Arial"/>
                <w:sz w:val="12"/>
                <w:szCs w:val="12"/>
                <w:color w:val="auto"/>
              </w:rPr>
              <w:t>19,874,148</w:t>
            </w:r>
          </w:p>
        </w:tc>
        <w:tc>
          <w:tcPr>
            <w:tcW w:w="1040" w:type="dxa"/>
            <w:vAlign w:val="bottom"/>
            <w:gridSpan w:val="3"/>
            <w:shd w:val="clear" w:color="auto" w:fill="CCEEFF"/>
          </w:tcPr>
          <w:p>
            <w:pPr>
              <w:jc w:val="right"/>
              <w:ind w:right="240"/>
              <w:spacing w:after="0" w:line="129" w:lineRule="exact"/>
              <w:rPr>
                <w:sz w:val="20"/>
                <w:szCs w:val="20"/>
                <w:color w:val="auto"/>
              </w:rPr>
            </w:pPr>
            <w:r>
              <w:rPr>
                <w:rFonts w:ascii="Arial" w:cs="Arial" w:eastAsia="Arial" w:hAnsi="Arial"/>
                <w:sz w:val="12"/>
                <w:szCs w:val="12"/>
                <w:color w:val="auto"/>
              </w:rPr>
              <w:t>19,543,873</w:t>
            </w:r>
          </w:p>
        </w:tc>
        <w:tc>
          <w:tcPr>
            <w:tcW w:w="80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17,886,733</w:t>
            </w:r>
          </w:p>
        </w:tc>
        <w:tc>
          <w:tcPr>
            <w:tcW w:w="0" w:type="dxa"/>
            <w:vAlign w:val="bottom"/>
          </w:tcPr>
          <w:p>
            <w:pPr>
              <w:spacing w:after="0"/>
              <w:rPr>
                <w:sz w:val="1"/>
                <w:szCs w:val="1"/>
                <w:color w:val="auto"/>
              </w:rPr>
            </w:pPr>
          </w:p>
        </w:tc>
      </w:tr>
      <w:tr>
        <w:trPr>
          <w:trHeight w:val="155"/>
        </w:trPr>
        <w:tc>
          <w:tcPr>
            <w:tcW w:w="29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08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182"/>
              <w:spacing w:after="0"/>
              <w:rPr>
                <w:sz w:val="20"/>
                <w:szCs w:val="20"/>
                <w:color w:val="auto"/>
              </w:rPr>
            </w:pPr>
            <w:r>
              <w:rPr>
                <w:rFonts w:ascii="Arial" w:cs="Arial" w:eastAsia="Arial" w:hAnsi="Arial"/>
                <w:sz w:val="12"/>
                <w:szCs w:val="12"/>
                <w:color w:val="auto"/>
              </w:rPr>
              <w:t>(PIK 2.00%)</w:t>
            </w:r>
          </w:p>
        </w:tc>
        <w:tc>
          <w:tcPr>
            <w:tcW w:w="10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900" w:type="dxa"/>
            <w:vAlign w:val="bottom"/>
          </w:tcPr>
          <w:p>
            <w:pPr>
              <w:spacing w:after="0" w:line="135" w:lineRule="exact"/>
              <w:rPr>
                <w:sz w:val="20"/>
                <w:szCs w:val="20"/>
                <w:color w:val="auto"/>
              </w:rPr>
            </w:pPr>
            <w:r>
              <w:rPr>
                <w:rFonts w:ascii="Arial" w:cs="Arial" w:eastAsia="Arial" w:hAnsi="Arial"/>
                <w:sz w:val="12"/>
                <w:szCs w:val="12"/>
                <w:color w:val="auto"/>
              </w:rPr>
              <w:t>MSPark, Inc.</w:t>
            </w:r>
          </w:p>
        </w:tc>
        <w:tc>
          <w:tcPr>
            <w:tcW w:w="1140" w:type="dxa"/>
            <w:vAlign w:val="bottom"/>
          </w:tcPr>
          <w:p>
            <w:pPr>
              <w:jc w:val="center"/>
              <w:ind w:left="242"/>
              <w:spacing w:after="0" w:line="135" w:lineRule="exact"/>
              <w:rPr>
                <w:sz w:val="20"/>
                <w:szCs w:val="20"/>
                <w:color w:val="auto"/>
              </w:rPr>
            </w:pPr>
            <w:r>
              <w:rPr>
                <w:rFonts w:ascii="Arial" w:cs="Arial" w:eastAsia="Arial" w:hAnsi="Arial"/>
                <w:sz w:val="12"/>
                <w:szCs w:val="12"/>
                <w:color w:val="auto"/>
                <w:w w:val="86"/>
              </w:rPr>
              <w:t>06/15/2017</w:t>
            </w:r>
          </w:p>
        </w:tc>
        <w:tc>
          <w:tcPr>
            <w:tcW w:w="2080" w:type="dxa"/>
            <w:vAlign w:val="bottom"/>
          </w:tcPr>
          <w:p>
            <w:pPr>
              <w:jc w:val="center"/>
              <w:ind w:right="2"/>
              <w:spacing w:after="0" w:line="135" w:lineRule="exact"/>
              <w:rPr>
                <w:sz w:val="20"/>
                <w:szCs w:val="20"/>
                <w:color w:val="auto"/>
              </w:rPr>
            </w:pPr>
            <w:r>
              <w:rPr>
                <w:rFonts w:ascii="Arial" w:cs="Arial" w:eastAsia="Arial" w:hAnsi="Arial"/>
                <w:sz w:val="12"/>
                <w:szCs w:val="12"/>
                <w:color w:val="auto"/>
                <w:w w:val="89"/>
              </w:rPr>
              <w:t>Printing and Publishing</w:t>
            </w:r>
          </w:p>
        </w:tc>
        <w:tc>
          <w:tcPr>
            <w:tcW w:w="1180" w:type="dxa"/>
            <w:vAlign w:val="bottom"/>
          </w:tcPr>
          <w:p>
            <w:pPr>
              <w:jc w:val="right"/>
              <w:ind w:right="102"/>
              <w:spacing w:after="0" w:line="135" w:lineRule="exact"/>
              <w:rPr>
                <w:sz w:val="20"/>
                <w:szCs w:val="20"/>
                <w:color w:val="auto"/>
              </w:rPr>
            </w:pPr>
            <w:r>
              <w:rPr>
                <w:rFonts w:ascii="Arial" w:cs="Arial" w:eastAsia="Arial" w:hAnsi="Arial"/>
                <w:sz w:val="12"/>
                <w:szCs w:val="12"/>
                <w:color w:val="auto"/>
              </w:rPr>
              <w:t>14.50%</w:t>
            </w:r>
            <w:r>
              <w:rPr>
                <w:rFonts w:ascii="Arial" w:cs="Arial" w:eastAsia="Arial" w:hAnsi="Arial"/>
                <w:sz w:val="9"/>
                <w:szCs w:val="9"/>
                <w:color w:val="auto"/>
              </w:rPr>
              <w:t>(7)</w:t>
            </w:r>
          </w:p>
        </w:tc>
        <w:tc>
          <w:tcPr>
            <w:tcW w:w="1040" w:type="dxa"/>
            <w:vAlign w:val="bottom"/>
          </w:tcPr>
          <w:p>
            <w:pPr>
              <w:ind w:left="720"/>
              <w:spacing w:after="0" w:line="135" w:lineRule="exact"/>
              <w:rPr>
                <w:sz w:val="20"/>
                <w:szCs w:val="20"/>
                <w:color w:val="auto"/>
              </w:rPr>
            </w:pPr>
            <w:r>
              <w:rPr>
                <w:rFonts w:ascii="Arial" w:cs="Arial" w:eastAsia="Arial" w:hAnsi="Arial"/>
                <w:sz w:val="12"/>
                <w:szCs w:val="12"/>
                <w:color w:val="auto"/>
              </w:rPr>
              <w:t>—</w:t>
            </w:r>
          </w:p>
        </w:tc>
        <w:tc>
          <w:tcPr>
            <w:tcW w:w="840" w:type="dxa"/>
            <w:vAlign w:val="bottom"/>
          </w:tcPr>
          <w:p>
            <w:pPr>
              <w:jc w:val="right"/>
              <w:ind w:right="62"/>
              <w:spacing w:after="0" w:line="135" w:lineRule="exact"/>
              <w:rPr>
                <w:sz w:val="20"/>
                <w:szCs w:val="20"/>
                <w:color w:val="auto"/>
              </w:rPr>
            </w:pPr>
            <w:r>
              <w:rPr>
                <w:rFonts w:ascii="Arial" w:cs="Arial" w:eastAsia="Arial" w:hAnsi="Arial"/>
                <w:sz w:val="12"/>
                <w:szCs w:val="12"/>
                <w:color w:val="auto"/>
              </w:rPr>
              <w:t>15,000,000</w:t>
            </w:r>
          </w:p>
        </w:tc>
        <w:tc>
          <w:tcPr>
            <w:tcW w:w="1040" w:type="dxa"/>
            <w:vAlign w:val="bottom"/>
            <w:gridSpan w:val="3"/>
          </w:tcPr>
          <w:p>
            <w:pPr>
              <w:jc w:val="right"/>
              <w:ind w:right="240"/>
              <w:spacing w:after="0" w:line="135" w:lineRule="exact"/>
              <w:rPr>
                <w:sz w:val="20"/>
                <w:szCs w:val="20"/>
                <w:color w:val="auto"/>
              </w:rPr>
            </w:pPr>
            <w:r>
              <w:rPr>
                <w:rFonts w:ascii="Arial" w:cs="Arial" w:eastAsia="Arial" w:hAnsi="Arial"/>
                <w:sz w:val="12"/>
                <w:szCs w:val="12"/>
                <w:color w:val="auto"/>
              </w:rPr>
              <w:t>14,758,098</w:t>
            </w:r>
          </w:p>
        </w:tc>
        <w:tc>
          <w:tcPr>
            <w:tcW w:w="80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15,000,000</w:t>
            </w:r>
          </w:p>
        </w:tc>
        <w:tc>
          <w:tcPr>
            <w:tcW w:w="0" w:type="dxa"/>
            <w:vAlign w:val="bottom"/>
          </w:tcPr>
          <w:p>
            <w:pPr>
              <w:spacing w:after="0"/>
              <w:rPr>
                <w:sz w:val="1"/>
                <w:szCs w:val="1"/>
                <w:color w:val="auto"/>
              </w:rPr>
            </w:pPr>
          </w:p>
        </w:tc>
      </w:tr>
      <w:tr>
        <w:trPr>
          <w:trHeight w:val="129"/>
        </w:trPr>
        <w:tc>
          <w:tcPr>
            <w:tcW w:w="290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 xml:space="preserve">New Gulf Resources, LLC </w:t>
            </w:r>
            <w:r>
              <w:rPr>
                <w:rFonts w:ascii="Arial" w:cs="Arial" w:eastAsia="Arial" w:hAnsi="Arial"/>
                <w:sz w:val="9"/>
                <w:szCs w:val="9"/>
                <w:color w:val="auto"/>
              </w:rPr>
              <w:t>(5)</w:t>
            </w:r>
          </w:p>
        </w:tc>
        <w:tc>
          <w:tcPr>
            <w:tcW w:w="1140" w:type="dxa"/>
            <w:vAlign w:val="bottom"/>
            <w:shd w:val="clear" w:color="auto" w:fill="CCEEFF"/>
          </w:tcPr>
          <w:p>
            <w:pPr>
              <w:jc w:val="center"/>
              <w:ind w:left="242"/>
              <w:spacing w:after="0" w:line="129" w:lineRule="exact"/>
              <w:rPr>
                <w:sz w:val="20"/>
                <w:szCs w:val="20"/>
                <w:color w:val="auto"/>
              </w:rPr>
            </w:pPr>
            <w:r>
              <w:rPr>
                <w:rFonts w:ascii="Arial" w:cs="Arial" w:eastAsia="Arial" w:hAnsi="Arial"/>
                <w:sz w:val="12"/>
                <w:szCs w:val="12"/>
                <w:color w:val="auto"/>
                <w:w w:val="86"/>
              </w:rPr>
              <w:t>11/15/2019</w:t>
            </w:r>
          </w:p>
        </w:tc>
        <w:tc>
          <w:tcPr>
            <w:tcW w:w="208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88"/>
              </w:rPr>
              <w:t>Oil and Gas</w:t>
            </w:r>
          </w:p>
        </w:tc>
        <w:tc>
          <w:tcPr>
            <w:tcW w:w="1180" w:type="dxa"/>
            <w:vAlign w:val="bottom"/>
            <w:shd w:val="clear" w:color="auto" w:fill="CCEEFF"/>
          </w:tcPr>
          <w:p>
            <w:pPr>
              <w:jc w:val="right"/>
              <w:ind w:right="322"/>
              <w:spacing w:after="0" w:line="129" w:lineRule="exact"/>
              <w:rPr>
                <w:sz w:val="20"/>
                <w:szCs w:val="20"/>
                <w:color w:val="auto"/>
              </w:rPr>
            </w:pPr>
            <w:r>
              <w:rPr>
                <w:rFonts w:ascii="Arial" w:cs="Arial" w:eastAsia="Arial" w:hAnsi="Arial"/>
                <w:sz w:val="12"/>
                <w:szCs w:val="12"/>
                <w:color w:val="auto"/>
              </w:rPr>
              <w:t>12.00</w:t>
            </w:r>
          </w:p>
        </w:tc>
        <w:tc>
          <w:tcPr>
            <w:tcW w:w="1040" w:type="dxa"/>
            <w:vAlign w:val="bottom"/>
            <w:shd w:val="clear" w:color="auto" w:fill="CCEEFF"/>
          </w:tcPr>
          <w:p>
            <w:pPr>
              <w:ind w:left="720"/>
              <w:spacing w:after="0" w:line="129" w:lineRule="exact"/>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62"/>
              <w:spacing w:after="0" w:line="129" w:lineRule="exact"/>
              <w:rPr>
                <w:sz w:val="20"/>
                <w:szCs w:val="20"/>
                <w:color w:val="auto"/>
              </w:rPr>
            </w:pPr>
            <w:r>
              <w:rPr>
                <w:rFonts w:ascii="Arial" w:cs="Arial" w:eastAsia="Arial" w:hAnsi="Arial"/>
                <w:sz w:val="12"/>
                <w:szCs w:val="12"/>
                <w:color w:val="auto"/>
              </w:rPr>
              <w:t>13,500,000</w:t>
            </w:r>
          </w:p>
        </w:tc>
        <w:tc>
          <w:tcPr>
            <w:tcW w:w="1040" w:type="dxa"/>
            <w:vAlign w:val="bottom"/>
            <w:gridSpan w:val="3"/>
            <w:shd w:val="clear" w:color="auto" w:fill="CCEEFF"/>
          </w:tcPr>
          <w:p>
            <w:pPr>
              <w:jc w:val="right"/>
              <w:ind w:right="240"/>
              <w:spacing w:after="0" w:line="129" w:lineRule="exact"/>
              <w:rPr>
                <w:sz w:val="20"/>
                <w:szCs w:val="20"/>
                <w:color w:val="auto"/>
              </w:rPr>
            </w:pPr>
            <w:r>
              <w:rPr>
                <w:rFonts w:ascii="Arial" w:cs="Arial" w:eastAsia="Arial" w:hAnsi="Arial"/>
                <w:sz w:val="12"/>
                <w:szCs w:val="12"/>
                <w:color w:val="auto"/>
              </w:rPr>
              <w:t>13,040,004</w:t>
            </w:r>
          </w:p>
        </w:tc>
        <w:tc>
          <w:tcPr>
            <w:tcW w:w="80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10,665,000</w:t>
            </w:r>
          </w:p>
        </w:tc>
        <w:tc>
          <w:tcPr>
            <w:tcW w:w="0" w:type="dxa"/>
            <w:vAlign w:val="bottom"/>
          </w:tcPr>
          <w:p>
            <w:pPr>
              <w:spacing w:after="0"/>
              <w:rPr>
                <w:sz w:val="1"/>
                <w:szCs w:val="1"/>
                <w:color w:val="auto"/>
              </w:rPr>
            </w:pPr>
          </w:p>
        </w:tc>
      </w:tr>
      <w:tr>
        <w:trPr>
          <w:trHeight w:val="155"/>
        </w:trPr>
        <w:tc>
          <w:tcPr>
            <w:tcW w:w="29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08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182"/>
              <w:spacing w:after="0"/>
              <w:rPr>
                <w:sz w:val="20"/>
                <w:szCs w:val="20"/>
                <w:color w:val="auto"/>
              </w:rPr>
            </w:pPr>
            <w:r>
              <w:rPr>
                <w:rFonts w:ascii="Arial" w:cs="Arial" w:eastAsia="Arial" w:hAnsi="Arial"/>
                <w:sz w:val="12"/>
                <w:szCs w:val="12"/>
                <w:color w:val="auto"/>
              </w:rPr>
              <w:t>(PIK 12.00%)</w:t>
            </w:r>
          </w:p>
        </w:tc>
        <w:tc>
          <w:tcPr>
            <w:tcW w:w="10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900" w:type="dxa"/>
            <w:vAlign w:val="bottom"/>
          </w:tcPr>
          <w:p>
            <w:pPr>
              <w:spacing w:after="0" w:line="135" w:lineRule="exact"/>
              <w:rPr>
                <w:sz w:val="20"/>
                <w:szCs w:val="20"/>
                <w:color w:val="auto"/>
              </w:rPr>
            </w:pPr>
            <w:r>
              <w:rPr>
                <w:rFonts w:ascii="Arial" w:cs="Arial" w:eastAsia="Arial" w:hAnsi="Arial"/>
                <w:sz w:val="12"/>
                <w:szCs w:val="12"/>
                <w:color w:val="auto"/>
              </w:rPr>
              <w:t>Power Products, LLC</w:t>
            </w:r>
          </w:p>
        </w:tc>
        <w:tc>
          <w:tcPr>
            <w:tcW w:w="1140" w:type="dxa"/>
            <w:vAlign w:val="bottom"/>
          </w:tcPr>
          <w:p>
            <w:pPr>
              <w:jc w:val="center"/>
              <w:ind w:left="242"/>
              <w:spacing w:after="0" w:line="135" w:lineRule="exact"/>
              <w:rPr>
                <w:sz w:val="20"/>
                <w:szCs w:val="20"/>
                <w:color w:val="auto"/>
              </w:rPr>
            </w:pPr>
            <w:r>
              <w:rPr>
                <w:rFonts w:ascii="Arial" w:cs="Arial" w:eastAsia="Arial" w:hAnsi="Arial"/>
                <w:sz w:val="12"/>
                <w:szCs w:val="12"/>
                <w:color w:val="auto"/>
                <w:w w:val="86"/>
              </w:rPr>
              <w:t>12/11/2020</w:t>
            </w:r>
          </w:p>
        </w:tc>
        <w:tc>
          <w:tcPr>
            <w:tcW w:w="2080" w:type="dxa"/>
            <w:vAlign w:val="bottom"/>
          </w:tcPr>
          <w:p>
            <w:pPr>
              <w:jc w:val="center"/>
              <w:spacing w:after="0" w:line="135" w:lineRule="exact"/>
              <w:rPr>
                <w:sz w:val="20"/>
                <w:szCs w:val="20"/>
                <w:color w:val="auto"/>
              </w:rPr>
            </w:pPr>
            <w:r>
              <w:rPr>
                <w:rFonts w:ascii="Arial" w:cs="Arial" w:eastAsia="Arial" w:hAnsi="Arial"/>
                <w:sz w:val="12"/>
                <w:szCs w:val="12"/>
                <w:color w:val="auto"/>
                <w:w w:val="88"/>
              </w:rPr>
              <w:t>Electronics</w:t>
            </w:r>
          </w:p>
        </w:tc>
        <w:tc>
          <w:tcPr>
            <w:tcW w:w="1180" w:type="dxa"/>
            <w:vAlign w:val="bottom"/>
          </w:tcPr>
          <w:p>
            <w:pPr>
              <w:jc w:val="right"/>
              <w:ind w:right="102"/>
              <w:spacing w:after="0" w:line="135" w:lineRule="exact"/>
              <w:rPr>
                <w:sz w:val="20"/>
                <w:szCs w:val="20"/>
                <w:color w:val="auto"/>
              </w:rPr>
            </w:pPr>
            <w:r>
              <w:rPr>
                <w:rFonts w:ascii="Arial" w:cs="Arial" w:eastAsia="Arial" w:hAnsi="Arial"/>
                <w:sz w:val="12"/>
                <w:szCs w:val="12"/>
                <w:color w:val="auto"/>
              </w:rPr>
              <w:t>12.75%</w:t>
            </w:r>
            <w:r>
              <w:rPr>
                <w:rFonts w:ascii="Arial" w:cs="Arial" w:eastAsia="Arial" w:hAnsi="Arial"/>
                <w:sz w:val="9"/>
                <w:szCs w:val="9"/>
                <w:color w:val="auto"/>
              </w:rPr>
              <w:t>(7)</w:t>
            </w:r>
          </w:p>
        </w:tc>
        <w:tc>
          <w:tcPr>
            <w:tcW w:w="1040" w:type="dxa"/>
            <w:vAlign w:val="bottom"/>
          </w:tcPr>
          <w:p>
            <w:pPr>
              <w:ind w:left="720"/>
              <w:spacing w:after="0" w:line="135" w:lineRule="exact"/>
              <w:rPr>
                <w:sz w:val="20"/>
                <w:szCs w:val="20"/>
                <w:color w:val="auto"/>
              </w:rPr>
            </w:pPr>
            <w:r>
              <w:rPr>
                <w:rFonts w:ascii="Arial" w:cs="Arial" w:eastAsia="Arial" w:hAnsi="Arial"/>
                <w:sz w:val="12"/>
                <w:szCs w:val="12"/>
                <w:color w:val="auto"/>
              </w:rPr>
              <w:t>—</w:t>
            </w:r>
          </w:p>
        </w:tc>
        <w:tc>
          <w:tcPr>
            <w:tcW w:w="840" w:type="dxa"/>
            <w:vAlign w:val="bottom"/>
          </w:tcPr>
          <w:p>
            <w:pPr>
              <w:jc w:val="right"/>
              <w:ind w:right="62"/>
              <w:spacing w:after="0" w:line="135" w:lineRule="exact"/>
              <w:rPr>
                <w:sz w:val="20"/>
                <w:szCs w:val="20"/>
                <w:color w:val="auto"/>
              </w:rPr>
            </w:pPr>
            <w:r>
              <w:rPr>
                <w:rFonts w:ascii="Arial" w:cs="Arial" w:eastAsia="Arial" w:hAnsi="Arial"/>
                <w:sz w:val="12"/>
                <w:szCs w:val="12"/>
                <w:color w:val="auto"/>
              </w:rPr>
              <w:t>15,000,000</w:t>
            </w:r>
          </w:p>
        </w:tc>
        <w:tc>
          <w:tcPr>
            <w:tcW w:w="1040" w:type="dxa"/>
            <w:vAlign w:val="bottom"/>
            <w:gridSpan w:val="3"/>
          </w:tcPr>
          <w:p>
            <w:pPr>
              <w:jc w:val="right"/>
              <w:ind w:right="240"/>
              <w:spacing w:after="0" w:line="135" w:lineRule="exact"/>
              <w:rPr>
                <w:sz w:val="20"/>
                <w:szCs w:val="20"/>
                <w:color w:val="auto"/>
              </w:rPr>
            </w:pPr>
            <w:r>
              <w:rPr>
                <w:rFonts w:ascii="Arial" w:cs="Arial" w:eastAsia="Arial" w:hAnsi="Arial"/>
                <w:sz w:val="12"/>
                <w:szCs w:val="12"/>
                <w:color w:val="auto"/>
              </w:rPr>
              <w:t>14,793,246</w:t>
            </w:r>
          </w:p>
        </w:tc>
        <w:tc>
          <w:tcPr>
            <w:tcW w:w="80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15,225,000</w:t>
            </w:r>
          </w:p>
        </w:tc>
        <w:tc>
          <w:tcPr>
            <w:tcW w:w="0" w:type="dxa"/>
            <w:vAlign w:val="bottom"/>
          </w:tcPr>
          <w:p>
            <w:pPr>
              <w:spacing w:after="0"/>
              <w:rPr>
                <w:sz w:val="1"/>
                <w:szCs w:val="1"/>
                <w:color w:val="auto"/>
              </w:rPr>
            </w:pPr>
          </w:p>
        </w:tc>
      </w:tr>
      <w:tr>
        <w:trPr>
          <w:trHeight w:val="135"/>
        </w:trPr>
        <w:tc>
          <w:tcPr>
            <w:tcW w:w="29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Randall-Reilly Publishing Company, LLC</w:t>
            </w:r>
          </w:p>
        </w:tc>
        <w:tc>
          <w:tcPr>
            <w:tcW w:w="1140" w:type="dxa"/>
            <w:vAlign w:val="bottom"/>
            <w:shd w:val="clear" w:color="auto" w:fill="CCEEFF"/>
          </w:tcPr>
          <w:p>
            <w:pPr>
              <w:jc w:val="center"/>
              <w:ind w:left="242"/>
              <w:spacing w:after="0" w:line="135" w:lineRule="exact"/>
              <w:rPr>
                <w:sz w:val="20"/>
                <w:szCs w:val="20"/>
                <w:color w:val="auto"/>
              </w:rPr>
            </w:pPr>
            <w:r>
              <w:rPr>
                <w:rFonts w:ascii="Arial" w:cs="Arial" w:eastAsia="Arial" w:hAnsi="Arial"/>
                <w:sz w:val="12"/>
                <w:szCs w:val="12"/>
                <w:color w:val="auto"/>
                <w:w w:val="86"/>
              </w:rPr>
              <w:t>04/15/2019</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0"/>
              </w:rPr>
              <w:t>Other Media</w:t>
            </w:r>
          </w:p>
        </w:tc>
        <w:tc>
          <w:tcPr>
            <w:tcW w:w="1180" w:type="dxa"/>
            <w:vAlign w:val="bottom"/>
            <w:shd w:val="clear" w:color="auto" w:fill="CCEEFF"/>
          </w:tcPr>
          <w:p>
            <w:pPr>
              <w:jc w:val="right"/>
              <w:ind w:right="102"/>
              <w:spacing w:after="0" w:line="135" w:lineRule="exact"/>
              <w:rPr>
                <w:sz w:val="20"/>
                <w:szCs w:val="20"/>
                <w:color w:val="auto"/>
              </w:rPr>
            </w:pPr>
            <w:r>
              <w:rPr>
                <w:rFonts w:ascii="Arial" w:cs="Arial" w:eastAsia="Arial" w:hAnsi="Arial"/>
                <w:sz w:val="12"/>
                <w:szCs w:val="12"/>
                <w:color w:val="auto"/>
              </w:rPr>
              <w:t>12.50%</w:t>
            </w:r>
            <w:r>
              <w:rPr>
                <w:rFonts w:ascii="Arial" w:cs="Arial" w:eastAsia="Arial" w:hAnsi="Arial"/>
                <w:sz w:val="9"/>
                <w:szCs w:val="9"/>
                <w:color w:val="auto"/>
              </w:rPr>
              <w:t>(7)</w:t>
            </w:r>
          </w:p>
        </w:tc>
        <w:tc>
          <w:tcPr>
            <w:tcW w:w="1040" w:type="dxa"/>
            <w:vAlign w:val="bottom"/>
            <w:shd w:val="clear" w:color="auto" w:fill="CCEEFF"/>
          </w:tcPr>
          <w:p>
            <w:pPr>
              <w:ind w:left="720"/>
              <w:spacing w:after="0" w:line="135" w:lineRule="exact"/>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62"/>
              <w:spacing w:after="0" w:line="135" w:lineRule="exact"/>
              <w:rPr>
                <w:sz w:val="20"/>
                <w:szCs w:val="20"/>
                <w:color w:val="auto"/>
              </w:rPr>
            </w:pPr>
            <w:r>
              <w:rPr>
                <w:rFonts w:ascii="Arial" w:cs="Arial" w:eastAsia="Arial" w:hAnsi="Arial"/>
                <w:sz w:val="12"/>
                <w:szCs w:val="12"/>
                <w:color w:val="auto"/>
              </w:rPr>
              <w:t>30,400,000</w:t>
            </w: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29,860,100</w:t>
            </w:r>
          </w:p>
        </w:tc>
        <w:tc>
          <w:tcPr>
            <w:tcW w:w="24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30,704,000</w:t>
            </w:r>
          </w:p>
        </w:tc>
        <w:tc>
          <w:tcPr>
            <w:tcW w:w="0" w:type="dxa"/>
            <w:vAlign w:val="bottom"/>
          </w:tcPr>
          <w:p>
            <w:pPr>
              <w:spacing w:after="0"/>
              <w:rPr>
                <w:sz w:val="1"/>
                <w:szCs w:val="1"/>
                <w:color w:val="auto"/>
              </w:rPr>
            </w:pPr>
          </w:p>
        </w:tc>
      </w:tr>
      <w:tr>
        <w:trPr>
          <w:trHeight w:val="20"/>
        </w:trPr>
        <w:tc>
          <w:tcPr>
            <w:tcW w:w="2900" w:type="dxa"/>
            <w:vAlign w:val="bottom"/>
            <w:vMerge w:val="restart"/>
          </w:tcPr>
          <w:p>
            <w:pPr>
              <w:spacing w:after="0"/>
              <w:rPr>
                <w:sz w:val="20"/>
                <w:szCs w:val="20"/>
                <w:color w:val="auto"/>
              </w:rPr>
            </w:pPr>
            <w:r>
              <w:rPr>
                <w:rFonts w:ascii="Arial" w:cs="Arial" w:eastAsia="Arial" w:hAnsi="Arial"/>
                <w:sz w:val="12"/>
                <w:szCs w:val="12"/>
                <w:b w:val="1"/>
                <w:bCs w:val="1"/>
                <w:color w:val="auto"/>
              </w:rPr>
              <w:t>Total Subordinated Debt/Corporate Notes</w:t>
            </w:r>
          </w:p>
        </w:tc>
        <w:tc>
          <w:tcPr>
            <w:tcW w:w="11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90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w w:val="98"/>
              </w:rPr>
              <w:t>209,441,697</w:t>
            </w:r>
          </w:p>
        </w:tc>
        <w:tc>
          <w:tcPr>
            <w:tcW w:w="24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w w:val="95"/>
              </w:rPr>
              <w:t>205,619,630</w:t>
            </w:r>
          </w:p>
        </w:tc>
        <w:tc>
          <w:tcPr>
            <w:tcW w:w="0" w:type="dxa"/>
            <w:vAlign w:val="bottom"/>
          </w:tcPr>
          <w:p>
            <w:pPr>
              <w:spacing w:after="0"/>
              <w:rPr>
                <w:sz w:val="1"/>
                <w:szCs w:val="1"/>
                <w:color w:val="auto"/>
              </w:rPr>
            </w:pPr>
          </w:p>
        </w:tc>
      </w:tr>
      <w:tr>
        <w:trPr>
          <w:trHeight w:val="135"/>
        </w:trPr>
        <w:tc>
          <w:tcPr>
            <w:tcW w:w="290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 xml:space="preserve">Preferred Equity/Partnership Interests—1.6% </w:t>
            </w:r>
            <w:r>
              <w:rPr>
                <w:rFonts w:ascii="Arial" w:cs="Arial" w:eastAsia="Arial" w:hAnsi="Arial"/>
                <w:sz w:val="9"/>
                <w:szCs w:val="9"/>
                <w:b w:val="1"/>
                <w:bCs w:val="1"/>
                <w:color w:val="auto"/>
              </w:rPr>
              <w:t>(6)</w:t>
            </w:r>
          </w:p>
        </w:tc>
        <w:tc>
          <w:tcPr>
            <w:tcW w:w="1140" w:type="dxa"/>
            <w:vAlign w:val="bottom"/>
            <w:shd w:val="clear" w:color="auto" w:fill="CCEEFF"/>
          </w:tcPr>
          <w:p>
            <w:pPr>
              <w:spacing w:after="0"/>
              <w:rPr>
                <w:sz w:val="11"/>
                <w:szCs w:val="11"/>
                <w:color w:val="auto"/>
              </w:rPr>
            </w:pPr>
          </w:p>
        </w:tc>
        <w:tc>
          <w:tcPr>
            <w:tcW w:w="208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00" w:type="dxa"/>
            <w:vAlign w:val="bottom"/>
          </w:tcPr>
          <w:p>
            <w:pPr>
              <w:spacing w:after="0" w:line="135" w:lineRule="exact"/>
              <w:rPr>
                <w:sz w:val="20"/>
                <w:szCs w:val="20"/>
                <w:color w:val="auto"/>
              </w:rPr>
            </w:pPr>
            <w:r>
              <w:rPr>
                <w:rFonts w:ascii="Arial" w:cs="Arial" w:eastAsia="Arial" w:hAnsi="Arial"/>
                <w:sz w:val="12"/>
                <w:szCs w:val="12"/>
                <w:color w:val="auto"/>
              </w:rPr>
              <w:t>AH Holdings, Inc.</w:t>
            </w:r>
          </w:p>
        </w:tc>
        <w:tc>
          <w:tcPr>
            <w:tcW w:w="1140" w:type="dxa"/>
            <w:vAlign w:val="bottom"/>
          </w:tcPr>
          <w:p>
            <w:pPr>
              <w:jc w:val="center"/>
              <w:ind w:left="242"/>
              <w:spacing w:after="0" w:line="135" w:lineRule="exact"/>
              <w:rPr>
                <w:sz w:val="20"/>
                <w:szCs w:val="20"/>
                <w:color w:val="auto"/>
              </w:rPr>
            </w:pPr>
            <w:r>
              <w:rPr>
                <w:rFonts w:ascii="Arial" w:cs="Arial" w:eastAsia="Arial" w:hAnsi="Arial"/>
                <w:sz w:val="12"/>
                <w:szCs w:val="12"/>
                <w:color w:val="auto"/>
                <w:w w:val="99"/>
              </w:rPr>
              <w:t>—</w:t>
            </w:r>
          </w:p>
        </w:tc>
        <w:tc>
          <w:tcPr>
            <w:tcW w:w="2080" w:type="dxa"/>
            <w:vAlign w:val="bottom"/>
          </w:tcPr>
          <w:p>
            <w:pPr>
              <w:jc w:val="center"/>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1180" w:type="dxa"/>
            <w:vAlign w:val="bottom"/>
          </w:tcPr>
          <w:p>
            <w:pPr>
              <w:jc w:val="right"/>
              <w:ind w:right="222"/>
              <w:spacing w:after="0" w:line="135" w:lineRule="exact"/>
              <w:rPr>
                <w:sz w:val="20"/>
                <w:szCs w:val="20"/>
                <w:color w:val="auto"/>
              </w:rPr>
            </w:pPr>
            <w:r>
              <w:rPr>
                <w:rFonts w:ascii="Arial" w:cs="Arial" w:eastAsia="Arial" w:hAnsi="Arial"/>
                <w:sz w:val="12"/>
                <w:szCs w:val="12"/>
                <w:color w:val="auto"/>
              </w:rPr>
              <w:t>6.00%</w:t>
            </w:r>
          </w:p>
        </w:tc>
        <w:tc>
          <w:tcPr>
            <w:tcW w:w="1040" w:type="dxa"/>
            <w:vAlign w:val="bottom"/>
          </w:tcPr>
          <w:p>
            <w:pPr>
              <w:ind w:left="720"/>
              <w:spacing w:after="0" w:line="135" w:lineRule="exact"/>
              <w:rPr>
                <w:sz w:val="20"/>
                <w:szCs w:val="20"/>
                <w:color w:val="auto"/>
              </w:rPr>
            </w:pPr>
            <w:r>
              <w:rPr>
                <w:rFonts w:ascii="Arial" w:cs="Arial" w:eastAsia="Arial" w:hAnsi="Arial"/>
                <w:sz w:val="12"/>
                <w:szCs w:val="12"/>
                <w:color w:val="auto"/>
              </w:rPr>
              <w:t>—</w:t>
            </w:r>
          </w:p>
        </w:tc>
        <w:tc>
          <w:tcPr>
            <w:tcW w:w="840" w:type="dxa"/>
            <w:vAlign w:val="bottom"/>
          </w:tcPr>
          <w:p>
            <w:pPr>
              <w:jc w:val="right"/>
              <w:ind w:right="62"/>
              <w:spacing w:after="0" w:line="135" w:lineRule="exact"/>
              <w:rPr>
                <w:sz w:val="20"/>
                <w:szCs w:val="20"/>
                <w:color w:val="auto"/>
              </w:rPr>
            </w:pPr>
            <w:r>
              <w:rPr>
                <w:rFonts w:ascii="Arial" w:cs="Arial" w:eastAsia="Arial" w:hAnsi="Arial"/>
                <w:sz w:val="12"/>
                <w:szCs w:val="12"/>
                <w:color w:val="auto"/>
              </w:rPr>
              <w:t>211</w:t>
            </w:r>
          </w:p>
        </w:tc>
        <w:tc>
          <w:tcPr>
            <w:tcW w:w="1040" w:type="dxa"/>
            <w:vAlign w:val="bottom"/>
            <w:gridSpan w:val="3"/>
          </w:tcPr>
          <w:p>
            <w:pPr>
              <w:jc w:val="right"/>
              <w:ind w:right="240"/>
              <w:spacing w:after="0" w:line="135" w:lineRule="exact"/>
              <w:rPr>
                <w:sz w:val="20"/>
                <w:szCs w:val="20"/>
                <w:color w:val="auto"/>
              </w:rPr>
            </w:pPr>
            <w:r>
              <w:rPr>
                <w:rFonts w:ascii="Arial" w:cs="Arial" w:eastAsia="Arial" w:hAnsi="Arial"/>
                <w:sz w:val="12"/>
                <w:szCs w:val="12"/>
                <w:color w:val="auto"/>
              </w:rPr>
              <w:t>500,000</w:t>
            </w:r>
          </w:p>
        </w:tc>
        <w:tc>
          <w:tcPr>
            <w:tcW w:w="80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9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AHC Mezzanine, LLC</w:t>
            </w:r>
          </w:p>
        </w:tc>
        <w:tc>
          <w:tcPr>
            <w:tcW w:w="1140" w:type="dxa"/>
            <w:vAlign w:val="bottom"/>
            <w:shd w:val="clear" w:color="auto" w:fill="CCEEFF"/>
          </w:tcPr>
          <w:p>
            <w:pPr>
              <w:jc w:val="center"/>
              <w:ind w:left="242"/>
              <w:spacing w:after="0" w:line="135" w:lineRule="exact"/>
              <w:rPr>
                <w:sz w:val="20"/>
                <w:szCs w:val="20"/>
                <w:color w:val="auto"/>
              </w:rPr>
            </w:pPr>
            <w:r>
              <w:rPr>
                <w:rFonts w:ascii="Arial" w:cs="Arial" w:eastAsia="Arial" w:hAnsi="Arial"/>
                <w:sz w:val="12"/>
                <w:szCs w:val="12"/>
                <w:color w:val="auto"/>
                <w:w w:val="99"/>
              </w:rPr>
              <w:t>—</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0"/>
              </w:rPr>
              <w:t>Other Media</w:t>
            </w:r>
          </w:p>
        </w:tc>
        <w:tc>
          <w:tcPr>
            <w:tcW w:w="1180" w:type="dxa"/>
            <w:vAlign w:val="bottom"/>
            <w:shd w:val="clear" w:color="auto" w:fill="CCEEFF"/>
          </w:tcPr>
          <w:p>
            <w:pPr>
              <w:jc w:val="right"/>
              <w:ind w:right="322"/>
              <w:spacing w:after="0" w:line="135" w:lineRule="exact"/>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ind w:left="720"/>
              <w:spacing w:after="0" w:line="135" w:lineRule="exact"/>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62"/>
              <w:spacing w:after="0" w:line="135" w:lineRule="exact"/>
              <w:rPr>
                <w:sz w:val="20"/>
                <w:szCs w:val="20"/>
                <w:color w:val="auto"/>
              </w:rPr>
            </w:pPr>
            <w:r>
              <w:rPr>
                <w:rFonts w:ascii="Arial" w:cs="Arial" w:eastAsia="Arial" w:hAnsi="Arial"/>
                <w:sz w:val="12"/>
                <w:szCs w:val="12"/>
                <w:color w:val="auto"/>
              </w:rPr>
              <w:t>7,505</w:t>
            </w:r>
          </w:p>
        </w:tc>
        <w:tc>
          <w:tcPr>
            <w:tcW w:w="1040" w:type="dxa"/>
            <w:vAlign w:val="bottom"/>
            <w:gridSpan w:val="3"/>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318,896</w:t>
            </w:r>
          </w:p>
        </w:tc>
        <w:tc>
          <w:tcPr>
            <w:tcW w:w="8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9"/>
        </w:trPr>
        <w:tc>
          <w:tcPr>
            <w:tcW w:w="2900" w:type="dxa"/>
            <w:vAlign w:val="bottom"/>
          </w:tcPr>
          <w:p>
            <w:pPr>
              <w:spacing w:after="0" w:line="129" w:lineRule="exact"/>
              <w:rPr>
                <w:sz w:val="20"/>
                <w:szCs w:val="20"/>
                <w:color w:val="auto"/>
              </w:rPr>
            </w:pPr>
            <w:r>
              <w:rPr>
                <w:rFonts w:ascii="Arial" w:cs="Arial" w:eastAsia="Arial" w:hAnsi="Arial"/>
                <w:sz w:val="12"/>
                <w:szCs w:val="12"/>
                <w:color w:val="auto"/>
              </w:rPr>
              <w:t>Alegeus Technologies Holdings Corp.</w:t>
            </w:r>
          </w:p>
        </w:tc>
        <w:tc>
          <w:tcPr>
            <w:tcW w:w="1140" w:type="dxa"/>
            <w:vAlign w:val="bottom"/>
          </w:tcPr>
          <w:p>
            <w:pPr>
              <w:jc w:val="center"/>
              <w:ind w:left="242"/>
              <w:spacing w:after="0" w:line="129" w:lineRule="exact"/>
              <w:rPr>
                <w:sz w:val="20"/>
                <w:szCs w:val="20"/>
                <w:color w:val="auto"/>
              </w:rPr>
            </w:pPr>
            <w:r>
              <w:rPr>
                <w:rFonts w:ascii="Arial" w:cs="Arial" w:eastAsia="Arial" w:hAnsi="Arial"/>
                <w:sz w:val="12"/>
                <w:szCs w:val="12"/>
                <w:color w:val="auto"/>
                <w:w w:val="99"/>
              </w:rPr>
              <w:t>—</w:t>
            </w:r>
          </w:p>
        </w:tc>
        <w:tc>
          <w:tcPr>
            <w:tcW w:w="2080" w:type="dxa"/>
            <w:vAlign w:val="bottom"/>
          </w:tcPr>
          <w:p>
            <w:pPr>
              <w:jc w:val="center"/>
              <w:ind w:right="2"/>
              <w:spacing w:after="0" w:line="129" w:lineRule="exact"/>
              <w:rPr>
                <w:sz w:val="20"/>
                <w:szCs w:val="20"/>
                <w:color w:val="auto"/>
              </w:rPr>
            </w:pPr>
            <w:r>
              <w:rPr>
                <w:rFonts w:ascii="Arial" w:cs="Arial" w:eastAsia="Arial" w:hAnsi="Arial"/>
                <w:sz w:val="12"/>
                <w:szCs w:val="12"/>
                <w:color w:val="auto"/>
                <w:w w:val="88"/>
              </w:rPr>
              <w:t>Financial Services</w:t>
            </w:r>
          </w:p>
        </w:tc>
        <w:tc>
          <w:tcPr>
            <w:tcW w:w="1180" w:type="dxa"/>
            <w:vAlign w:val="bottom"/>
          </w:tcPr>
          <w:p>
            <w:pPr>
              <w:jc w:val="right"/>
              <w:ind w:right="322"/>
              <w:spacing w:after="0" w:line="129" w:lineRule="exact"/>
              <w:rPr>
                <w:sz w:val="20"/>
                <w:szCs w:val="20"/>
                <w:color w:val="auto"/>
              </w:rPr>
            </w:pPr>
            <w:r>
              <w:rPr>
                <w:rFonts w:ascii="Arial" w:cs="Arial" w:eastAsia="Arial" w:hAnsi="Arial"/>
                <w:sz w:val="12"/>
                <w:szCs w:val="12"/>
                <w:color w:val="auto"/>
              </w:rPr>
              <w:t>—</w:t>
            </w:r>
          </w:p>
        </w:tc>
        <w:tc>
          <w:tcPr>
            <w:tcW w:w="1040" w:type="dxa"/>
            <w:vAlign w:val="bottom"/>
          </w:tcPr>
          <w:p>
            <w:pPr>
              <w:ind w:left="720"/>
              <w:spacing w:after="0" w:line="129" w:lineRule="exact"/>
              <w:rPr>
                <w:sz w:val="20"/>
                <w:szCs w:val="20"/>
                <w:color w:val="auto"/>
              </w:rPr>
            </w:pPr>
            <w:r>
              <w:rPr>
                <w:rFonts w:ascii="Arial" w:cs="Arial" w:eastAsia="Arial" w:hAnsi="Arial"/>
                <w:sz w:val="12"/>
                <w:szCs w:val="12"/>
                <w:color w:val="auto"/>
              </w:rPr>
              <w:t>—</w:t>
            </w:r>
          </w:p>
        </w:tc>
        <w:tc>
          <w:tcPr>
            <w:tcW w:w="840" w:type="dxa"/>
            <w:vAlign w:val="bottom"/>
          </w:tcPr>
          <w:p>
            <w:pPr>
              <w:jc w:val="right"/>
              <w:ind w:right="62"/>
              <w:spacing w:after="0" w:line="129" w:lineRule="exact"/>
              <w:rPr>
                <w:sz w:val="20"/>
                <w:szCs w:val="20"/>
                <w:color w:val="auto"/>
              </w:rPr>
            </w:pPr>
            <w:r>
              <w:rPr>
                <w:rFonts w:ascii="Arial" w:cs="Arial" w:eastAsia="Arial" w:hAnsi="Arial"/>
                <w:sz w:val="12"/>
                <w:szCs w:val="12"/>
                <w:color w:val="auto"/>
              </w:rPr>
              <w:t>949</w:t>
            </w:r>
          </w:p>
        </w:tc>
        <w:tc>
          <w:tcPr>
            <w:tcW w:w="1040" w:type="dxa"/>
            <w:vAlign w:val="bottom"/>
            <w:gridSpan w:val="3"/>
          </w:tcPr>
          <w:p>
            <w:pPr>
              <w:jc w:val="right"/>
              <w:ind w:right="240"/>
              <w:spacing w:after="0" w:line="129" w:lineRule="exact"/>
              <w:rPr>
                <w:sz w:val="20"/>
                <w:szCs w:val="20"/>
                <w:color w:val="auto"/>
              </w:rPr>
            </w:pPr>
            <w:r>
              <w:rPr>
                <w:rFonts w:ascii="Arial" w:cs="Arial" w:eastAsia="Arial" w:hAnsi="Arial"/>
                <w:sz w:val="12"/>
                <w:szCs w:val="12"/>
                <w:color w:val="auto"/>
              </w:rPr>
              <w:t>949,050</w:t>
            </w:r>
          </w:p>
        </w:tc>
        <w:tc>
          <w:tcPr>
            <w:tcW w:w="80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427,965</w:t>
            </w:r>
          </w:p>
        </w:tc>
        <w:tc>
          <w:tcPr>
            <w:tcW w:w="0" w:type="dxa"/>
            <w:vAlign w:val="bottom"/>
          </w:tcPr>
          <w:p>
            <w:pPr>
              <w:spacing w:after="0"/>
              <w:rPr>
                <w:sz w:val="1"/>
                <w:szCs w:val="1"/>
                <w:color w:val="auto"/>
              </w:rPr>
            </w:pPr>
          </w:p>
        </w:tc>
      </w:tr>
      <w:tr>
        <w:trPr>
          <w:trHeight w:val="141"/>
        </w:trPr>
        <w:tc>
          <w:tcPr>
            <w:tcW w:w="2900" w:type="dxa"/>
            <w:vAlign w:val="bottom"/>
          </w:tcPr>
          <w:p>
            <w:pPr>
              <w:ind w:left="120"/>
              <w:spacing w:after="0"/>
              <w:rPr>
                <w:sz w:val="20"/>
                <w:szCs w:val="20"/>
                <w:color w:val="auto"/>
              </w:rPr>
            </w:pPr>
            <w:r>
              <w:rPr>
                <w:rFonts w:ascii="Arial" w:cs="Arial" w:eastAsia="Arial" w:hAnsi="Arial"/>
                <w:sz w:val="12"/>
                <w:szCs w:val="12"/>
                <w:color w:val="auto"/>
              </w:rPr>
              <w:t>(Alegeus Technologies, LLC)</w:t>
            </w:r>
          </w:p>
        </w:tc>
        <w:tc>
          <w:tcPr>
            <w:tcW w:w="11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9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CI (IHS) Investment Holdings, LLC</w:t>
            </w:r>
          </w:p>
        </w:tc>
        <w:tc>
          <w:tcPr>
            <w:tcW w:w="1140" w:type="dxa"/>
            <w:vAlign w:val="bottom"/>
            <w:shd w:val="clear" w:color="auto" w:fill="CCEEFF"/>
          </w:tcPr>
          <w:p>
            <w:pPr>
              <w:jc w:val="center"/>
              <w:ind w:left="242"/>
              <w:spacing w:after="0" w:line="135" w:lineRule="exact"/>
              <w:rPr>
                <w:sz w:val="20"/>
                <w:szCs w:val="20"/>
                <w:color w:val="auto"/>
              </w:rPr>
            </w:pPr>
            <w:r>
              <w:rPr>
                <w:rFonts w:ascii="Arial" w:cs="Arial" w:eastAsia="Arial" w:hAnsi="Arial"/>
                <w:sz w:val="12"/>
                <w:szCs w:val="12"/>
                <w:color w:val="auto"/>
                <w:w w:val="99"/>
              </w:rPr>
              <w:t>—</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1180" w:type="dxa"/>
            <w:vAlign w:val="bottom"/>
            <w:shd w:val="clear" w:color="auto" w:fill="CCEEFF"/>
          </w:tcPr>
          <w:p>
            <w:pPr>
              <w:jc w:val="right"/>
              <w:ind w:right="222"/>
              <w:spacing w:after="0" w:line="135" w:lineRule="exact"/>
              <w:rPr>
                <w:sz w:val="20"/>
                <w:szCs w:val="20"/>
                <w:color w:val="auto"/>
              </w:rPr>
            </w:pPr>
            <w:r>
              <w:rPr>
                <w:rFonts w:ascii="Arial" w:cs="Arial" w:eastAsia="Arial" w:hAnsi="Arial"/>
                <w:sz w:val="12"/>
                <w:szCs w:val="12"/>
                <w:color w:val="auto"/>
              </w:rPr>
              <w:t>8.00%</w:t>
            </w:r>
          </w:p>
        </w:tc>
        <w:tc>
          <w:tcPr>
            <w:tcW w:w="1040" w:type="dxa"/>
            <w:vAlign w:val="bottom"/>
            <w:shd w:val="clear" w:color="auto" w:fill="CCEEFF"/>
          </w:tcPr>
          <w:p>
            <w:pPr>
              <w:ind w:left="720"/>
              <w:spacing w:after="0" w:line="135" w:lineRule="exact"/>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62"/>
              <w:spacing w:after="0" w:line="135" w:lineRule="exact"/>
              <w:rPr>
                <w:sz w:val="20"/>
                <w:szCs w:val="20"/>
                <w:color w:val="auto"/>
              </w:rPr>
            </w:pPr>
            <w:r>
              <w:rPr>
                <w:rFonts w:ascii="Arial" w:cs="Arial" w:eastAsia="Arial" w:hAnsi="Arial"/>
                <w:sz w:val="12"/>
                <w:szCs w:val="12"/>
                <w:color w:val="auto"/>
              </w:rPr>
              <w:t>76,357</w:t>
            </w:r>
          </w:p>
        </w:tc>
        <w:tc>
          <w:tcPr>
            <w:tcW w:w="1040" w:type="dxa"/>
            <w:vAlign w:val="bottom"/>
            <w:gridSpan w:val="3"/>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765,307</w:t>
            </w:r>
          </w:p>
        </w:tc>
        <w:tc>
          <w:tcPr>
            <w:tcW w:w="8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2,216,474</w:t>
            </w:r>
          </w:p>
        </w:tc>
        <w:tc>
          <w:tcPr>
            <w:tcW w:w="0" w:type="dxa"/>
            <w:vAlign w:val="bottom"/>
          </w:tcPr>
          <w:p>
            <w:pPr>
              <w:spacing w:after="0"/>
              <w:rPr>
                <w:sz w:val="1"/>
                <w:szCs w:val="1"/>
                <w:color w:val="auto"/>
              </w:rPr>
            </w:pPr>
          </w:p>
        </w:tc>
      </w:tr>
      <w:tr>
        <w:trPr>
          <w:trHeight w:val="135"/>
        </w:trPr>
        <w:tc>
          <w:tcPr>
            <w:tcW w:w="2900" w:type="dxa"/>
            <w:vAlign w:val="bottom"/>
          </w:tcPr>
          <w:p>
            <w:pPr>
              <w:spacing w:after="0" w:line="135" w:lineRule="exact"/>
              <w:rPr>
                <w:sz w:val="20"/>
                <w:szCs w:val="20"/>
                <w:color w:val="auto"/>
              </w:rPr>
            </w:pPr>
            <w:r>
              <w:rPr>
                <w:rFonts w:ascii="Arial" w:cs="Arial" w:eastAsia="Arial" w:hAnsi="Arial"/>
                <w:sz w:val="12"/>
                <w:szCs w:val="12"/>
                <w:color w:val="auto"/>
              </w:rPr>
              <w:t xml:space="preserve">CI (IHS) Investment Holdings, LLC </w:t>
            </w:r>
            <w:r>
              <w:rPr>
                <w:rFonts w:ascii="Arial" w:cs="Arial" w:eastAsia="Arial" w:hAnsi="Arial"/>
                <w:sz w:val="9"/>
                <w:szCs w:val="9"/>
                <w:color w:val="auto"/>
              </w:rPr>
              <w:t>(9)</w:t>
            </w:r>
          </w:p>
        </w:tc>
        <w:tc>
          <w:tcPr>
            <w:tcW w:w="1140" w:type="dxa"/>
            <w:vAlign w:val="bottom"/>
          </w:tcPr>
          <w:p>
            <w:pPr>
              <w:jc w:val="center"/>
              <w:ind w:left="242"/>
              <w:spacing w:after="0" w:line="135" w:lineRule="exact"/>
              <w:rPr>
                <w:sz w:val="20"/>
                <w:szCs w:val="20"/>
                <w:color w:val="auto"/>
              </w:rPr>
            </w:pPr>
            <w:r>
              <w:rPr>
                <w:rFonts w:ascii="Arial" w:cs="Arial" w:eastAsia="Arial" w:hAnsi="Arial"/>
                <w:sz w:val="12"/>
                <w:szCs w:val="12"/>
                <w:color w:val="auto"/>
                <w:w w:val="99"/>
              </w:rPr>
              <w:t>—</w:t>
            </w:r>
          </w:p>
        </w:tc>
        <w:tc>
          <w:tcPr>
            <w:tcW w:w="2080" w:type="dxa"/>
            <w:vAlign w:val="bottom"/>
          </w:tcPr>
          <w:p>
            <w:pPr>
              <w:jc w:val="center"/>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1180" w:type="dxa"/>
            <w:vAlign w:val="bottom"/>
          </w:tcPr>
          <w:p>
            <w:pPr>
              <w:jc w:val="right"/>
              <w:ind w:right="322"/>
              <w:spacing w:after="0" w:line="135" w:lineRule="exact"/>
              <w:rPr>
                <w:sz w:val="20"/>
                <w:szCs w:val="20"/>
                <w:color w:val="auto"/>
              </w:rPr>
            </w:pPr>
            <w:r>
              <w:rPr>
                <w:rFonts w:ascii="Arial" w:cs="Arial" w:eastAsia="Arial" w:hAnsi="Arial"/>
                <w:sz w:val="12"/>
                <w:szCs w:val="12"/>
                <w:color w:val="auto"/>
              </w:rPr>
              <w:t>—</w:t>
            </w:r>
          </w:p>
        </w:tc>
        <w:tc>
          <w:tcPr>
            <w:tcW w:w="1040" w:type="dxa"/>
            <w:vAlign w:val="bottom"/>
          </w:tcPr>
          <w:p>
            <w:pPr>
              <w:ind w:left="720"/>
              <w:spacing w:after="0" w:line="135" w:lineRule="exact"/>
              <w:rPr>
                <w:sz w:val="20"/>
                <w:szCs w:val="20"/>
                <w:color w:val="auto"/>
              </w:rPr>
            </w:pPr>
            <w:r>
              <w:rPr>
                <w:rFonts w:ascii="Arial" w:cs="Arial" w:eastAsia="Arial" w:hAnsi="Arial"/>
                <w:sz w:val="12"/>
                <w:szCs w:val="12"/>
                <w:color w:val="auto"/>
              </w:rPr>
              <w:t>—</w:t>
            </w:r>
          </w:p>
        </w:tc>
        <w:tc>
          <w:tcPr>
            <w:tcW w:w="840" w:type="dxa"/>
            <w:vAlign w:val="bottom"/>
          </w:tcPr>
          <w:p>
            <w:pPr>
              <w:jc w:val="right"/>
              <w:ind w:right="62"/>
              <w:spacing w:after="0" w:line="135" w:lineRule="exact"/>
              <w:rPr>
                <w:sz w:val="20"/>
                <w:szCs w:val="20"/>
                <w:color w:val="auto"/>
              </w:rPr>
            </w:pPr>
            <w:r>
              <w:rPr>
                <w:rFonts w:ascii="Arial" w:cs="Arial" w:eastAsia="Arial" w:hAnsi="Arial"/>
                <w:sz w:val="12"/>
                <w:szCs w:val="12"/>
                <w:color w:val="auto"/>
              </w:rPr>
              <w:t>38,179</w:t>
            </w:r>
          </w:p>
        </w:tc>
        <w:tc>
          <w:tcPr>
            <w:tcW w:w="1040" w:type="dxa"/>
            <w:vAlign w:val="bottom"/>
            <w:gridSpan w:val="3"/>
          </w:tcPr>
          <w:p>
            <w:pPr>
              <w:jc w:val="right"/>
              <w:ind w:right="240"/>
              <w:spacing w:after="0" w:line="135" w:lineRule="exact"/>
              <w:rPr>
                <w:sz w:val="20"/>
                <w:szCs w:val="20"/>
                <w:color w:val="auto"/>
              </w:rPr>
            </w:pPr>
            <w:r>
              <w:rPr>
                <w:rFonts w:ascii="Arial" w:cs="Arial" w:eastAsia="Arial" w:hAnsi="Arial"/>
                <w:sz w:val="12"/>
                <w:szCs w:val="12"/>
                <w:color w:val="auto"/>
              </w:rPr>
              <w:t>382,654</w:t>
            </w:r>
          </w:p>
        </w:tc>
        <w:tc>
          <w:tcPr>
            <w:tcW w:w="80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1,108,237</w:t>
            </w:r>
          </w:p>
        </w:tc>
        <w:tc>
          <w:tcPr>
            <w:tcW w:w="0" w:type="dxa"/>
            <w:vAlign w:val="bottom"/>
          </w:tcPr>
          <w:p>
            <w:pPr>
              <w:spacing w:after="0"/>
              <w:rPr>
                <w:sz w:val="1"/>
                <w:szCs w:val="1"/>
                <w:color w:val="auto"/>
              </w:rPr>
            </w:pPr>
          </w:p>
        </w:tc>
      </w:tr>
      <w:tr>
        <w:trPr>
          <w:trHeight w:val="129"/>
        </w:trPr>
        <w:tc>
          <w:tcPr>
            <w:tcW w:w="290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Convergint Technologies Holdings, LLC</w:t>
            </w:r>
          </w:p>
        </w:tc>
        <w:tc>
          <w:tcPr>
            <w:tcW w:w="1140" w:type="dxa"/>
            <w:vAlign w:val="bottom"/>
            <w:shd w:val="clear" w:color="auto" w:fill="CCEEFF"/>
          </w:tcPr>
          <w:p>
            <w:pPr>
              <w:jc w:val="center"/>
              <w:ind w:left="242"/>
              <w:spacing w:after="0" w:line="129" w:lineRule="exact"/>
              <w:rPr>
                <w:sz w:val="20"/>
                <w:szCs w:val="20"/>
                <w:color w:val="auto"/>
              </w:rPr>
            </w:pPr>
            <w:r>
              <w:rPr>
                <w:rFonts w:ascii="Arial" w:cs="Arial" w:eastAsia="Arial" w:hAnsi="Arial"/>
                <w:sz w:val="12"/>
                <w:szCs w:val="12"/>
                <w:color w:val="auto"/>
                <w:w w:val="99"/>
              </w:rPr>
              <w:t>—</w:t>
            </w:r>
          </w:p>
        </w:tc>
        <w:tc>
          <w:tcPr>
            <w:tcW w:w="208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88"/>
              </w:rPr>
              <w:t>Electronics</w:t>
            </w:r>
          </w:p>
        </w:tc>
        <w:tc>
          <w:tcPr>
            <w:tcW w:w="1180" w:type="dxa"/>
            <w:vAlign w:val="bottom"/>
            <w:shd w:val="clear" w:color="auto" w:fill="CCEEFF"/>
          </w:tcPr>
          <w:p>
            <w:pPr>
              <w:jc w:val="right"/>
              <w:ind w:right="222"/>
              <w:spacing w:after="0" w:line="129" w:lineRule="exact"/>
              <w:rPr>
                <w:sz w:val="20"/>
                <w:szCs w:val="20"/>
                <w:color w:val="auto"/>
              </w:rPr>
            </w:pPr>
            <w:r>
              <w:rPr>
                <w:rFonts w:ascii="Arial" w:cs="Arial" w:eastAsia="Arial" w:hAnsi="Arial"/>
                <w:sz w:val="12"/>
                <w:szCs w:val="12"/>
                <w:color w:val="auto"/>
              </w:rPr>
              <w:t>8.00%</w:t>
            </w:r>
          </w:p>
        </w:tc>
        <w:tc>
          <w:tcPr>
            <w:tcW w:w="1040" w:type="dxa"/>
            <w:vAlign w:val="bottom"/>
            <w:shd w:val="clear" w:color="auto" w:fill="CCEEFF"/>
          </w:tcPr>
          <w:p>
            <w:pPr>
              <w:ind w:left="720"/>
              <w:spacing w:after="0" w:line="129" w:lineRule="exact"/>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62"/>
              <w:spacing w:after="0" w:line="129" w:lineRule="exact"/>
              <w:rPr>
                <w:sz w:val="20"/>
                <w:szCs w:val="20"/>
                <w:color w:val="auto"/>
              </w:rPr>
            </w:pPr>
            <w:r>
              <w:rPr>
                <w:rFonts w:ascii="Arial" w:cs="Arial" w:eastAsia="Arial" w:hAnsi="Arial"/>
                <w:sz w:val="12"/>
                <w:szCs w:val="12"/>
                <w:color w:val="auto"/>
              </w:rPr>
              <w:t>2,375</w:t>
            </w:r>
          </w:p>
        </w:tc>
        <w:tc>
          <w:tcPr>
            <w:tcW w:w="1040" w:type="dxa"/>
            <w:vAlign w:val="bottom"/>
            <w:gridSpan w:val="3"/>
            <w:shd w:val="clear" w:color="auto" w:fill="CCEEFF"/>
          </w:tcPr>
          <w:p>
            <w:pPr>
              <w:jc w:val="right"/>
              <w:ind w:right="240"/>
              <w:spacing w:after="0" w:line="129" w:lineRule="exact"/>
              <w:rPr>
                <w:sz w:val="20"/>
                <w:szCs w:val="20"/>
                <w:color w:val="auto"/>
              </w:rPr>
            </w:pPr>
            <w:r>
              <w:rPr>
                <w:rFonts w:ascii="Arial" w:cs="Arial" w:eastAsia="Arial" w:hAnsi="Arial"/>
                <w:sz w:val="12"/>
                <w:szCs w:val="12"/>
                <w:color w:val="auto"/>
              </w:rPr>
              <w:t>2,375,000</w:t>
            </w:r>
          </w:p>
        </w:tc>
        <w:tc>
          <w:tcPr>
            <w:tcW w:w="80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2,790,511</w:t>
            </w:r>
          </w:p>
        </w:tc>
        <w:tc>
          <w:tcPr>
            <w:tcW w:w="0" w:type="dxa"/>
            <w:vAlign w:val="bottom"/>
          </w:tcPr>
          <w:p>
            <w:pPr>
              <w:spacing w:after="0"/>
              <w:rPr>
                <w:sz w:val="1"/>
                <w:szCs w:val="1"/>
                <w:color w:val="auto"/>
              </w:rPr>
            </w:pPr>
          </w:p>
        </w:tc>
      </w:tr>
      <w:tr>
        <w:trPr>
          <w:trHeight w:val="141"/>
        </w:trPr>
        <w:tc>
          <w:tcPr>
            <w:tcW w:w="29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(Convergint Technologies LLC)</w:t>
            </w:r>
          </w:p>
        </w:tc>
        <w:tc>
          <w:tcPr>
            <w:tcW w:w="114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900" w:type="dxa"/>
            <w:vAlign w:val="bottom"/>
          </w:tcPr>
          <w:p>
            <w:pPr>
              <w:spacing w:after="0" w:line="129" w:lineRule="exact"/>
              <w:rPr>
                <w:sz w:val="20"/>
                <w:szCs w:val="20"/>
                <w:color w:val="auto"/>
              </w:rPr>
            </w:pPr>
            <w:r>
              <w:rPr>
                <w:rFonts w:ascii="Arial" w:cs="Arial" w:eastAsia="Arial" w:hAnsi="Arial"/>
                <w:sz w:val="12"/>
                <w:szCs w:val="12"/>
                <w:color w:val="auto"/>
              </w:rPr>
              <w:t>J.A. Cosmetics US, Inc.</w:t>
            </w:r>
          </w:p>
        </w:tc>
        <w:tc>
          <w:tcPr>
            <w:tcW w:w="1140" w:type="dxa"/>
            <w:vAlign w:val="bottom"/>
          </w:tcPr>
          <w:p>
            <w:pPr>
              <w:jc w:val="center"/>
              <w:ind w:left="242"/>
              <w:spacing w:after="0" w:line="129" w:lineRule="exact"/>
              <w:rPr>
                <w:sz w:val="20"/>
                <w:szCs w:val="20"/>
                <w:color w:val="auto"/>
              </w:rPr>
            </w:pPr>
            <w:r>
              <w:rPr>
                <w:rFonts w:ascii="Arial" w:cs="Arial" w:eastAsia="Arial" w:hAnsi="Arial"/>
                <w:sz w:val="12"/>
                <w:szCs w:val="12"/>
                <w:color w:val="auto"/>
                <w:w w:val="99"/>
              </w:rPr>
              <w:t>—</w:t>
            </w:r>
          </w:p>
        </w:tc>
        <w:tc>
          <w:tcPr>
            <w:tcW w:w="2080" w:type="dxa"/>
            <w:vAlign w:val="bottom"/>
          </w:tcPr>
          <w:p>
            <w:pPr>
              <w:jc w:val="center"/>
              <w:spacing w:after="0" w:line="129" w:lineRule="exact"/>
              <w:rPr>
                <w:sz w:val="20"/>
                <w:szCs w:val="20"/>
                <w:color w:val="auto"/>
              </w:rPr>
            </w:pPr>
            <w:r>
              <w:rPr>
                <w:rFonts w:ascii="Arial" w:cs="Arial" w:eastAsia="Arial" w:hAnsi="Arial"/>
                <w:sz w:val="12"/>
                <w:szCs w:val="12"/>
                <w:color w:val="auto"/>
                <w:w w:val="86"/>
              </w:rPr>
              <w:t>Consumer Products</w:t>
            </w:r>
          </w:p>
        </w:tc>
        <w:tc>
          <w:tcPr>
            <w:tcW w:w="1180" w:type="dxa"/>
            <w:vAlign w:val="bottom"/>
          </w:tcPr>
          <w:p>
            <w:pPr>
              <w:jc w:val="right"/>
              <w:ind w:right="222"/>
              <w:spacing w:after="0" w:line="129" w:lineRule="exact"/>
              <w:rPr>
                <w:sz w:val="20"/>
                <w:szCs w:val="20"/>
                <w:color w:val="auto"/>
              </w:rPr>
            </w:pPr>
            <w:r>
              <w:rPr>
                <w:rFonts w:ascii="Arial" w:cs="Arial" w:eastAsia="Arial" w:hAnsi="Arial"/>
                <w:sz w:val="12"/>
                <w:szCs w:val="12"/>
                <w:color w:val="auto"/>
              </w:rPr>
              <w:t>8.00%</w:t>
            </w:r>
          </w:p>
        </w:tc>
        <w:tc>
          <w:tcPr>
            <w:tcW w:w="1040" w:type="dxa"/>
            <w:vAlign w:val="bottom"/>
          </w:tcPr>
          <w:p>
            <w:pPr>
              <w:ind w:left="720"/>
              <w:spacing w:after="0" w:line="129" w:lineRule="exact"/>
              <w:rPr>
                <w:sz w:val="20"/>
                <w:szCs w:val="20"/>
                <w:color w:val="auto"/>
              </w:rPr>
            </w:pPr>
            <w:r>
              <w:rPr>
                <w:rFonts w:ascii="Arial" w:cs="Arial" w:eastAsia="Arial" w:hAnsi="Arial"/>
                <w:sz w:val="12"/>
                <w:szCs w:val="12"/>
                <w:color w:val="auto"/>
              </w:rPr>
              <w:t>—</w:t>
            </w:r>
          </w:p>
        </w:tc>
        <w:tc>
          <w:tcPr>
            <w:tcW w:w="840" w:type="dxa"/>
            <w:vAlign w:val="bottom"/>
          </w:tcPr>
          <w:p>
            <w:pPr>
              <w:jc w:val="right"/>
              <w:ind w:right="62"/>
              <w:spacing w:after="0" w:line="129" w:lineRule="exact"/>
              <w:rPr>
                <w:sz w:val="20"/>
                <w:szCs w:val="20"/>
                <w:color w:val="auto"/>
              </w:rPr>
            </w:pPr>
            <w:r>
              <w:rPr>
                <w:rFonts w:ascii="Arial" w:cs="Arial" w:eastAsia="Arial" w:hAnsi="Arial"/>
                <w:sz w:val="12"/>
                <w:szCs w:val="12"/>
                <w:color w:val="auto"/>
              </w:rPr>
              <w:t>3,397</w:t>
            </w:r>
          </w:p>
        </w:tc>
        <w:tc>
          <w:tcPr>
            <w:tcW w:w="1040" w:type="dxa"/>
            <w:vAlign w:val="bottom"/>
            <w:gridSpan w:val="3"/>
          </w:tcPr>
          <w:p>
            <w:pPr>
              <w:jc w:val="right"/>
              <w:ind w:right="240"/>
              <w:spacing w:after="0" w:line="129" w:lineRule="exact"/>
              <w:rPr>
                <w:sz w:val="20"/>
                <w:szCs w:val="20"/>
                <w:color w:val="auto"/>
              </w:rPr>
            </w:pPr>
            <w:r>
              <w:rPr>
                <w:rFonts w:ascii="Arial" w:cs="Arial" w:eastAsia="Arial" w:hAnsi="Arial"/>
                <w:sz w:val="12"/>
                <w:szCs w:val="12"/>
                <w:color w:val="auto"/>
              </w:rPr>
              <w:t>3,397,484</w:t>
            </w:r>
          </w:p>
        </w:tc>
        <w:tc>
          <w:tcPr>
            <w:tcW w:w="80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3,580,328</w:t>
            </w:r>
          </w:p>
        </w:tc>
        <w:tc>
          <w:tcPr>
            <w:tcW w:w="0" w:type="dxa"/>
            <w:vAlign w:val="bottom"/>
          </w:tcPr>
          <w:p>
            <w:pPr>
              <w:spacing w:after="0"/>
              <w:rPr>
                <w:sz w:val="1"/>
                <w:szCs w:val="1"/>
                <w:color w:val="auto"/>
              </w:rPr>
            </w:pPr>
          </w:p>
        </w:tc>
      </w:tr>
      <w:tr>
        <w:trPr>
          <w:trHeight w:val="141"/>
        </w:trPr>
        <w:tc>
          <w:tcPr>
            <w:tcW w:w="2900" w:type="dxa"/>
            <w:vAlign w:val="bottom"/>
          </w:tcPr>
          <w:p>
            <w:pPr>
              <w:ind w:left="120"/>
              <w:spacing w:after="0"/>
              <w:rPr>
                <w:sz w:val="20"/>
                <w:szCs w:val="20"/>
                <w:color w:val="auto"/>
              </w:rPr>
            </w:pPr>
            <w:r>
              <w:rPr>
                <w:rFonts w:ascii="Arial" w:cs="Arial" w:eastAsia="Arial" w:hAnsi="Arial"/>
                <w:sz w:val="12"/>
                <w:szCs w:val="12"/>
                <w:color w:val="auto"/>
              </w:rPr>
              <w:t>(J.A. Cosmetics Holdings, Inc.)</w:t>
            </w:r>
          </w:p>
        </w:tc>
        <w:tc>
          <w:tcPr>
            <w:tcW w:w="11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9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Red Point, LLC</w:t>
            </w:r>
          </w:p>
        </w:tc>
        <w:tc>
          <w:tcPr>
            <w:tcW w:w="1140" w:type="dxa"/>
            <w:vAlign w:val="bottom"/>
            <w:shd w:val="clear" w:color="auto" w:fill="CCEEFF"/>
          </w:tcPr>
          <w:p>
            <w:pPr>
              <w:jc w:val="center"/>
              <w:ind w:left="242"/>
              <w:spacing w:after="0" w:line="135" w:lineRule="exact"/>
              <w:rPr>
                <w:sz w:val="20"/>
                <w:szCs w:val="20"/>
                <w:color w:val="auto"/>
              </w:rPr>
            </w:pPr>
            <w:r>
              <w:rPr>
                <w:rFonts w:ascii="Arial" w:cs="Arial" w:eastAsia="Arial" w:hAnsi="Arial"/>
                <w:sz w:val="12"/>
                <w:szCs w:val="12"/>
                <w:color w:val="auto"/>
                <w:w w:val="99"/>
              </w:rPr>
              <w:t>—</w:t>
            </w:r>
          </w:p>
        </w:tc>
        <w:tc>
          <w:tcPr>
            <w:tcW w:w="20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0"/>
              </w:rPr>
              <w:t>Other Media</w:t>
            </w:r>
          </w:p>
        </w:tc>
        <w:tc>
          <w:tcPr>
            <w:tcW w:w="1180" w:type="dxa"/>
            <w:vAlign w:val="bottom"/>
            <w:shd w:val="clear" w:color="auto" w:fill="CCEEFF"/>
          </w:tcPr>
          <w:p>
            <w:pPr>
              <w:jc w:val="right"/>
              <w:ind w:right="222"/>
              <w:spacing w:after="0" w:line="135" w:lineRule="exact"/>
              <w:rPr>
                <w:sz w:val="20"/>
                <w:szCs w:val="20"/>
                <w:color w:val="auto"/>
              </w:rPr>
            </w:pPr>
            <w:r>
              <w:rPr>
                <w:rFonts w:ascii="Arial" w:cs="Arial" w:eastAsia="Arial" w:hAnsi="Arial"/>
                <w:sz w:val="12"/>
                <w:szCs w:val="12"/>
                <w:color w:val="auto"/>
              </w:rPr>
              <w:t>8.00%</w:t>
            </w:r>
          </w:p>
        </w:tc>
        <w:tc>
          <w:tcPr>
            <w:tcW w:w="1040" w:type="dxa"/>
            <w:vAlign w:val="bottom"/>
            <w:shd w:val="clear" w:color="auto" w:fill="CCEEFF"/>
          </w:tcPr>
          <w:p>
            <w:pPr>
              <w:ind w:left="720"/>
              <w:spacing w:after="0" w:line="135" w:lineRule="exact"/>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62"/>
              <w:spacing w:after="0" w:line="135" w:lineRule="exact"/>
              <w:rPr>
                <w:sz w:val="20"/>
                <w:szCs w:val="20"/>
                <w:color w:val="auto"/>
              </w:rPr>
            </w:pPr>
            <w:r>
              <w:rPr>
                <w:rFonts w:ascii="Arial" w:cs="Arial" w:eastAsia="Arial" w:hAnsi="Arial"/>
                <w:sz w:val="12"/>
                <w:szCs w:val="12"/>
                <w:color w:val="auto"/>
              </w:rPr>
              <w:t>3,591</w:t>
            </w:r>
          </w:p>
        </w:tc>
        <w:tc>
          <w:tcPr>
            <w:tcW w:w="1040" w:type="dxa"/>
            <w:vAlign w:val="bottom"/>
            <w:gridSpan w:val="3"/>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21,727</w:t>
            </w:r>
          </w:p>
        </w:tc>
        <w:tc>
          <w:tcPr>
            <w:tcW w:w="8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31,851</w:t>
            </w:r>
          </w:p>
        </w:tc>
        <w:tc>
          <w:tcPr>
            <w:tcW w:w="0" w:type="dxa"/>
            <w:vAlign w:val="bottom"/>
          </w:tcPr>
          <w:p>
            <w:pPr>
              <w:spacing w:after="0"/>
              <w:rPr>
                <w:sz w:val="1"/>
                <w:szCs w:val="1"/>
                <w:color w:val="auto"/>
              </w:rPr>
            </w:pPr>
          </w:p>
        </w:tc>
      </w:tr>
      <w:tr>
        <w:trPr>
          <w:trHeight w:val="135"/>
        </w:trPr>
        <w:tc>
          <w:tcPr>
            <w:tcW w:w="2900" w:type="dxa"/>
            <w:vAlign w:val="bottom"/>
          </w:tcPr>
          <w:p>
            <w:pPr>
              <w:spacing w:after="0" w:line="135" w:lineRule="exact"/>
              <w:rPr>
                <w:sz w:val="20"/>
                <w:szCs w:val="20"/>
                <w:color w:val="auto"/>
              </w:rPr>
            </w:pPr>
            <w:r>
              <w:rPr>
                <w:rFonts w:ascii="Arial" w:cs="Arial" w:eastAsia="Arial" w:hAnsi="Arial"/>
                <w:sz w:val="12"/>
                <w:szCs w:val="12"/>
                <w:color w:val="auto"/>
              </w:rPr>
              <w:t>Ride Holdings, Inc.</w:t>
            </w:r>
          </w:p>
        </w:tc>
        <w:tc>
          <w:tcPr>
            <w:tcW w:w="1140" w:type="dxa"/>
            <w:vAlign w:val="bottom"/>
          </w:tcPr>
          <w:p>
            <w:pPr>
              <w:jc w:val="center"/>
              <w:ind w:left="242"/>
              <w:spacing w:after="0" w:line="135" w:lineRule="exact"/>
              <w:rPr>
                <w:sz w:val="20"/>
                <w:szCs w:val="20"/>
                <w:color w:val="auto"/>
              </w:rPr>
            </w:pPr>
            <w:r>
              <w:rPr>
                <w:rFonts w:ascii="Arial" w:cs="Arial" w:eastAsia="Arial" w:hAnsi="Arial"/>
                <w:sz w:val="12"/>
                <w:szCs w:val="12"/>
                <w:color w:val="auto"/>
                <w:w w:val="99"/>
              </w:rPr>
              <w:t>—</w:t>
            </w:r>
          </w:p>
        </w:tc>
        <w:tc>
          <w:tcPr>
            <w:tcW w:w="2080" w:type="dxa"/>
            <w:vAlign w:val="bottom"/>
          </w:tcPr>
          <w:p>
            <w:pPr>
              <w:jc w:val="center"/>
              <w:spacing w:after="0" w:line="135" w:lineRule="exact"/>
              <w:rPr>
                <w:sz w:val="20"/>
                <w:szCs w:val="20"/>
                <w:color w:val="auto"/>
              </w:rPr>
            </w:pPr>
            <w:r>
              <w:rPr>
                <w:rFonts w:ascii="Arial" w:cs="Arial" w:eastAsia="Arial" w:hAnsi="Arial"/>
                <w:sz w:val="12"/>
                <w:szCs w:val="12"/>
                <w:color w:val="auto"/>
                <w:w w:val="87"/>
              </w:rPr>
              <w:t>Personal Transportation</w:t>
            </w:r>
          </w:p>
        </w:tc>
        <w:tc>
          <w:tcPr>
            <w:tcW w:w="1180" w:type="dxa"/>
            <w:vAlign w:val="bottom"/>
          </w:tcPr>
          <w:p>
            <w:pPr>
              <w:jc w:val="right"/>
              <w:ind w:right="222"/>
              <w:spacing w:after="0" w:line="135" w:lineRule="exact"/>
              <w:rPr>
                <w:sz w:val="20"/>
                <w:szCs w:val="20"/>
                <w:color w:val="auto"/>
              </w:rPr>
            </w:pPr>
            <w:r>
              <w:rPr>
                <w:rFonts w:ascii="Arial" w:cs="Arial" w:eastAsia="Arial" w:hAnsi="Arial"/>
                <w:sz w:val="12"/>
                <w:szCs w:val="12"/>
                <w:color w:val="auto"/>
              </w:rPr>
              <w:t>8.00%</w:t>
            </w:r>
          </w:p>
        </w:tc>
        <w:tc>
          <w:tcPr>
            <w:tcW w:w="1040" w:type="dxa"/>
            <w:vAlign w:val="bottom"/>
          </w:tcPr>
          <w:p>
            <w:pPr>
              <w:ind w:left="720"/>
              <w:spacing w:after="0" w:line="135" w:lineRule="exact"/>
              <w:rPr>
                <w:sz w:val="20"/>
                <w:szCs w:val="20"/>
                <w:color w:val="auto"/>
              </w:rPr>
            </w:pPr>
            <w:r>
              <w:rPr>
                <w:rFonts w:ascii="Arial" w:cs="Arial" w:eastAsia="Arial" w:hAnsi="Arial"/>
                <w:sz w:val="12"/>
                <w:szCs w:val="12"/>
                <w:color w:val="auto"/>
              </w:rPr>
              <w:t>—</w:t>
            </w:r>
          </w:p>
        </w:tc>
        <w:tc>
          <w:tcPr>
            <w:tcW w:w="840" w:type="dxa"/>
            <w:vAlign w:val="bottom"/>
          </w:tcPr>
          <w:p>
            <w:pPr>
              <w:jc w:val="right"/>
              <w:ind w:right="62"/>
              <w:spacing w:after="0" w:line="135" w:lineRule="exact"/>
              <w:rPr>
                <w:sz w:val="20"/>
                <w:szCs w:val="20"/>
                <w:color w:val="auto"/>
              </w:rPr>
            </w:pPr>
            <w:r>
              <w:rPr>
                <w:rFonts w:ascii="Arial" w:cs="Arial" w:eastAsia="Arial" w:hAnsi="Arial"/>
                <w:sz w:val="12"/>
                <w:szCs w:val="12"/>
                <w:color w:val="auto"/>
              </w:rPr>
              <w:t>1,966,667</w:t>
            </w:r>
          </w:p>
        </w:tc>
        <w:tc>
          <w:tcPr>
            <w:tcW w:w="1040" w:type="dxa"/>
            <w:vAlign w:val="bottom"/>
            <w:gridSpan w:val="3"/>
          </w:tcPr>
          <w:p>
            <w:pPr>
              <w:jc w:val="right"/>
              <w:ind w:right="240"/>
              <w:spacing w:after="0" w:line="135" w:lineRule="exact"/>
              <w:rPr>
                <w:sz w:val="20"/>
                <w:szCs w:val="20"/>
                <w:color w:val="auto"/>
              </w:rPr>
            </w:pPr>
            <w:r>
              <w:rPr>
                <w:rFonts w:ascii="Arial" w:cs="Arial" w:eastAsia="Arial" w:hAnsi="Arial"/>
                <w:sz w:val="12"/>
                <w:szCs w:val="12"/>
                <w:color w:val="auto"/>
              </w:rPr>
              <w:t>2,251,667</w:t>
            </w:r>
          </w:p>
        </w:tc>
        <w:tc>
          <w:tcPr>
            <w:tcW w:w="80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712,145</w:t>
            </w:r>
          </w:p>
        </w:tc>
        <w:tc>
          <w:tcPr>
            <w:tcW w:w="0" w:type="dxa"/>
            <w:vAlign w:val="bottom"/>
          </w:tcPr>
          <w:p>
            <w:pPr>
              <w:spacing w:after="0"/>
              <w:rPr>
                <w:sz w:val="1"/>
                <w:szCs w:val="1"/>
                <w:color w:val="auto"/>
              </w:rPr>
            </w:pPr>
          </w:p>
        </w:tc>
      </w:tr>
      <w:tr>
        <w:trPr>
          <w:trHeight w:val="135"/>
        </w:trPr>
        <w:tc>
          <w:tcPr>
            <w:tcW w:w="29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TZ Holdings, L.P., Series A</w:t>
            </w:r>
          </w:p>
        </w:tc>
        <w:tc>
          <w:tcPr>
            <w:tcW w:w="1140" w:type="dxa"/>
            <w:vAlign w:val="bottom"/>
            <w:shd w:val="clear" w:color="auto" w:fill="CCEEFF"/>
          </w:tcPr>
          <w:p>
            <w:pPr>
              <w:jc w:val="center"/>
              <w:ind w:left="242"/>
              <w:spacing w:after="0" w:line="135" w:lineRule="exact"/>
              <w:rPr>
                <w:sz w:val="20"/>
                <w:szCs w:val="20"/>
                <w:color w:val="auto"/>
              </w:rPr>
            </w:pPr>
            <w:r>
              <w:rPr>
                <w:rFonts w:ascii="Arial" w:cs="Arial" w:eastAsia="Arial" w:hAnsi="Arial"/>
                <w:sz w:val="12"/>
                <w:szCs w:val="12"/>
                <w:color w:val="auto"/>
                <w:w w:val="99"/>
              </w:rPr>
              <w:t>—</w:t>
            </w:r>
          </w:p>
        </w:tc>
        <w:tc>
          <w:tcPr>
            <w:tcW w:w="2080" w:type="dxa"/>
            <w:vAlign w:val="bottom"/>
            <w:shd w:val="clear" w:color="auto" w:fill="CCEEFF"/>
          </w:tcPr>
          <w:p>
            <w:pPr>
              <w:jc w:val="center"/>
              <w:ind w:right="2"/>
              <w:spacing w:after="0" w:line="135" w:lineRule="exact"/>
              <w:rPr>
                <w:sz w:val="20"/>
                <w:szCs w:val="20"/>
                <w:color w:val="auto"/>
              </w:rPr>
            </w:pPr>
            <w:r>
              <w:rPr>
                <w:rFonts w:ascii="Arial" w:cs="Arial" w:eastAsia="Arial" w:hAnsi="Arial"/>
                <w:sz w:val="12"/>
                <w:szCs w:val="12"/>
                <w:color w:val="auto"/>
                <w:w w:val="87"/>
              </w:rPr>
              <w:t>Insurance</w:t>
            </w:r>
          </w:p>
        </w:tc>
        <w:tc>
          <w:tcPr>
            <w:tcW w:w="1180" w:type="dxa"/>
            <w:vAlign w:val="bottom"/>
            <w:shd w:val="clear" w:color="auto" w:fill="CCEEFF"/>
          </w:tcPr>
          <w:p>
            <w:pPr>
              <w:jc w:val="right"/>
              <w:ind w:right="322"/>
              <w:spacing w:after="0" w:line="135" w:lineRule="exact"/>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ind w:left="720"/>
              <w:spacing w:after="0" w:line="135" w:lineRule="exact"/>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62"/>
              <w:spacing w:after="0" w:line="135" w:lineRule="exact"/>
              <w:rPr>
                <w:sz w:val="20"/>
                <w:szCs w:val="20"/>
                <w:color w:val="auto"/>
              </w:rPr>
            </w:pPr>
            <w:r>
              <w:rPr>
                <w:rFonts w:ascii="Arial" w:cs="Arial" w:eastAsia="Arial" w:hAnsi="Arial"/>
                <w:sz w:val="12"/>
                <w:szCs w:val="12"/>
                <w:color w:val="auto"/>
              </w:rPr>
              <w:t>686</w:t>
            </w:r>
          </w:p>
        </w:tc>
        <w:tc>
          <w:tcPr>
            <w:tcW w:w="1040" w:type="dxa"/>
            <w:vAlign w:val="bottom"/>
            <w:gridSpan w:val="3"/>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685,820</w:t>
            </w:r>
          </w:p>
        </w:tc>
        <w:tc>
          <w:tcPr>
            <w:tcW w:w="8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685,820</w:t>
            </w:r>
          </w:p>
        </w:tc>
        <w:tc>
          <w:tcPr>
            <w:tcW w:w="0" w:type="dxa"/>
            <w:vAlign w:val="bottom"/>
          </w:tcPr>
          <w:p>
            <w:pPr>
              <w:spacing w:after="0"/>
              <w:rPr>
                <w:sz w:val="1"/>
                <w:szCs w:val="1"/>
                <w:color w:val="auto"/>
              </w:rPr>
            </w:pPr>
          </w:p>
        </w:tc>
      </w:tr>
      <w:tr>
        <w:trPr>
          <w:trHeight w:val="135"/>
        </w:trPr>
        <w:tc>
          <w:tcPr>
            <w:tcW w:w="2900" w:type="dxa"/>
            <w:vAlign w:val="bottom"/>
          </w:tcPr>
          <w:p>
            <w:pPr>
              <w:spacing w:after="0" w:line="135" w:lineRule="exact"/>
              <w:rPr>
                <w:sz w:val="20"/>
                <w:szCs w:val="20"/>
                <w:color w:val="auto"/>
              </w:rPr>
            </w:pPr>
            <w:r>
              <w:rPr>
                <w:rFonts w:ascii="Arial" w:cs="Arial" w:eastAsia="Arial" w:hAnsi="Arial"/>
                <w:sz w:val="12"/>
                <w:szCs w:val="12"/>
                <w:color w:val="auto"/>
              </w:rPr>
              <w:t>TZ Holdings, L.P., Series B</w:t>
            </w:r>
          </w:p>
        </w:tc>
        <w:tc>
          <w:tcPr>
            <w:tcW w:w="1140" w:type="dxa"/>
            <w:vAlign w:val="bottom"/>
          </w:tcPr>
          <w:p>
            <w:pPr>
              <w:jc w:val="center"/>
              <w:ind w:left="242"/>
              <w:spacing w:after="0" w:line="135" w:lineRule="exact"/>
              <w:rPr>
                <w:sz w:val="20"/>
                <w:szCs w:val="20"/>
                <w:color w:val="auto"/>
              </w:rPr>
            </w:pPr>
            <w:r>
              <w:rPr>
                <w:rFonts w:ascii="Arial" w:cs="Arial" w:eastAsia="Arial" w:hAnsi="Arial"/>
                <w:sz w:val="12"/>
                <w:szCs w:val="12"/>
                <w:color w:val="auto"/>
                <w:w w:val="99"/>
              </w:rPr>
              <w:t>—</w:t>
            </w:r>
          </w:p>
        </w:tc>
        <w:tc>
          <w:tcPr>
            <w:tcW w:w="2080" w:type="dxa"/>
            <w:vAlign w:val="bottom"/>
          </w:tcPr>
          <w:p>
            <w:pPr>
              <w:jc w:val="center"/>
              <w:ind w:right="2"/>
              <w:spacing w:after="0" w:line="135" w:lineRule="exact"/>
              <w:rPr>
                <w:sz w:val="20"/>
                <w:szCs w:val="20"/>
                <w:color w:val="auto"/>
              </w:rPr>
            </w:pPr>
            <w:r>
              <w:rPr>
                <w:rFonts w:ascii="Arial" w:cs="Arial" w:eastAsia="Arial" w:hAnsi="Arial"/>
                <w:sz w:val="12"/>
                <w:szCs w:val="12"/>
                <w:color w:val="auto"/>
                <w:w w:val="87"/>
              </w:rPr>
              <w:t>Insurance</w:t>
            </w:r>
          </w:p>
        </w:tc>
        <w:tc>
          <w:tcPr>
            <w:tcW w:w="1180" w:type="dxa"/>
            <w:vAlign w:val="bottom"/>
          </w:tcPr>
          <w:p>
            <w:pPr>
              <w:jc w:val="right"/>
              <w:ind w:right="222"/>
              <w:spacing w:after="0" w:line="135" w:lineRule="exact"/>
              <w:rPr>
                <w:sz w:val="20"/>
                <w:szCs w:val="20"/>
                <w:color w:val="auto"/>
              </w:rPr>
            </w:pPr>
            <w:r>
              <w:rPr>
                <w:rFonts w:ascii="Arial" w:cs="Arial" w:eastAsia="Arial" w:hAnsi="Arial"/>
                <w:sz w:val="12"/>
                <w:szCs w:val="12"/>
                <w:color w:val="auto"/>
              </w:rPr>
              <w:t>6.50%</w:t>
            </w:r>
          </w:p>
        </w:tc>
        <w:tc>
          <w:tcPr>
            <w:tcW w:w="1040" w:type="dxa"/>
            <w:vAlign w:val="bottom"/>
          </w:tcPr>
          <w:p>
            <w:pPr>
              <w:ind w:left="720"/>
              <w:spacing w:after="0" w:line="135" w:lineRule="exact"/>
              <w:rPr>
                <w:sz w:val="20"/>
                <w:szCs w:val="20"/>
                <w:color w:val="auto"/>
              </w:rPr>
            </w:pPr>
            <w:r>
              <w:rPr>
                <w:rFonts w:ascii="Arial" w:cs="Arial" w:eastAsia="Arial" w:hAnsi="Arial"/>
                <w:sz w:val="12"/>
                <w:szCs w:val="12"/>
                <w:color w:val="auto"/>
              </w:rPr>
              <w:t>—</w:t>
            </w:r>
          </w:p>
        </w:tc>
        <w:tc>
          <w:tcPr>
            <w:tcW w:w="840" w:type="dxa"/>
            <w:vAlign w:val="bottom"/>
          </w:tcPr>
          <w:p>
            <w:pPr>
              <w:jc w:val="right"/>
              <w:ind w:right="62"/>
              <w:spacing w:after="0" w:line="135" w:lineRule="exact"/>
              <w:rPr>
                <w:sz w:val="20"/>
                <w:szCs w:val="20"/>
                <w:color w:val="auto"/>
              </w:rPr>
            </w:pPr>
            <w:r>
              <w:rPr>
                <w:rFonts w:ascii="Arial" w:cs="Arial" w:eastAsia="Arial" w:hAnsi="Arial"/>
                <w:sz w:val="12"/>
                <w:szCs w:val="12"/>
                <w:color w:val="auto"/>
              </w:rPr>
              <w:t>1,312</w:t>
            </w:r>
          </w:p>
        </w:tc>
        <w:tc>
          <w:tcPr>
            <w:tcW w:w="12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2"/>
                <w:szCs w:val="12"/>
                <w:color w:val="auto"/>
              </w:rPr>
              <w:t>1,312,006</w:t>
            </w:r>
          </w:p>
        </w:tc>
        <w:tc>
          <w:tcPr>
            <w:tcW w:w="240" w:type="dxa"/>
            <w:vAlign w:val="bottom"/>
          </w:tcPr>
          <w:p>
            <w:pPr>
              <w:spacing w:after="0"/>
              <w:rPr>
                <w:sz w:val="11"/>
                <w:szCs w:val="11"/>
                <w:color w:val="auto"/>
              </w:rPr>
            </w:pPr>
          </w:p>
        </w:tc>
        <w:tc>
          <w:tcPr>
            <w:tcW w:w="80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1,799,366</w:t>
            </w:r>
          </w:p>
        </w:tc>
        <w:tc>
          <w:tcPr>
            <w:tcW w:w="0" w:type="dxa"/>
            <w:vAlign w:val="bottom"/>
          </w:tcPr>
          <w:p>
            <w:pPr>
              <w:spacing w:after="0"/>
              <w:rPr>
                <w:sz w:val="1"/>
                <w:szCs w:val="1"/>
                <w:color w:val="auto"/>
              </w:rPr>
            </w:pPr>
          </w:p>
        </w:tc>
      </w:tr>
      <w:tr>
        <w:trPr>
          <w:trHeight w:val="27"/>
        </w:trPr>
        <w:tc>
          <w:tcPr>
            <w:tcW w:w="29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90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Preferred Equity/Partnership Interests</w:t>
            </w:r>
          </w:p>
        </w:tc>
        <w:tc>
          <w:tcPr>
            <w:tcW w:w="1140" w:type="dxa"/>
            <w:vAlign w:val="bottom"/>
            <w:shd w:val="clear" w:color="auto" w:fill="CCEEFF"/>
          </w:tcPr>
          <w:p>
            <w:pPr>
              <w:spacing w:after="0"/>
              <w:rPr>
                <w:sz w:val="11"/>
                <w:szCs w:val="11"/>
                <w:color w:val="auto"/>
              </w:rPr>
            </w:pPr>
          </w:p>
        </w:tc>
        <w:tc>
          <w:tcPr>
            <w:tcW w:w="208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12,959,611</w:t>
            </w:r>
          </w:p>
        </w:tc>
        <w:tc>
          <w:tcPr>
            <w:tcW w:w="24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13,352,697</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19"/>
        <w:spacing w:after="0"/>
        <w:rPr>
          <w:sz w:val="20"/>
          <w:szCs w:val="20"/>
          <w:color w:val="auto"/>
        </w:rPr>
      </w:pPr>
      <w:r>
        <w:rPr>
          <w:rFonts w:ascii="Arial" w:cs="Arial" w:eastAsia="Arial" w:hAnsi="Arial"/>
          <w:sz w:val="15"/>
          <w:szCs w:val="15"/>
          <w:color w:val="auto"/>
        </w:rPr>
        <w:t>SEE NOTES TO CONSOLIDATED FINANCIAL STATEMENTS</w:t>
      </w:r>
    </w:p>
    <w:p>
      <w:pPr>
        <w:spacing w:after="0" w:line="133"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020"/>
          </w:cols>
          <w:pgMar w:left="320" w:top="459" w:right="5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ind w:right="-219"/>
        <w:spacing w:after="0" w:line="226" w:lineRule="auto"/>
        <w:rPr>
          <w:sz w:val="20"/>
          <w:szCs w:val="20"/>
          <w:color w:val="auto"/>
        </w:rPr>
      </w:pPr>
      <w:r>
        <w:rPr>
          <w:rFonts w:ascii="Arial" w:cs="Arial" w:eastAsia="Arial" w:hAnsi="Arial"/>
          <w:sz w:val="14"/>
          <w:szCs w:val="14"/>
          <w:b w:val="1"/>
          <w:bCs w:val="1"/>
          <w:color w:val="auto"/>
        </w:rPr>
        <w:t>CONSOLIDATED SCHEDULE OF INVESTMENTS – (Continued)</w:t>
      </w:r>
    </w:p>
    <w:p>
      <w:pPr>
        <w:jc w:val="center"/>
        <w:ind w:right="-219"/>
        <w:spacing w:after="0"/>
        <w:rPr>
          <w:sz w:val="20"/>
          <w:szCs w:val="20"/>
          <w:color w:val="auto"/>
        </w:rPr>
      </w:pPr>
      <w:r>
        <w:rPr>
          <w:rFonts w:ascii="Arial" w:cs="Arial" w:eastAsia="Arial" w:hAnsi="Arial"/>
          <w:sz w:val="14"/>
          <w:szCs w:val="14"/>
          <w:b w:val="1"/>
          <w:bCs w:val="1"/>
          <w:color w:val="auto"/>
        </w:rPr>
        <w:t>SEPTEMBER 30, 2014</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80" w:type="dxa"/>
            <w:vAlign w:val="bottom"/>
          </w:tcPr>
          <w:p>
            <w:pPr>
              <w:jc w:val="center"/>
              <w:ind w:left="462"/>
              <w:spacing w:after="0"/>
              <w:rPr>
                <w:sz w:val="20"/>
                <w:szCs w:val="20"/>
                <w:color w:val="auto"/>
              </w:rPr>
            </w:pPr>
            <w:r>
              <w:rPr>
                <w:rFonts w:ascii="Arial" w:cs="Arial" w:eastAsia="Arial" w:hAnsi="Arial"/>
                <w:sz w:val="12"/>
                <w:szCs w:val="12"/>
                <w:b w:val="1"/>
                <w:bCs w:val="1"/>
                <w:color w:val="auto"/>
                <w:w w:val="85"/>
              </w:rPr>
              <w:t>Basis Point</w:t>
            </w:r>
          </w:p>
        </w:tc>
        <w:tc>
          <w:tcPr>
            <w:tcW w:w="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80" w:type="dxa"/>
            <w:vAlign w:val="bottom"/>
          </w:tcPr>
          <w:p>
            <w:pPr>
              <w:jc w:val="center"/>
              <w:ind w:left="462"/>
              <w:spacing w:after="0" w:line="135" w:lineRule="exact"/>
              <w:rPr>
                <w:sz w:val="20"/>
                <w:szCs w:val="20"/>
                <w:color w:val="auto"/>
              </w:rPr>
            </w:pPr>
            <w:r>
              <w:rPr>
                <w:rFonts w:ascii="Arial" w:cs="Arial" w:eastAsia="Arial" w:hAnsi="Arial"/>
                <w:sz w:val="12"/>
                <w:szCs w:val="12"/>
                <w:b w:val="1"/>
                <w:bCs w:val="1"/>
                <w:color w:val="auto"/>
                <w:w w:val="88"/>
              </w:rPr>
              <w:t>Spread</w:t>
            </w: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20" w:type="dxa"/>
            <w:vAlign w:val="bottom"/>
            <w:vMerge w:val="restart"/>
          </w:tcPr>
          <w:p>
            <w:pPr>
              <w:spacing w:after="0"/>
              <w:rPr>
                <w:sz w:val="20"/>
                <w:szCs w:val="20"/>
                <w:color w:val="auto"/>
              </w:rPr>
            </w:pPr>
            <w:r>
              <w:rPr>
                <w:rFonts w:ascii="Arial" w:cs="Arial" w:eastAsia="Arial" w:hAnsi="Arial"/>
                <w:sz w:val="12"/>
                <w:szCs w:val="12"/>
                <w:b w:val="1"/>
                <w:bCs w:val="1"/>
                <w:color w:val="auto"/>
              </w:rPr>
              <w:t>Issuer Name</w:t>
            </w:r>
          </w:p>
        </w:tc>
        <w:tc>
          <w:tcPr>
            <w:tcW w:w="8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Maturity /</w:t>
            </w:r>
          </w:p>
        </w:tc>
        <w:tc>
          <w:tcPr>
            <w:tcW w:w="2100" w:type="dxa"/>
            <w:vAlign w:val="bottom"/>
            <w:vMerge w:val="restart"/>
          </w:tcPr>
          <w:p>
            <w:pPr>
              <w:jc w:val="center"/>
              <w:ind w:right="2"/>
              <w:spacing w:after="0"/>
              <w:rPr>
                <w:sz w:val="20"/>
                <w:szCs w:val="20"/>
                <w:color w:val="auto"/>
              </w:rPr>
            </w:pPr>
            <w:r>
              <w:rPr>
                <w:rFonts w:ascii="Arial" w:cs="Arial" w:eastAsia="Arial" w:hAnsi="Arial"/>
                <w:sz w:val="12"/>
                <w:szCs w:val="12"/>
                <w:b w:val="1"/>
                <w:bCs w:val="1"/>
                <w:color w:val="auto"/>
                <w:w w:val="92"/>
              </w:rPr>
              <w:t>Industry</w:t>
            </w:r>
          </w:p>
        </w:tc>
        <w:tc>
          <w:tcPr>
            <w:tcW w:w="6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w w:val="96"/>
              </w:rPr>
              <w:t>Current</w:t>
            </w:r>
          </w:p>
        </w:tc>
        <w:tc>
          <w:tcPr>
            <w:tcW w:w="1080" w:type="dxa"/>
            <w:vAlign w:val="bottom"/>
          </w:tcPr>
          <w:p>
            <w:pPr>
              <w:jc w:val="center"/>
              <w:ind w:left="462"/>
              <w:spacing w:after="0" w:line="135" w:lineRule="exact"/>
              <w:rPr>
                <w:sz w:val="20"/>
                <w:szCs w:val="20"/>
                <w:color w:val="auto"/>
              </w:rPr>
            </w:pPr>
            <w:r>
              <w:rPr>
                <w:rFonts w:ascii="Arial" w:cs="Arial" w:eastAsia="Arial" w:hAnsi="Arial"/>
                <w:sz w:val="12"/>
                <w:szCs w:val="12"/>
                <w:b w:val="1"/>
                <w:bCs w:val="1"/>
                <w:color w:val="auto"/>
                <w:w w:val="87"/>
              </w:rPr>
              <w:t>Above</w:t>
            </w:r>
          </w:p>
        </w:tc>
        <w:tc>
          <w:tcPr>
            <w:tcW w:w="320" w:type="dxa"/>
            <w:vAlign w:val="bottom"/>
          </w:tcPr>
          <w:p>
            <w:pPr>
              <w:spacing w:after="0"/>
              <w:rPr>
                <w:sz w:val="11"/>
                <w:szCs w:val="11"/>
                <w:color w:val="auto"/>
              </w:rPr>
            </w:pPr>
          </w:p>
        </w:tc>
        <w:tc>
          <w:tcPr>
            <w:tcW w:w="900" w:type="dxa"/>
            <w:vAlign w:val="bottom"/>
          </w:tcPr>
          <w:p>
            <w:pPr>
              <w:jc w:val="right"/>
              <w:ind w:right="322"/>
              <w:spacing w:after="0" w:line="135" w:lineRule="exact"/>
              <w:rPr>
                <w:sz w:val="20"/>
                <w:szCs w:val="20"/>
                <w:color w:val="auto"/>
              </w:rPr>
            </w:pPr>
            <w:r>
              <w:rPr>
                <w:rFonts w:ascii="Arial" w:cs="Arial" w:eastAsia="Arial" w:hAnsi="Arial"/>
                <w:sz w:val="12"/>
                <w:szCs w:val="12"/>
                <w:b w:val="1"/>
                <w:bCs w:val="1"/>
                <w:color w:val="auto"/>
              </w:rPr>
              <w:t>Par /</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3120" w:type="dxa"/>
            <w:vAlign w:val="bottom"/>
            <w:vMerge w:val="continue"/>
          </w:tcPr>
          <w:p>
            <w:pPr>
              <w:spacing w:after="0"/>
              <w:rPr>
                <w:sz w:val="12"/>
                <w:szCs w:val="12"/>
                <w:color w:val="auto"/>
              </w:rPr>
            </w:pPr>
          </w:p>
        </w:tc>
        <w:tc>
          <w:tcPr>
            <w:tcW w:w="820" w:type="dxa"/>
            <w:vAlign w:val="bottom"/>
          </w:tcPr>
          <w:p>
            <w:pPr>
              <w:ind w:left="140"/>
              <w:spacing w:after="0"/>
              <w:rPr>
                <w:sz w:val="20"/>
                <w:szCs w:val="20"/>
                <w:color w:val="auto"/>
              </w:rPr>
            </w:pPr>
            <w:r>
              <w:rPr>
                <w:rFonts w:ascii="Arial" w:cs="Arial" w:eastAsia="Arial" w:hAnsi="Arial"/>
                <w:sz w:val="12"/>
                <w:szCs w:val="12"/>
                <w:b w:val="1"/>
                <w:bCs w:val="1"/>
                <w:color w:val="auto"/>
              </w:rPr>
              <w:t>Expiration</w:t>
            </w:r>
          </w:p>
        </w:tc>
        <w:tc>
          <w:tcPr>
            <w:tcW w:w="2100" w:type="dxa"/>
            <w:vAlign w:val="bottom"/>
            <w:vMerge w:val="continue"/>
          </w:tcPr>
          <w:p>
            <w:pPr>
              <w:spacing w:after="0"/>
              <w:rPr>
                <w:sz w:val="12"/>
                <w:szCs w:val="12"/>
                <w:color w:val="auto"/>
              </w:rPr>
            </w:pPr>
          </w:p>
        </w:tc>
        <w:tc>
          <w:tcPr>
            <w:tcW w:w="660" w:type="dxa"/>
            <w:vAlign w:val="bottom"/>
          </w:tcPr>
          <w:p>
            <w:pPr>
              <w:ind w:left="220"/>
              <w:spacing w:after="0"/>
              <w:rPr>
                <w:sz w:val="20"/>
                <w:szCs w:val="20"/>
                <w:color w:val="auto"/>
              </w:rPr>
            </w:pPr>
            <w:r>
              <w:rPr>
                <w:rFonts w:ascii="Arial" w:cs="Arial" w:eastAsia="Arial" w:hAnsi="Arial"/>
                <w:sz w:val="12"/>
                <w:szCs w:val="12"/>
                <w:b w:val="1"/>
                <w:bCs w:val="1"/>
                <w:color w:val="auto"/>
                <w:w w:val="92"/>
              </w:rPr>
              <w:t>Coupon</w:t>
            </w:r>
          </w:p>
        </w:tc>
        <w:tc>
          <w:tcPr>
            <w:tcW w:w="1080" w:type="dxa"/>
            <w:vAlign w:val="bottom"/>
          </w:tcPr>
          <w:p>
            <w:pPr>
              <w:jc w:val="center"/>
              <w:ind w:left="442"/>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(4)</w:t>
            </w:r>
          </w:p>
        </w:tc>
        <w:tc>
          <w:tcPr>
            <w:tcW w:w="320" w:type="dxa"/>
            <w:vAlign w:val="bottom"/>
          </w:tcPr>
          <w:p>
            <w:pPr>
              <w:spacing w:after="0"/>
              <w:rPr>
                <w:sz w:val="12"/>
                <w:szCs w:val="12"/>
                <w:color w:val="auto"/>
              </w:rPr>
            </w:pPr>
          </w:p>
        </w:tc>
        <w:tc>
          <w:tcPr>
            <w:tcW w:w="900" w:type="dxa"/>
            <w:vAlign w:val="bottom"/>
          </w:tcPr>
          <w:p>
            <w:pPr>
              <w:jc w:val="right"/>
              <w:ind w:right="282"/>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2"/>
                <w:szCs w:val="12"/>
                <w:b w:val="1"/>
                <w:bCs w:val="1"/>
                <w:color w:val="auto"/>
              </w:rPr>
              <w:t>Cost</w:t>
            </w:r>
          </w:p>
        </w:tc>
        <w:tc>
          <w:tcPr>
            <w:tcW w:w="120" w:type="dxa"/>
            <w:vAlign w:val="bottom"/>
          </w:tcPr>
          <w:p>
            <w:pPr>
              <w:spacing w:after="0"/>
              <w:rPr>
                <w:sz w:val="12"/>
                <w:szCs w:val="12"/>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2"/>
                <w:szCs w:val="12"/>
                <w:b w:val="1"/>
                <w:bCs w:val="1"/>
                <w:color w:val="auto"/>
                <w:w w:val="97"/>
              </w:rPr>
              <w:t xml:space="preserve">Fair Value </w:t>
            </w:r>
            <w:r>
              <w:rPr>
                <w:rFonts w:ascii="Arial" w:cs="Arial" w:eastAsia="Arial" w:hAnsi="Arial"/>
                <w:sz w:val="9"/>
                <w:szCs w:val="9"/>
                <w:b w:val="1"/>
                <w:bCs w:val="1"/>
                <w:color w:val="auto"/>
                <w:w w:val="97"/>
              </w:rPr>
              <w:t>(3)</w:t>
            </w:r>
          </w:p>
        </w:tc>
        <w:tc>
          <w:tcPr>
            <w:tcW w:w="0" w:type="dxa"/>
            <w:vAlign w:val="bottom"/>
          </w:tcPr>
          <w:p>
            <w:pPr>
              <w:spacing w:after="0"/>
              <w:rPr>
                <w:sz w:val="1"/>
                <w:szCs w:val="1"/>
                <w:color w:val="auto"/>
              </w:rPr>
            </w:pPr>
          </w:p>
        </w:tc>
      </w:tr>
      <w:tr>
        <w:trPr>
          <w:trHeight w:val="128"/>
        </w:trPr>
        <w:tc>
          <w:tcPr>
            <w:tcW w:w="312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2"/>
                <w:szCs w:val="12"/>
                <w:b w:val="1"/>
                <w:bCs w:val="1"/>
                <w:color w:val="auto"/>
                <w:w w:val="95"/>
              </w:rPr>
              <w:t xml:space="preserve">Common Equity/Partnership Interests/Warrants—9.1% </w:t>
            </w:r>
            <w:r>
              <w:rPr>
                <w:rFonts w:ascii="Arial" w:cs="Arial" w:eastAsia="Arial" w:hAnsi="Arial"/>
                <w:sz w:val="9"/>
                <w:szCs w:val="9"/>
                <w:b w:val="1"/>
                <w:bCs w:val="1"/>
                <w:color w:val="auto"/>
                <w:w w:val="95"/>
              </w:rPr>
              <w:t>(6)</w:t>
            </w:r>
          </w:p>
        </w:tc>
        <w:tc>
          <w:tcPr>
            <w:tcW w:w="820" w:type="dxa"/>
            <w:vAlign w:val="bottom"/>
            <w:tcBorders>
              <w:top w:val="single" w:sz="8" w:color="auto"/>
            </w:tcBorders>
            <w:shd w:val="clear" w:color="auto" w:fill="CCEEFF"/>
          </w:tcPr>
          <w:p>
            <w:pPr>
              <w:spacing w:after="0"/>
              <w:rPr>
                <w:sz w:val="11"/>
                <w:szCs w:val="11"/>
                <w:color w:val="auto"/>
              </w:rPr>
            </w:pPr>
          </w:p>
        </w:tc>
        <w:tc>
          <w:tcPr>
            <w:tcW w:w="210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20" w:type="dxa"/>
            <w:vAlign w:val="bottom"/>
          </w:tcPr>
          <w:p>
            <w:pPr>
              <w:spacing w:after="0" w:line="135" w:lineRule="exact"/>
              <w:rPr>
                <w:sz w:val="20"/>
                <w:szCs w:val="20"/>
                <w:color w:val="auto"/>
              </w:rPr>
            </w:pPr>
            <w:r>
              <w:rPr>
                <w:rFonts w:ascii="Arial" w:cs="Arial" w:eastAsia="Arial" w:hAnsi="Arial"/>
                <w:sz w:val="12"/>
                <w:szCs w:val="12"/>
                <w:color w:val="auto"/>
              </w:rPr>
              <w:t xml:space="preserve">Acentia, LLC, Class A Units </w:t>
            </w:r>
            <w:r>
              <w:rPr>
                <w:rFonts w:ascii="Arial" w:cs="Arial" w:eastAsia="Arial" w:hAnsi="Arial"/>
                <w:sz w:val="9"/>
                <w:szCs w:val="9"/>
                <w:color w:val="auto"/>
              </w:rPr>
              <w:t>(11)</w:t>
            </w:r>
          </w:p>
        </w:tc>
        <w:tc>
          <w:tcPr>
            <w:tcW w:w="820" w:type="dxa"/>
            <w:vAlign w:val="bottom"/>
          </w:tcPr>
          <w:p>
            <w:pPr>
              <w:jc w:val="center"/>
              <w:spacing w:after="0" w:line="135" w:lineRule="exact"/>
              <w:rPr>
                <w:sz w:val="20"/>
                <w:szCs w:val="20"/>
                <w:color w:val="auto"/>
              </w:rPr>
            </w:pPr>
            <w:r>
              <w:rPr>
                <w:rFonts w:ascii="Arial" w:cs="Arial" w:eastAsia="Arial" w:hAnsi="Arial"/>
                <w:sz w:val="12"/>
                <w:szCs w:val="12"/>
                <w:color w:val="auto"/>
                <w:w w:val="99"/>
              </w:rPr>
              <w:t>—</w:t>
            </w:r>
          </w:p>
        </w:tc>
        <w:tc>
          <w:tcPr>
            <w:tcW w:w="2100" w:type="dxa"/>
            <w:vAlign w:val="bottom"/>
          </w:tcPr>
          <w:p>
            <w:pPr>
              <w:jc w:val="center"/>
              <w:ind w:right="2"/>
              <w:spacing w:after="0" w:line="135" w:lineRule="exact"/>
              <w:rPr>
                <w:sz w:val="20"/>
                <w:szCs w:val="20"/>
                <w:color w:val="auto"/>
              </w:rPr>
            </w:pPr>
            <w:r>
              <w:rPr>
                <w:rFonts w:ascii="Arial" w:cs="Arial" w:eastAsia="Arial" w:hAnsi="Arial"/>
                <w:sz w:val="12"/>
                <w:szCs w:val="12"/>
                <w:color w:val="auto"/>
                <w:w w:val="88"/>
              </w:rPr>
              <w:t>Electronics</w:t>
            </w:r>
          </w:p>
        </w:tc>
        <w:tc>
          <w:tcPr>
            <w:tcW w:w="660" w:type="dxa"/>
            <w:vAlign w:val="bottom"/>
          </w:tcPr>
          <w:p>
            <w:pPr>
              <w:spacing w:after="0"/>
              <w:rPr>
                <w:sz w:val="11"/>
                <w:szCs w:val="11"/>
                <w:color w:val="auto"/>
              </w:rPr>
            </w:pPr>
          </w:p>
        </w:tc>
        <w:tc>
          <w:tcPr>
            <w:tcW w:w="1080" w:type="dxa"/>
            <w:vAlign w:val="bottom"/>
          </w:tcPr>
          <w:p>
            <w:pPr>
              <w:ind w:left="20"/>
              <w:spacing w:after="0" w:line="135" w:lineRule="exact"/>
              <w:rPr>
                <w:sz w:val="20"/>
                <w:szCs w:val="20"/>
                <w:color w:val="auto"/>
              </w:rPr>
            </w:pPr>
            <w:r>
              <w:rPr>
                <w:rFonts w:ascii="Arial" w:cs="Arial" w:eastAsia="Arial" w:hAnsi="Arial"/>
                <w:sz w:val="12"/>
                <w:szCs w:val="12"/>
                <w:color w:val="auto"/>
              </w:rPr>
              <w:t>—</w:t>
            </w:r>
          </w:p>
        </w:tc>
        <w:tc>
          <w:tcPr>
            <w:tcW w:w="320" w:type="dxa"/>
            <w:vAlign w:val="bottom"/>
          </w:tcPr>
          <w:p>
            <w:pPr>
              <w:spacing w:after="0" w:line="135" w:lineRule="exact"/>
              <w:rPr>
                <w:sz w:val="20"/>
                <w:szCs w:val="20"/>
                <w:color w:val="auto"/>
              </w:rPr>
            </w:pPr>
            <w:r>
              <w:rPr>
                <w:rFonts w:ascii="Arial" w:cs="Arial" w:eastAsia="Arial" w:hAnsi="Arial"/>
                <w:sz w:val="12"/>
                <w:szCs w:val="12"/>
                <w:color w:val="auto"/>
              </w:rPr>
              <w:t>—</w:t>
            </w:r>
          </w:p>
        </w:tc>
        <w:tc>
          <w:tcPr>
            <w:tcW w:w="900" w:type="dxa"/>
            <w:vAlign w:val="bottom"/>
          </w:tcPr>
          <w:p>
            <w:pPr>
              <w:jc w:val="right"/>
              <w:ind w:right="102"/>
              <w:spacing w:after="0" w:line="135" w:lineRule="exact"/>
              <w:rPr>
                <w:sz w:val="20"/>
                <w:szCs w:val="20"/>
                <w:color w:val="auto"/>
              </w:rPr>
            </w:pPr>
            <w:r>
              <w:rPr>
                <w:rFonts w:ascii="Arial" w:cs="Arial" w:eastAsia="Arial" w:hAnsi="Arial"/>
                <w:sz w:val="12"/>
                <w:szCs w:val="12"/>
                <w:color w:val="auto"/>
              </w:rPr>
              <w:t>1,998</w:t>
            </w:r>
          </w:p>
        </w:tc>
        <w:tc>
          <w:tcPr>
            <w:tcW w:w="220" w:type="dxa"/>
            <w:vAlign w:val="bottom"/>
            <w:gridSpan w:val="2"/>
          </w:tcPr>
          <w:p>
            <w:pPr>
              <w:jc w:val="right"/>
              <w:ind w:right="20"/>
              <w:spacing w:after="0" w:line="135" w:lineRule="exact"/>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2,000,000</w:t>
            </w:r>
          </w:p>
        </w:tc>
        <w:tc>
          <w:tcPr>
            <w:tcW w:w="2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825,006</w:t>
            </w:r>
          </w:p>
        </w:tc>
        <w:tc>
          <w:tcPr>
            <w:tcW w:w="0" w:type="dxa"/>
            <w:vAlign w:val="bottom"/>
          </w:tcPr>
          <w:p>
            <w:pPr>
              <w:spacing w:after="0"/>
              <w:rPr>
                <w:sz w:val="1"/>
                <w:szCs w:val="1"/>
                <w:color w:val="auto"/>
              </w:rPr>
            </w:pPr>
          </w:p>
        </w:tc>
      </w:tr>
      <w:tr>
        <w:trPr>
          <w:trHeight w:val="129"/>
        </w:trPr>
        <w:tc>
          <w:tcPr>
            <w:tcW w:w="312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Affinion Group Holdings, Inc., Series A</w:t>
            </w:r>
          </w:p>
        </w:tc>
        <w:tc>
          <w:tcPr>
            <w:tcW w:w="82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89"/>
              </w:rPr>
              <w:t>12/12/2023</w:t>
            </w:r>
          </w:p>
        </w:tc>
        <w:tc>
          <w:tcPr>
            <w:tcW w:w="2100" w:type="dxa"/>
            <w:vAlign w:val="bottom"/>
            <w:shd w:val="clear" w:color="auto" w:fill="CCEEFF"/>
          </w:tcPr>
          <w:p>
            <w:pPr>
              <w:jc w:val="center"/>
              <w:ind w:right="2"/>
              <w:spacing w:after="0" w:line="129" w:lineRule="exact"/>
              <w:rPr>
                <w:sz w:val="20"/>
                <w:szCs w:val="20"/>
                <w:color w:val="auto"/>
              </w:rPr>
            </w:pPr>
            <w:r>
              <w:rPr>
                <w:rFonts w:ascii="Arial" w:cs="Arial" w:eastAsia="Arial" w:hAnsi="Arial"/>
                <w:sz w:val="12"/>
                <w:szCs w:val="12"/>
                <w:color w:val="auto"/>
                <w:w w:val="86"/>
              </w:rPr>
              <w:t>Consumer Products</w:t>
            </w:r>
          </w:p>
        </w:tc>
        <w:tc>
          <w:tcPr>
            <w:tcW w:w="660" w:type="dxa"/>
            <w:vAlign w:val="bottom"/>
            <w:shd w:val="clear" w:color="auto" w:fill="CCEEFF"/>
          </w:tcPr>
          <w:p>
            <w:pPr>
              <w:spacing w:after="0"/>
              <w:rPr>
                <w:sz w:val="11"/>
                <w:szCs w:val="11"/>
                <w:color w:val="auto"/>
              </w:rPr>
            </w:pPr>
          </w:p>
        </w:tc>
        <w:tc>
          <w:tcPr>
            <w:tcW w:w="1080" w:type="dxa"/>
            <w:vAlign w:val="bottom"/>
            <w:shd w:val="clear" w:color="auto" w:fill="CCEEFF"/>
          </w:tcPr>
          <w:p>
            <w:pPr>
              <w:ind w:left="20"/>
              <w:spacing w:after="0" w:line="129" w:lineRule="exact"/>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ind w:right="102"/>
              <w:spacing w:after="0" w:line="129" w:lineRule="exact"/>
              <w:rPr>
                <w:sz w:val="20"/>
                <w:szCs w:val="20"/>
                <w:color w:val="auto"/>
              </w:rPr>
            </w:pPr>
            <w:r>
              <w:rPr>
                <w:rFonts w:ascii="Arial" w:cs="Arial" w:eastAsia="Arial" w:hAnsi="Arial"/>
                <w:sz w:val="12"/>
                <w:szCs w:val="12"/>
                <w:color w:val="auto"/>
              </w:rPr>
              <w:t>4,798,624</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2"/>
                <w:szCs w:val="12"/>
                <w:color w:val="auto"/>
              </w:rPr>
              <w:t>10,265,972</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8,997,421</w:t>
            </w:r>
          </w:p>
        </w:tc>
        <w:tc>
          <w:tcPr>
            <w:tcW w:w="0" w:type="dxa"/>
            <w:vAlign w:val="bottom"/>
          </w:tcPr>
          <w:p>
            <w:pPr>
              <w:spacing w:after="0"/>
              <w:rPr>
                <w:sz w:val="1"/>
                <w:szCs w:val="1"/>
                <w:color w:val="auto"/>
              </w:rPr>
            </w:pPr>
          </w:p>
        </w:tc>
      </w:tr>
      <w:tr>
        <w:trPr>
          <w:trHeight w:val="141"/>
        </w:trPr>
        <w:tc>
          <w:tcPr>
            <w:tcW w:w="31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(Warrants)</w:t>
            </w:r>
          </w:p>
        </w:tc>
        <w:tc>
          <w:tcPr>
            <w:tcW w:w="820" w:type="dxa"/>
            <w:vAlign w:val="bottom"/>
            <w:shd w:val="clear" w:color="auto" w:fill="CCEEFF"/>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120" w:type="dxa"/>
            <w:vAlign w:val="bottom"/>
          </w:tcPr>
          <w:p>
            <w:pPr>
              <w:spacing w:after="0" w:line="129" w:lineRule="exact"/>
              <w:rPr>
                <w:sz w:val="20"/>
                <w:szCs w:val="20"/>
                <w:color w:val="auto"/>
              </w:rPr>
            </w:pPr>
            <w:r>
              <w:rPr>
                <w:rFonts w:ascii="Arial" w:cs="Arial" w:eastAsia="Arial" w:hAnsi="Arial"/>
                <w:sz w:val="12"/>
                <w:szCs w:val="12"/>
                <w:color w:val="auto"/>
              </w:rPr>
              <w:t>Affinion Group Holdings, Inc., Series B</w:t>
            </w:r>
          </w:p>
        </w:tc>
        <w:tc>
          <w:tcPr>
            <w:tcW w:w="820" w:type="dxa"/>
            <w:vAlign w:val="bottom"/>
          </w:tcPr>
          <w:p>
            <w:pPr>
              <w:jc w:val="center"/>
              <w:spacing w:after="0" w:line="129" w:lineRule="exact"/>
              <w:rPr>
                <w:sz w:val="20"/>
                <w:szCs w:val="20"/>
                <w:color w:val="auto"/>
              </w:rPr>
            </w:pPr>
            <w:r>
              <w:rPr>
                <w:rFonts w:ascii="Arial" w:cs="Arial" w:eastAsia="Arial" w:hAnsi="Arial"/>
                <w:sz w:val="12"/>
                <w:szCs w:val="12"/>
                <w:color w:val="auto"/>
                <w:w w:val="89"/>
              </w:rPr>
              <w:t>12/12/2023</w:t>
            </w:r>
          </w:p>
        </w:tc>
        <w:tc>
          <w:tcPr>
            <w:tcW w:w="2100" w:type="dxa"/>
            <w:vAlign w:val="bottom"/>
          </w:tcPr>
          <w:p>
            <w:pPr>
              <w:jc w:val="center"/>
              <w:ind w:right="2"/>
              <w:spacing w:after="0" w:line="129" w:lineRule="exact"/>
              <w:rPr>
                <w:sz w:val="20"/>
                <w:szCs w:val="20"/>
                <w:color w:val="auto"/>
              </w:rPr>
            </w:pPr>
            <w:r>
              <w:rPr>
                <w:rFonts w:ascii="Arial" w:cs="Arial" w:eastAsia="Arial" w:hAnsi="Arial"/>
                <w:sz w:val="12"/>
                <w:szCs w:val="12"/>
                <w:color w:val="auto"/>
                <w:w w:val="86"/>
              </w:rPr>
              <w:t>Consumer Products</w:t>
            </w:r>
          </w:p>
        </w:tc>
        <w:tc>
          <w:tcPr>
            <w:tcW w:w="660" w:type="dxa"/>
            <w:vAlign w:val="bottom"/>
          </w:tcPr>
          <w:p>
            <w:pPr>
              <w:spacing w:after="0"/>
              <w:rPr>
                <w:sz w:val="11"/>
                <w:szCs w:val="11"/>
                <w:color w:val="auto"/>
              </w:rPr>
            </w:pPr>
          </w:p>
        </w:tc>
        <w:tc>
          <w:tcPr>
            <w:tcW w:w="1080" w:type="dxa"/>
            <w:vAlign w:val="bottom"/>
          </w:tcPr>
          <w:p>
            <w:pPr>
              <w:ind w:left="20"/>
              <w:spacing w:after="0" w:line="129" w:lineRule="exact"/>
              <w:rPr>
                <w:sz w:val="20"/>
                <w:szCs w:val="20"/>
                <w:color w:val="auto"/>
              </w:rPr>
            </w:pPr>
            <w:r>
              <w:rPr>
                <w:rFonts w:ascii="Arial" w:cs="Arial" w:eastAsia="Arial" w:hAnsi="Arial"/>
                <w:sz w:val="12"/>
                <w:szCs w:val="12"/>
                <w:color w:val="auto"/>
              </w:rPr>
              <w:t>—</w:t>
            </w:r>
          </w:p>
        </w:tc>
        <w:tc>
          <w:tcPr>
            <w:tcW w:w="320" w:type="dxa"/>
            <w:vAlign w:val="bottom"/>
          </w:tcPr>
          <w:p>
            <w:pPr>
              <w:spacing w:after="0" w:line="129" w:lineRule="exact"/>
              <w:rPr>
                <w:sz w:val="20"/>
                <w:szCs w:val="20"/>
                <w:color w:val="auto"/>
              </w:rPr>
            </w:pPr>
            <w:r>
              <w:rPr>
                <w:rFonts w:ascii="Arial" w:cs="Arial" w:eastAsia="Arial" w:hAnsi="Arial"/>
                <w:sz w:val="12"/>
                <w:szCs w:val="12"/>
                <w:color w:val="auto"/>
              </w:rPr>
              <w:t>—</w:t>
            </w:r>
          </w:p>
        </w:tc>
        <w:tc>
          <w:tcPr>
            <w:tcW w:w="900" w:type="dxa"/>
            <w:vAlign w:val="bottom"/>
          </w:tcPr>
          <w:p>
            <w:pPr>
              <w:jc w:val="right"/>
              <w:ind w:right="102"/>
              <w:spacing w:after="0" w:line="129" w:lineRule="exact"/>
              <w:rPr>
                <w:sz w:val="20"/>
                <w:szCs w:val="20"/>
                <w:color w:val="auto"/>
              </w:rPr>
            </w:pPr>
            <w:r>
              <w:rPr>
                <w:rFonts w:ascii="Arial" w:cs="Arial" w:eastAsia="Arial" w:hAnsi="Arial"/>
                <w:sz w:val="12"/>
                <w:szCs w:val="12"/>
                <w:color w:val="auto"/>
              </w:rPr>
              <w:t>9,822,196</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120"/>
              <w:spacing w:after="0" w:line="129"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196,444</w:t>
            </w:r>
          </w:p>
        </w:tc>
        <w:tc>
          <w:tcPr>
            <w:tcW w:w="0" w:type="dxa"/>
            <w:vAlign w:val="bottom"/>
          </w:tcPr>
          <w:p>
            <w:pPr>
              <w:spacing w:after="0"/>
              <w:rPr>
                <w:sz w:val="1"/>
                <w:szCs w:val="1"/>
                <w:color w:val="auto"/>
              </w:rPr>
            </w:pPr>
          </w:p>
        </w:tc>
      </w:tr>
      <w:tr>
        <w:trPr>
          <w:trHeight w:val="141"/>
        </w:trPr>
        <w:tc>
          <w:tcPr>
            <w:tcW w:w="3120" w:type="dxa"/>
            <w:vAlign w:val="bottom"/>
          </w:tcPr>
          <w:p>
            <w:pPr>
              <w:ind w:left="120"/>
              <w:spacing w:after="0"/>
              <w:rPr>
                <w:sz w:val="20"/>
                <w:szCs w:val="20"/>
                <w:color w:val="auto"/>
              </w:rPr>
            </w:pPr>
            <w:r>
              <w:rPr>
                <w:rFonts w:ascii="Arial" w:cs="Arial" w:eastAsia="Arial" w:hAnsi="Arial"/>
                <w:sz w:val="12"/>
                <w:szCs w:val="12"/>
                <w:color w:val="auto"/>
              </w:rPr>
              <w:t>(Warrants)</w:t>
            </w:r>
          </w:p>
        </w:tc>
        <w:tc>
          <w:tcPr>
            <w:tcW w:w="8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1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AH Holdings, Inc. (Warrants)</w:t>
            </w:r>
          </w:p>
        </w:tc>
        <w:tc>
          <w:tcPr>
            <w:tcW w:w="82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03/23/2021</w:t>
            </w:r>
          </w:p>
        </w:tc>
        <w:tc>
          <w:tcPr>
            <w:tcW w:w="2100" w:type="dxa"/>
            <w:vAlign w:val="bottom"/>
            <w:shd w:val="clear" w:color="auto" w:fill="CCEEFF"/>
          </w:tcPr>
          <w:p>
            <w:pPr>
              <w:jc w:val="center"/>
              <w:ind w:right="2"/>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660" w:type="dxa"/>
            <w:vAlign w:val="bottom"/>
            <w:shd w:val="clear" w:color="auto" w:fill="CCEEFF"/>
          </w:tcPr>
          <w:p>
            <w:pPr>
              <w:spacing w:after="0"/>
              <w:rPr>
                <w:sz w:val="11"/>
                <w:szCs w:val="11"/>
                <w:color w:val="auto"/>
              </w:rPr>
            </w:pPr>
          </w:p>
        </w:tc>
        <w:tc>
          <w:tcPr>
            <w:tcW w:w="1080" w:type="dxa"/>
            <w:vAlign w:val="bottom"/>
            <w:shd w:val="clear" w:color="auto" w:fill="CCEEFF"/>
          </w:tcPr>
          <w:p>
            <w:pPr>
              <w:ind w:left="20"/>
              <w:spacing w:after="0" w:line="135" w:lineRule="exact"/>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ind w:right="102"/>
              <w:spacing w:after="0" w:line="135" w:lineRule="exact"/>
              <w:rPr>
                <w:sz w:val="20"/>
                <w:szCs w:val="20"/>
                <w:color w:val="auto"/>
              </w:rPr>
            </w:pPr>
            <w:r>
              <w:rPr>
                <w:rFonts w:ascii="Arial" w:cs="Arial" w:eastAsia="Arial" w:hAnsi="Arial"/>
                <w:sz w:val="12"/>
                <w:szCs w:val="12"/>
                <w:color w:val="auto"/>
              </w:rPr>
              <w:t>753</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9"/>
        </w:trPr>
        <w:tc>
          <w:tcPr>
            <w:tcW w:w="3120" w:type="dxa"/>
            <w:vAlign w:val="bottom"/>
          </w:tcPr>
          <w:p>
            <w:pPr>
              <w:spacing w:after="0" w:line="129" w:lineRule="exact"/>
              <w:rPr>
                <w:sz w:val="20"/>
                <w:szCs w:val="20"/>
                <w:color w:val="auto"/>
              </w:rPr>
            </w:pPr>
            <w:r>
              <w:rPr>
                <w:rFonts w:ascii="Arial" w:cs="Arial" w:eastAsia="Arial" w:hAnsi="Arial"/>
                <w:sz w:val="12"/>
                <w:szCs w:val="12"/>
                <w:color w:val="auto"/>
              </w:rPr>
              <w:t>Alegeus Technologies Holding Corp.</w:t>
            </w:r>
          </w:p>
        </w:tc>
        <w:tc>
          <w:tcPr>
            <w:tcW w:w="820" w:type="dxa"/>
            <w:vAlign w:val="bottom"/>
          </w:tcPr>
          <w:p>
            <w:pPr>
              <w:jc w:val="center"/>
              <w:spacing w:after="0" w:line="129" w:lineRule="exact"/>
              <w:rPr>
                <w:sz w:val="20"/>
                <w:szCs w:val="20"/>
                <w:color w:val="auto"/>
              </w:rPr>
            </w:pPr>
            <w:r>
              <w:rPr>
                <w:rFonts w:ascii="Arial" w:cs="Arial" w:eastAsia="Arial" w:hAnsi="Arial"/>
                <w:sz w:val="12"/>
                <w:szCs w:val="12"/>
                <w:color w:val="auto"/>
                <w:w w:val="99"/>
              </w:rPr>
              <w:t>—</w:t>
            </w:r>
          </w:p>
        </w:tc>
        <w:tc>
          <w:tcPr>
            <w:tcW w:w="2100" w:type="dxa"/>
            <w:vAlign w:val="bottom"/>
          </w:tcPr>
          <w:p>
            <w:pPr>
              <w:jc w:val="center"/>
              <w:spacing w:after="0" w:line="129" w:lineRule="exact"/>
              <w:rPr>
                <w:sz w:val="20"/>
                <w:szCs w:val="20"/>
                <w:color w:val="auto"/>
              </w:rPr>
            </w:pPr>
            <w:r>
              <w:rPr>
                <w:rFonts w:ascii="Arial" w:cs="Arial" w:eastAsia="Arial" w:hAnsi="Arial"/>
                <w:sz w:val="12"/>
                <w:szCs w:val="12"/>
                <w:color w:val="auto"/>
                <w:w w:val="88"/>
              </w:rPr>
              <w:t>Financial Services</w:t>
            </w:r>
          </w:p>
        </w:tc>
        <w:tc>
          <w:tcPr>
            <w:tcW w:w="660" w:type="dxa"/>
            <w:vAlign w:val="bottom"/>
          </w:tcPr>
          <w:p>
            <w:pPr>
              <w:spacing w:after="0"/>
              <w:rPr>
                <w:sz w:val="11"/>
                <w:szCs w:val="11"/>
                <w:color w:val="auto"/>
              </w:rPr>
            </w:pPr>
          </w:p>
        </w:tc>
        <w:tc>
          <w:tcPr>
            <w:tcW w:w="1080" w:type="dxa"/>
            <w:vAlign w:val="bottom"/>
          </w:tcPr>
          <w:p>
            <w:pPr>
              <w:ind w:left="20"/>
              <w:spacing w:after="0" w:line="129" w:lineRule="exact"/>
              <w:rPr>
                <w:sz w:val="20"/>
                <w:szCs w:val="20"/>
                <w:color w:val="auto"/>
              </w:rPr>
            </w:pPr>
            <w:r>
              <w:rPr>
                <w:rFonts w:ascii="Arial" w:cs="Arial" w:eastAsia="Arial" w:hAnsi="Arial"/>
                <w:sz w:val="12"/>
                <w:szCs w:val="12"/>
                <w:color w:val="auto"/>
              </w:rPr>
              <w:t>—</w:t>
            </w:r>
          </w:p>
        </w:tc>
        <w:tc>
          <w:tcPr>
            <w:tcW w:w="320" w:type="dxa"/>
            <w:vAlign w:val="bottom"/>
          </w:tcPr>
          <w:p>
            <w:pPr>
              <w:spacing w:after="0" w:line="129" w:lineRule="exact"/>
              <w:rPr>
                <w:sz w:val="20"/>
                <w:szCs w:val="20"/>
                <w:color w:val="auto"/>
              </w:rPr>
            </w:pPr>
            <w:r>
              <w:rPr>
                <w:rFonts w:ascii="Arial" w:cs="Arial" w:eastAsia="Arial" w:hAnsi="Arial"/>
                <w:sz w:val="12"/>
                <w:szCs w:val="12"/>
                <w:color w:val="auto"/>
              </w:rPr>
              <w:t>—</w:t>
            </w:r>
          </w:p>
        </w:tc>
        <w:tc>
          <w:tcPr>
            <w:tcW w:w="900" w:type="dxa"/>
            <w:vAlign w:val="bottom"/>
          </w:tcPr>
          <w:p>
            <w:pPr>
              <w:jc w:val="right"/>
              <w:ind w:right="102"/>
              <w:spacing w:after="0" w:line="129" w:lineRule="exact"/>
              <w:rPr>
                <w:sz w:val="20"/>
                <w:szCs w:val="20"/>
                <w:color w:val="auto"/>
              </w:rPr>
            </w:pPr>
            <w:r>
              <w:rPr>
                <w:rFonts w:ascii="Arial" w:cs="Arial" w:eastAsia="Arial" w:hAnsi="Arial"/>
                <w:sz w:val="12"/>
                <w:szCs w:val="12"/>
                <w:color w:val="auto"/>
              </w:rPr>
              <w:t>1</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120"/>
              <w:spacing w:after="0" w:line="129" w:lineRule="exact"/>
              <w:rPr>
                <w:sz w:val="20"/>
                <w:szCs w:val="20"/>
                <w:color w:val="auto"/>
              </w:rPr>
            </w:pPr>
            <w:r>
              <w:rPr>
                <w:rFonts w:ascii="Arial" w:cs="Arial" w:eastAsia="Arial" w:hAnsi="Arial"/>
                <w:sz w:val="12"/>
                <w:szCs w:val="12"/>
                <w:color w:val="auto"/>
              </w:rPr>
              <w:t>950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428</w:t>
            </w:r>
          </w:p>
        </w:tc>
        <w:tc>
          <w:tcPr>
            <w:tcW w:w="0" w:type="dxa"/>
            <w:vAlign w:val="bottom"/>
          </w:tcPr>
          <w:p>
            <w:pPr>
              <w:spacing w:after="0"/>
              <w:rPr>
                <w:sz w:val="1"/>
                <w:szCs w:val="1"/>
                <w:color w:val="auto"/>
              </w:rPr>
            </w:pPr>
          </w:p>
        </w:tc>
      </w:tr>
      <w:tr>
        <w:trPr>
          <w:trHeight w:val="141"/>
        </w:trPr>
        <w:tc>
          <w:tcPr>
            <w:tcW w:w="3120" w:type="dxa"/>
            <w:vAlign w:val="bottom"/>
          </w:tcPr>
          <w:p>
            <w:pPr>
              <w:ind w:left="120"/>
              <w:spacing w:after="0"/>
              <w:rPr>
                <w:sz w:val="20"/>
                <w:szCs w:val="20"/>
                <w:color w:val="auto"/>
              </w:rPr>
            </w:pPr>
            <w:r>
              <w:rPr>
                <w:rFonts w:ascii="Arial" w:cs="Arial" w:eastAsia="Arial" w:hAnsi="Arial"/>
                <w:sz w:val="12"/>
                <w:szCs w:val="12"/>
                <w:color w:val="auto"/>
              </w:rPr>
              <w:t>(Alegeus Technologies, LLC)</w:t>
            </w:r>
          </w:p>
        </w:tc>
        <w:tc>
          <w:tcPr>
            <w:tcW w:w="8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1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ASP LCG Holdings, Inc. (Warrants)</w:t>
            </w:r>
          </w:p>
        </w:tc>
        <w:tc>
          <w:tcPr>
            <w:tcW w:w="82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05/05/2026</w:t>
            </w:r>
          </w:p>
        </w:tc>
        <w:tc>
          <w:tcPr>
            <w:tcW w:w="2100" w:type="dxa"/>
            <w:vAlign w:val="bottom"/>
            <w:shd w:val="clear" w:color="auto" w:fill="CCEEFF"/>
          </w:tcPr>
          <w:p>
            <w:pPr>
              <w:jc w:val="center"/>
              <w:ind w:right="2"/>
              <w:spacing w:after="0" w:line="135" w:lineRule="exact"/>
              <w:rPr>
                <w:sz w:val="20"/>
                <w:szCs w:val="20"/>
                <w:color w:val="auto"/>
              </w:rPr>
            </w:pPr>
            <w:r>
              <w:rPr>
                <w:rFonts w:ascii="Arial" w:cs="Arial" w:eastAsia="Arial" w:hAnsi="Arial"/>
                <w:sz w:val="12"/>
                <w:szCs w:val="12"/>
                <w:color w:val="auto"/>
                <w:w w:val="89"/>
              </w:rPr>
              <w:t>Education</w:t>
            </w:r>
          </w:p>
        </w:tc>
        <w:tc>
          <w:tcPr>
            <w:tcW w:w="660" w:type="dxa"/>
            <w:vAlign w:val="bottom"/>
            <w:shd w:val="clear" w:color="auto" w:fill="CCEEFF"/>
          </w:tcPr>
          <w:p>
            <w:pPr>
              <w:spacing w:after="0"/>
              <w:rPr>
                <w:sz w:val="11"/>
                <w:szCs w:val="11"/>
                <w:color w:val="auto"/>
              </w:rPr>
            </w:pPr>
          </w:p>
        </w:tc>
        <w:tc>
          <w:tcPr>
            <w:tcW w:w="1080" w:type="dxa"/>
            <w:vAlign w:val="bottom"/>
            <w:shd w:val="clear" w:color="auto" w:fill="CCEEFF"/>
          </w:tcPr>
          <w:p>
            <w:pPr>
              <w:ind w:left="20"/>
              <w:spacing w:after="0" w:line="135" w:lineRule="exact"/>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ind w:right="102"/>
              <w:spacing w:after="0" w:line="135" w:lineRule="exact"/>
              <w:rPr>
                <w:sz w:val="20"/>
                <w:szCs w:val="20"/>
                <w:color w:val="auto"/>
              </w:rPr>
            </w:pPr>
            <w:r>
              <w:rPr>
                <w:rFonts w:ascii="Arial" w:cs="Arial" w:eastAsia="Arial" w:hAnsi="Arial"/>
                <w:sz w:val="12"/>
                <w:szCs w:val="12"/>
                <w:color w:val="auto"/>
              </w:rPr>
              <w:t>933</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586,975</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540,370</w:t>
            </w:r>
          </w:p>
        </w:tc>
        <w:tc>
          <w:tcPr>
            <w:tcW w:w="0" w:type="dxa"/>
            <w:vAlign w:val="bottom"/>
          </w:tcPr>
          <w:p>
            <w:pPr>
              <w:spacing w:after="0"/>
              <w:rPr>
                <w:sz w:val="1"/>
                <w:szCs w:val="1"/>
                <w:color w:val="auto"/>
              </w:rPr>
            </w:pPr>
          </w:p>
        </w:tc>
      </w:tr>
      <w:tr>
        <w:trPr>
          <w:trHeight w:val="135"/>
        </w:trPr>
        <w:tc>
          <w:tcPr>
            <w:tcW w:w="3120" w:type="dxa"/>
            <w:vAlign w:val="bottom"/>
          </w:tcPr>
          <w:p>
            <w:pPr>
              <w:spacing w:after="0" w:line="135" w:lineRule="exact"/>
              <w:rPr>
                <w:sz w:val="20"/>
                <w:szCs w:val="20"/>
                <w:color w:val="auto"/>
              </w:rPr>
            </w:pPr>
            <w:r>
              <w:rPr>
                <w:rFonts w:ascii="Arial" w:cs="Arial" w:eastAsia="Arial" w:hAnsi="Arial"/>
                <w:sz w:val="12"/>
                <w:szCs w:val="12"/>
                <w:color w:val="auto"/>
              </w:rPr>
              <w:t>Autumn Games, LLC</w:t>
            </w:r>
          </w:p>
        </w:tc>
        <w:tc>
          <w:tcPr>
            <w:tcW w:w="820" w:type="dxa"/>
            <w:vAlign w:val="bottom"/>
          </w:tcPr>
          <w:p>
            <w:pPr>
              <w:jc w:val="center"/>
              <w:spacing w:after="0" w:line="135" w:lineRule="exact"/>
              <w:rPr>
                <w:sz w:val="20"/>
                <w:szCs w:val="20"/>
                <w:color w:val="auto"/>
              </w:rPr>
            </w:pPr>
            <w:r>
              <w:rPr>
                <w:rFonts w:ascii="Arial" w:cs="Arial" w:eastAsia="Arial" w:hAnsi="Arial"/>
                <w:sz w:val="12"/>
                <w:szCs w:val="12"/>
                <w:color w:val="auto"/>
                <w:w w:val="99"/>
              </w:rPr>
              <w:t>—</w:t>
            </w:r>
          </w:p>
        </w:tc>
        <w:tc>
          <w:tcPr>
            <w:tcW w:w="2100" w:type="dxa"/>
            <w:vAlign w:val="bottom"/>
          </w:tcPr>
          <w:p>
            <w:pPr>
              <w:jc w:val="center"/>
              <w:ind w:right="2"/>
              <w:spacing w:after="0" w:line="135" w:lineRule="exact"/>
              <w:rPr>
                <w:sz w:val="20"/>
                <w:szCs w:val="20"/>
                <w:color w:val="auto"/>
              </w:rPr>
            </w:pPr>
            <w:r>
              <w:rPr>
                <w:rFonts w:ascii="Arial" w:cs="Arial" w:eastAsia="Arial" w:hAnsi="Arial"/>
                <w:sz w:val="12"/>
                <w:szCs w:val="12"/>
                <w:color w:val="auto"/>
                <w:w w:val="88"/>
              </w:rPr>
              <w:t>Broadcasting and Entertainment</w:t>
            </w:r>
          </w:p>
        </w:tc>
        <w:tc>
          <w:tcPr>
            <w:tcW w:w="660" w:type="dxa"/>
            <w:vAlign w:val="bottom"/>
          </w:tcPr>
          <w:p>
            <w:pPr>
              <w:spacing w:after="0"/>
              <w:rPr>
                <w:sz w:val="11"/>
                <w:szCs w:val="11"/>
                <w:color w:val="auto"/>
              </w:rPr>
            </w:pPr>
          </w:p>
        </w:tc>
        <w:tc>
          <w:tcPr>
            <w:tcW w:w="1080" w:type="dxa"/>
            <w:vAlign w:val="bottom"/>
          </w:tcPr>
          <w:p>
            <w:pPr>
              <w:ind w:left="20"/>
              <w:spacing w:after="0" w:line="135" w:lineRule="exact"/>
              <w:rPr>
                <w:sz w:val="20"/>
                <w:szCs w:val="20"/>
                <w:color w:val="auto"/>
              </w:rPr>
            </w:pPr>
            <w:r>
              <w:rPr>
                <w:rFonts w:ascii="Arial" w:cs="Arial" w:eastAsia="Arial" w:hAnsi="Arial"/>
                <w:sz w:val="12"/>
                <w:szCs w:val="12"/>
                <w:color w:val="auto"/>
              </w:rPr>
              <w:t>—</w:t>
            </w:r>
          </w:p>
        </w:tc>
        <w:tc>
          <w:tcPr>
            <w:tcW w:w="320" w:type="dxa"/>
            <w:vAlign w:val="bottom"/>
          </w:tcPr>
          <w:p>
            <w:pPr>
              <w:spacing w:after="0" w:line="135" w:lineRule="exact"/>
              <w:rPr>
                <w:sz w:val="20"/>
                <w:szCs w:val="20"/>
                <w:color w:val="auto"/>
              </w:rPr>
            </w:pPr>
            <w:r>
              <w:rPr>
                <w:rFonts w:ascii="Arial" w:cs="Arial" w:eastAsia="Arial" w:hAnsi="Arial"/>
                <w:sz w:val="12"/>
                <w:szCs w:val="12"/>
                <w:color w:val="auto"/>
              </w:rPr>
              <w:t>—</w:t>
            </w:r>
          </w:p>
        </w:tc>
        <w:tc>
          <w:tcPr>
            <w:tcW w:w="900" w:type="dxa"/>
            <w:vAlign w:val="bottom"/>
          </w:tcPr>
          <w:p>
            <w:pPr>
              <w:jc w:val="right"/>
              <w:ind w:right="102"/>
              <w:spacing w:after="0" w:line="135" w:lineRule="exact"/>
              <w:rPr>
                <w:sz w:val="20"/>
                <w:szCs w:val="20"/>
                <w:color w:val="auto"/>
              </w:rPr>
            </w:pPr>
            <w:r>
              <w:rPr>
                <w:rFonts w:ascii="Arial" w:cs="Arial" w:eastAsia="Arial" w:hAnsi="Arial"/>
                <w:sz w:val="12"/>
                <w:szCs w:val="12"/>
                <w:color w:val="auto"/>
              </w:rPr>
              <w:t>1,333,333</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3,000,000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9"/>
        </w:trPr>
        <w:tc>
          <w:tcPr>
            <w:tcW w:w="312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 xml:space="preserve">Cardinal Logistics Holdings LLC </w:t>
            </w:r>
            <w:r>
              <w:rPr>
                <w:rFonts w:ascii="Arial" w:cs="Arial" w:eastAsia="Arial" w:hAnsi="Arial"/>
                <w:sz w:val="9"/>
                <w:szCs w:val="9"/>
                <w:color w:val="auto"/>
              </w:rPr>
              <w:t>(11)</w:t>
            </w:r>
          </w:p>
        </w:tc>
        <w:tc>
          <w:tcPr>
            <w:tcW w:w="82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99"/>
              </w:rPr>
              <w:t>—</w:t>
            </w:r>
          </w:p>
        </w:tc>
        <w:tc>
          <w:tcPr>
            <w:tcW w:w="2100" w:type="dxa"/>
            <w:vAlign w:val="bottom"/>
            <w:shd w:val="clear" w:color="auto" w:fill="CCEEFF"/>
          </w:tcPr>
          <w:p>
            <w:pPr>
              <w:jc w:val="center"/>
              <w:ind w:right="2"/>
              <w:spacing w:after="0" w:line="129" w:lineRule="exact"/>
              <w:rPr>
                <w:sz w:val="20"/>
                <w:szCs w:val="20"/>
                <w:color w:val="auto"/>
              </w:rPr>
            </w:pPr>
            <w:r>
              <w:rPr>
                <w:rFonts w:ascii="Arial" w:cs="Arial" w:eastAsia="Arial" w:hAnsi="Arial"/>
                <w:sz w:val="12"/>
                <w:szCs w:val="12"/>
                <w:color w:val="auto"/>
                <w:w w:val="86"/>
              </w:rPr>
              <w:t>Cargo Transport</w:t>
            </w:r>
          </w:p>
        </w:tc>
        <w:tc>
          <w:tcPr>
            <w:tcW w:w="660" w:type="dxa"/>
            <w:vAlign w:val="bottom"/>
            <w:shd w:val="clear" w:color="auto" w:fill="CCEEFF"/>
          </w:tcPr>
          <w:p>
            <w:pPr>
              <w:spacing w:after="0"/>
              <w:rPr>
                <w:sz w:val="11"/>
                <w:szCs w:val="11"/>
                <w:color w:val="auto"/>
              </w:rPr>
            </w:pPr>
          </w:p>
        </w:tc>
        <w:tc>
          <w:tcPr>
            <w:tcW w:w="1080" w:type="dxa"/>
            <w:vAlign w:val="bottom"/>
            <w:shd w:val="clear" w:color="auto" w:fill="CCEEFF"/>
          </w:tcPr>
          <w:p>
            <w:pPr>
              <w:ind w:left="20"/>
              <w:spacing w:after="0" w:line="129" w:lineRule="exact"/>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ind w:right="102"/>
              <w:spacing w:after="0" w:line="129" w:lineRule="exact"/>
              <w:rPr>
                <w:sz w:val="20"/>
                <w:szCs w:val="20"/>
                <w:color w:val="auto"/>
              </w:rPr>
            </w:pPr>
            <w:r>
              <w:rPr>
                <w:rFonts w:ascii="Arial" w:cs="Arial" w:eastAsia="Arial" w:hAnsi="Arial"/>
                <w:sz w:val="12"/>
                <w:szCs w:val="12"/>
                <w:color w:val="auto"/>
              </w:rPr>
              <w:t>137,923</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2"/>
                <w:szCs w:val="12"/>
                <w:color w:val="auto"/>
              </w:rPr>
              <w:t>2,111,588</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3120" w:type="dxa"/>
            <w:vAlign w:val="bottom"/>
            <w:shd w:val="clear" w:color="auto" w:fill="CCEEFF"/>
          </w:tcPr>
          <w:p>
            <w:pPr>
              <w:ind w:left="120"/>
              <w:spacing w:after="0" w:line="135" w:lineRule="exact"/>
              <w:rPr>
                <w:sz w:val="20"/>
                <w:szCs w:val="20"/>
                <w:color w:val="auto"/>
              </w:rPr>
            </w:pPr>
            <w:r>
              <w:rPr>
                <w:rFonts w:ascii="Arial" w:cs="Arial" w:eastAsia="Arial" w:hAnsi="Arial"/>
                <w:sz w:val="12"/>
                <w:szCs w:val="12"/>
                <w:color w:val="auto"/>
              </w:rPr>
              <w:t>(f/k/a Transportation 100 Holdco, L.L.C.)</w:t>
            </w:r>
          </w:p>
        </w:tc>
        <w:tc>
          <w:tcPr>
            <w:tcW w:w="820" w:type="dxa"/>
            <w:vAlign w:val="bottom"/>
            <w:shd w:val="clear" w:color="auto" w:fill="CCEEFF"/>
          </w:tcPr>
          <w:p>
            <w:pPr>
              <w:spacing w:after="0"/>
              <w:rPr>
                <w:sz w:val="11"/>
                <w:szCs w:val="11"/>
                <w:color w:val="auto"/>
              </w:rPr>
            </w:pPr>
          </w:p>
        </w:tc>
        <w:tc>
          <w:tcPr>
            <w:tcW w:w="2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31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(Intermediate Transportation 100, L.L.C.)</w:t>
            </w:r>
          </w:p>
        </w:tc>
        <w:tc>
          <w:tcPr>
            <w:tcW w:w="820" w:type="dxa"/>
            <w:vAlign w:val="bottom"/>
            <w:shd w:val="clear" w:color="auto" w:fill="CCEEFF"/>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120" w:type="dxa"/>
            <w:vAlign w:val="bottom"/>
          </w:tcPr>
          <w:p>
            <w:pPr>
              <w:spacing w:after="0" w:line="129" w:lineRule="exact"/>
              <w:rPr>
                <w:sz w:val="20"/>
                <w:szCs w:val="20"/>
                <w:color w:val="auto"/>
              </w:rPr>
            </w:pPr>
            <w:r>
              <w:rPr>
                <w:rFonts w:ascii="Arial" w:cs="Arial" w:eastAsia="Arial" w:hAnsi="Arial"/>
                <w:sz w:val="12"/>
                <w:szCs w:val="12"/>
                <w:color w:val="auto"/>
              </w:rPr>
              <w:t xml:space="preserve">CI (FBM) Holdings, LLC </w:t>
            </w:r>
            <w:r>
              <w:rPr>
                <w:rFonts w:ascii="Arial" w:cs="Arial" w:eastAsia="Arial" w:hAnsi="Arial"/>
                <w:sz w:val="9"/>
                <w:szCs w:val="9"/>
                <w:color w:val="auto"/>
              </w:rPr>
              <w:t>(11)</w:t>
            </w:r>
          </w:p>
        </w:tc>
        <w:tc>
          <w:tcPr>
            <w:tcW w:w="820" w:type="dxa"/>
            <w:vAlign w:val="bottom"/>
          </w:tcPr>
          <w:p>
            <w:pPr>
              <w:jc w:val="center"/>
              <w:spacing w:after="0" w:line="129" w:lineRule="exact"/>
              <w:rPr>
                <w:sz w:val="20"/>
                <w:szCs w:val="20"/>
                <w:color w:val="auto"/>
              </w:rPr>
            </w:pPr>
            <w:r>
              <w:rPr>
                <w:rFonts w:ascii="Arial" w:cs="Arial" w:eastAsia="Arial" w:hAnsi="Arial"/>
                <w:sz w:val="12"/>
                <w:szCs w:val="12"/>
                <w:color w:val="auto"/>
                <w:w w:val="99"/>
              </w:rPr>
              <w:t>—</w:t>
            </w:r>
          </w:p>
        </w:tc>
        <w:tc>
          <w:tcPr>
            <w:tcW w:w="2100" w:type="dxa"/>
            <w:vAlign w:val="bottom"/>
          </w:tcPr>
          <w:p>
            <w:pPr>
              <w:jc w:val="center"/>
              <w:ind w:right="2"/>
              <w:spacing w:after="0" w:line="129" w:lineRule="exact"/>
              <w:rPr>
                <w:sz w:val="20"/>
                <w:szCs w:val="20"/>
                <w:color w:val="auto"/>
              </w:rPr>
            </w:pPr>
            <w:r>
              <w:rPr>
                <w:rFonts w:ascii="Arial" w:cs="Arial" w:eastAsia="Arial" w:hAnsi="Arial"/>
                <w:sz w:val="12"/>
                <w:szCs w:val="12"/>
                <w:color w:val="auto"/>
                <w:w w:val="92"/>
              </w:rPr>
              <w:t>Building Materials</w:t>
            </w:r>
          </w:p>
        </w:tc>
        <w:tc>
          <w:tcPr>
            <w:tcW w:w="660" w:type="dxa"/>
            <w:vAlign w:val="bottom"/>
          </w:tcPr>
          <w:p>
            <w:pPr>
              <w:spacing w:after="0"/>
              <w:rPr>
                <w:sz w:val="11"/>
                <w:szCs w:val="11"/>
                <w:color w:val="auto"/>
              </w:rPr>
            </w:pPr>
          </w:p>
        </w:tc>
        <w:tc>
          <w:tcPr>
            <w:tcW w:w="1080" w:type="dxa"/>
            <w:vAlign w:val="bottom"/>
          </w:tcPr>
          <w:p>
            <w:pPr>
              <w:ind w:left="20"/>
              <w:spacing w:after="0" w:line="129" w:lineRule="exact"/>
              <w:rPr>
                <w:sz w:val="20"/>
                <w:szCs w:val="20"/>
                <w:color w:val="auto"/>
              </w:rPr>
            </w:pPr>
            <w:r>
              <w:rPr>
                <w:rFonts w:ascii="Arial" w:cs="Arial" w:eastAsia="Arial" w:hAnsi="Arial"/>
                <w:sz w:val="12"/>
                <w:szCs w:val="12"/>
                <w:color w:val="auto"/>
              </w:rPr>
              <w:t>—</w:t>
            </w:r>
          </w:p>
        </w:tc>
        <w:tc>
          <w:tcPr>
            <w:tcW w:w="320" w:type="dxa"/>
            <w:vAlign w:val="bottom"/>
          </w:tcPr>
          <w:p>
            <w:pPr>
              <w:spacing w:after="0" w:line="129" w:lineRule="exact"/>
              <w:rPr>
                <w:sz w:val="20"/>
                <w:szCs w:val="20"/>
                <w:color w:val="auto"/>
              </w:rPr>
            </w:pPr>
            <w:r>
              <w:rPr>
                <w:rFonts w:ascii="Arial" w:cs="Arial" w:eastAsia="Arial" w:hAnsi="Arial"/>
                <w:sz w:val="12"/>
                <w:szCs w:val="12"/>
                <w:color w:val="auto"/>
              </w:rPr>
              <w:t>—</w:t>
            </w:r>
          </w:p>
        </w:tc>
        <w:tc>
          <w:tcPr>
            <w:tcW w:w="900" w:type="dxa"/>
            <w:vAlign w:val="bottom"/>
          </w:tcPr>
          <w:p>
            <w:pPr>
              <w:jc w:val="right"/>
              <w:ind w:right="102"/>
              <w:spacing w:after="0" w:line="129" w:lineRule="exact"/>
              <w:rPr>
                <w:sz w:val="20"/>
                <w:szCs w:val="20"/>
                <w:color w:val="auto"/>
              </w:rPr>
            </w:pPr>
            <w:r>
              <w:rPr>
                <w:rFonts w:ascii="Arial" w:cs="Arial" w:eastAsia="Arial" w:hAnsi="Arial"/>
                <w:sz w:val="12"/>
                <w:szCs w:val="12"/>
                <w:color w:val="auto"/>
              </w:rPr>
              <w:t>207,242</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120"/>
              <w:spacing w:after="0" w:line="129" w:lineRule="exact"/>
              <w:rPr>
                <w:sz w:val="20"/>
                <w:szCs w:val="20"/>
                <w:color w:val="auto"/>
              </w:rPr>
            </w:pPr>
            <w:r>
              <w:rPr>
                <w:rFonts w:ascii="Arial" w:cs="Arial" w:eastAsia="Arial" w:hAnsi="Arial"/>
                <w:sz w:val="12"/>
                <w:szCs w:val="12"/>
                <w:color w:val="auto"/>
              </w:rPr>
              <w:t>2,250,000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2,377,491</w:t>
            </w:r>
          </w:p>
        </w:tc>
        <w:tc>
          <w:tcPr>
            <w:tcW w:w="0" w:type="dxa"/>
            <w:vAlign w:val="bottom"/>
          </w:tcPr>
          <w:p>
            <w:pPr>
              <w:spacing w:after="0"/>
              <w:rPr>
                <w:sz w:val="1"/>
                <w:szCs w:val="1"/>
                <w:color w:val="auto"/>
              </w:rPr>
            </w:pPr>
          </w:p>
        </w:tc>
      </w:tr>
      <w:tr>
        <w:trPr>
          <w:trHeight w:val="141"/>
        </w:trPr>
        <w:tc>
          <w:tcPr>
            <w:tcW w:w="3120" w:type="dxa"/>
            <w:vAlign w:val="bottom"/>
          </w:tcPr>
          <w:p>
            <w:pPr>
              <w:ind w:left="120"/>
              <w:spacing w:after="0"/>
              <w:rPr>
                <w:sz w:val="20"/>
                <w:szCs w:val="20"/>
                <w:color w:val="auto"/>
              </w:rPr>
            </w:pPr>
            <w:r>
              <w:rPr>
                <w:rFonts w:ascii="Arial" w:cs="Arial" w:eastAsia="Arial" w:hAnsi="Arial"/>
                <w:sz w:val="12"/>
                <w:szCs w:val="12"/>
                <w:color w:val="auto"/>
              </w:rPr>
              <w:t>(Foundation Building Materials, LLC)</w:t>
            </w:r>
          </w:p>
        </w:tc>
        <w:tc>
          <w:tcPr>
            <w:tcW w:w="8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12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 xml:space="preserve">CI (FBM) Holdings, LLC </w:t>
            </w:r>
            <w:r>
              <w:rPr>
                <w:rFonts w:ascii="Arial" w:cs="Arial" w:eastAsia="Arial" w:hAnsi="Arial"/>
                <w:sz w:val="9"/>
                <w:szCs w:val="9"/>
                <w:color w:val="auto"/>
              </w:rPr>
              <w:t>(9), (11)</w:t>
            </w:r>
          </w:p>
        </w:tc>
        <w:tc>
          <w:tcPr>
            <w:tcW w:w="82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99"/>
              </w:rPr>
              <w:t>—</w:t>
            </w:r>
          </w:p>
        </w:tc>
        <w:tc>
          <w:tcPr>
            <w:tcW w:w="2100" w:type="dxa"/>
            <w:vAlign w:val="bottom"/>
            <w:shd w:val="clear" w:color="auto" w:fill="CCEEFF"/>
          </w:tcPr>
          <w:p>
            <w:pPr>
              <w:jc w:val="center"/>
              <w:ind w:right="2"/>
              <w:spacing w:after="0" w:line="129" w:lineRule="exact"/>
              <w:rPr>
                <w:sz w:val="20"/>
                <w:szCs w:val="20"/>
                <w:color w:val="auto"/>
              </w:rPr>
            </w:pPr>
            <w:r>
              <w:rPr>
                <w:rFonts w:ascii="Arial" w:cs="Arial" w:eastAsia="Arial" w:hAnsi="Arial"/>
                <w:sz w:val="12"/>
                <w:szCs w:val="12"/>
                <w:color w:val="auto"/>
                <w:w w:val="92"/>
              </w:rPr>
              <w:t>Building Materials</w:t>
            </w:r>
          </w:p>
        </w:tc>
        <w:tc>
          <w:tcPr>
            <w:tcW w:w="660" w:type="dxa"/>
            <w:vAlign w:val="bottom"/>
            <w:shd w:val="clear" w:color="auto" w:fill="CCEEFF"/>
          </w:tcPr>
          <w:p>
            <w:pPr>
              <w:spacing w:after="0"/>
              <w:rPr>
                <w:sz w:val="11"/>
                <w:szCs w:val="11"/>
                <w:color w:val="auto"/>
              </w:rPr>
            </w:pPr>
          </w:p>
        </w:tc>
        <w:tc>
          <w:tcPr>
            <w:tcW w:w="1080" w:type="dxa"/>
            <w:vAlign w:val="bottom"/>
            <w:shd w:val="clear" w:color="auto" w:fill="CCEEFF"/>
          </w:tcPr>
          <w:p>
            <w:pPr>
              <w:ind w:left="20"/>
              <w:spacing w:after="0" w:line="129" w:lineRule="exact"/>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ind w:right="102"/>
              <w:spacing w:after="0" w:line="129" w:lineRule="exact"/>
              <w:rPr>
                <w:sz w:val="20"/>
                <w:szCs w:val="20"/>
                <w:color w:val="auto"/>
              </w:rPr>
            </w:pPr>
            <w:r>
              <w:rPr>
                <w:rFonts w:ascii="Arial" w:cs="Arial" w:eastAsia="Arial" w:hAnsi="Arial"/>
                <w:sz w:val="12"/>
                <w:szCs w:val="12"/>
                <w:color w:val="auto"/>
              </w:rPr>
              <w:t>103,621</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2"/>
                <w:szCs w:val="12"/>
                <w:color w:val="auto"/>
              </w:rPr>
              <w:t>1,125,000</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1,188,746</w:t>
            </w:r>
          </w:p>
        </w:tc>
        <w:tc>
          <w:tcPr>
            <w:tcW w:w="0" w:type="dxa"/>
            <w:vAlign w:val="bottom"/>
          </w:tcPr>
          <w:p>
            <w:pPr>
              <w:spacing w:after="0"/>
              <w:rPr>
                <w:sz w:val="1"/>
                <w:szCs w:val="1"/>
                <w:color w:val="auto"/>
              </w:rPr>
            </w:pPr>
          </w:p>
        </w:tc>
      </w:tr>
      <w:tr>
        <w:trPr>
          <w:trHeight w:val="141"/>
        </w:trPr>
        <w:tc>
          <w:tcPr>
            <w:tcW w:w="31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(Foundation Building Materials, LLC)</w:t>
            </w:r>
          </w:p>
        </w:tc>
        <w:tc>
          <w:tcPr>
            <w:tcW w:w="820" w:type="dxa"/>
            <w:vAlign w:val="bottom"/>
            <w:shd w:val="clear" w:color="auto" w:fill="CCEEFF"/>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120" w:type="dxa"/>
            <w:vAlign w:val="bottom"/>
          </w:tcPr>
          <w:p>
            <w:pPr>
              <w:spacing w:after="0" w:line="135" w:lineRule="exact"/>
              <w:rPr>
                <w:sz w:val="20"/>
                <w:szCs w:val="20"/>
                <w:color w:val="auto"/>
              </w:rPr>
            </w:pPr>
            <w:r>
              <w:rPr>
                <w:rFonts w:ascii="Arial" w:cs="Arial" w:eastAsia="Arial" w:hAnsi="Arial"/>
                <w:sz w:val="12"/>
                <w:szCs w:val="12"/>
                <w:color w:val="auto"/>
              </w:rPr>
              <w:t xml:space="preserve">CI (Galls) Prime Investment Holdings, LLC </w:t>
            </w:r>
            <w:r>
              <w:rPr>
                <w:rFonts w:ascii="Arial" w:cs="Arial" w:eastAsia="Arial" w:hAnsi="Arial"/>
                <w:sz w:val="9"/>
                <w:szCs w:val="9"/>
                <w:color w:val="auto"/>
              </w:rPr>
              <w:t>(11)</w:t>
            </w:r>
          </w:p>
        </w:tc>
        <w:tc>
          <w:tcPr>
            <w:tcW w:w="820" w:type="dxa"/>
            <w:vAlign w:val="bottom"/>
          </w:tcPr>
          <w:p>
            <w:pPr>
              <w:jc w:val="center"/>
              <w:spacing w:after="0" w:line="135" w:lineRule="exact"/>
              <w:rPr>
                <w:sz w:val="20"/>
                <w:szCs w:val="20"/>
                <w:color w:val="auto"/>
              </w:rPr>
            </w:pPr>
            <w:r>
              <w:rPr>
                <w:rFonts w:ascii="Arial" w:cs="Arial" w:eastAsia="Arial" w:hAnsi="Arial"/>
                <w:sz w:val="12"/>
                <w:szCs w:val="12"/>
                <w:color w:val="auto"/>
                <w:w w:val="99"/>
              </w:rPr>
              <w:t>—</w:t>
            </w:r>
          </w:p>
        </w:tc>
        <w:tc>
          <w:tcPr>
            <w:tcW w:w="2100" w:type="dxa"/>
            <w:vAlign w:val="bottom"/>
          </w:tcPr>
          <w:p>
            <w:pPr>
              <w:jc w:val="center"/>
              <w:ind w:right="2"/>
              <w:spacing w:after="0" w:line="135" w:lineRule="exact"/>
              <w:rPr>
                <w:sz w:val="20"/>
                <w:szCs w:val="20"/>
                <w:color w:val="auto"/>
              </w:rPr>
            </w:pPr>
            <w:r>
              <w:rPr>
                <w:rFonts w:ascii="Arial" w:cs="Arial" w:eastAsia="Arial" w:hAnsi="Arial"/>
                <w:sz w:val="12"/>
                <w:szCs w:val="12"/>
                <w:color w:val="auto"/>
                <w:w w:val="93"/>
              </w:rPr>
              <w:t>Distribution</w:t>
            </w:r>
          </w:p>
        </w:tc>
        <w:tc>
          <w:tcPr>
            <w:tcW w:w="660" w:type="dxa"/>
            <w:vAlign w:val="bottom"/>
          </w:tcPr>
          <w:p>
            <w:pPr>
              <w:spacing w:after="0"/>
              <w:rPr>
                <w:sz w:val="11"/>
                <w:szCs w:val="11"/>
                <w:color w:val="auto"/>
              </w:rPr>
            </w:pPr>
          </w:p>
        </w:tc>
        <w:tc>
          <w:tcPr>
            <w:tcW w:w="1080" w:type="dxa"/>
            <w:vAlign w:val="bottom"/>
          </w:tcPr>
          <w:p>
            <w:pPr>
              <w:ind w:left="20"/>
              <w:spacing w:after="0" w:line="135" w:lineRule="exact"/>
              <w:rPr>
                <w:sz w:val="20"/>
                <w:szCs w:val="20"/>
                <w:color w:val="auto"/>
              </w:rPr>
            </w:pPr>
            <w:r>
              <w:rPr>
                <w:rFonts w:ascii="Arial" w:cs="Arial" w:eastAsia="Arial" w:hAnsi="Arial"/>
                <w:sz w:val="12"/>
                <w:szCs w:val="12"/>
                <w:color w:val="auto"/>
              </w:rPr>
              <w:t>—</w:t>
            </w:r>
          </w:p>
        </w:tc>
        <w:tc>
          <w:tcPr>
            <w:tcW w:w="320" w:type="dxa"/>
            <w:vAlign w:val="bottom"/>
          </w:tcPr>
          <w:p>
            <w:pPr>
              <w:spacing w:after="0" w:line="135" w:lineRule="exact"/>
              <w:rPr>
                <w:sz w:val="20"/>
                <w:szCs w:val="20"/>
                <w:color w:val="auto"/>
              </w:rPr>
            </w:pPr>
            <w:r>
              <w:rPr>
                <w:rFonts w:ascii="Arial" w:cs="Arial" w:eastAsia="Arial" w:hAnsi="Arial"/>
                <w:sz w:val="12"/>
                <w:szCs w:val="12"/>
                <w:color w:val="auto"/>
              </w:rPr>
              <w:t>—</w:t>
            </w:r>
          </w:p>
        </w:tc>
        <w:tc>
          <w:tcPr>
            <w:tcW w:w="900" w:type="dxa"/>
            <w:vAlign w:val="bottom"/>
          </w:tcPr>
          <w:p>
            <w:pPr>
              <w:jc w:val="right"/>
              <w:ind w:right="102"/>
              <w:spacing w:after="0" w:line="135" w:lineRule="exact"/>
              <w:rPr>
                <w:sz w:val="20"/>
                <w:szCs w:val="20"/>
                <w:color w:val="auto"/>
              </w:rPr>
            </w:pPr>
            <w:r>
              <w:rPr>
                <w:rFonts w:ascii="Arial" w:cs="Arial" w:eastAsia="Arial" w:hAnsi="Arial"/>
                <w:sz w:val="12"/>
                <w:szCs w:val="12"/>
                <w:color w:val="auto"/>
              </w:rPr>
              <w:t>1,505,000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1,505,000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1,847,186</w:t>
            </w:r>
          </w:p>
        </w:tc>
        <w:tc>
          <w:tcPr>
            <w:tcW w:w="0" w:type="dxa"/>
            <w:vAlign w:val="bottom"/>
          </w:tcPr>
          <w:p>
            <w:pPr>
              <w:spacing w:after="0"/>
              <w:rPr>
                <w:sz w:val="1"/>
                <w:szCs w:val="1"/>
                <w:color w:val="auto"/>
              </w:rPr>
            </w:pPr>
          </w:p>
        </w:tc>
      </w:tr>
      <w:tr>
        <w:trPr>
          <w:trHeight w:val="135"/>
        </w:trPr>
        <w:tc>
          <w:tcPr>
            <w:tcW w:w="31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CI (IHS) Investment Holdings, LLC</w:t>
            </w:r>
          </w:p>
        </w:tc>
        <w:tc>
          <w:tcPr>
            <w:tcW w:w="82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9"/>
              </w:rPr>
              <w:t>—</w:t>
            </w:r>
          </w:p>
        </w:tc>
        <w:tc>
          <w:tcPr>
            <w:tcW w:w="2100" w:type="dxa"/>
            <w:vAlign w:val="bottom"/>
            <w:shd w:val="clear" w:color="auto" w:fill="CCEEFF"/>
          </w:tcPr>
          <w:p>
            <w:pPr>
              <w:jc w:val="center"/>
              <w:ind w:right="2"/>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660" w:type="dxa"/>
            <w:vAlign w:val="bottom"/>
            <w:shd w:val="clear" w:color="auto" w:fill="CCEEFF"/>
          </w:tcPr>
          <w:p>
            <w:pPr>
              <w:spacing w:after="0"/>
              <w:rPr>
                <w:sz w:val="11"/>
                <w:szCs w:val="11"/>
                <w:color w:val="auto"/>
              </w:rPr>
            </w:pPr>
          </w:p>
        </w:tc>
        <w:tc>
          <w:tcPr>
            <w:tcW w:w="1080" w:type="dxa"/>
            <w:vAlign w:val="bottom"/>
            <w:shd w:val="clear" w:color="auto" w:fill="CCEEFF"/>
          </w:tcPr>
          <w:p>
            <w:pPr>
              <w:ind w:left="20"/>
              <w:spacing w:after="0" w:line="135" w:lineRule="exact"/>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ind w:right="102"/>
              <w:spacing w:after="0" w:line="135" w:lineRule="exact"/>
              <w:rPr>
                <w:sz w:val="20"/>
                <w:szCs w:val="20"/>
                <w:color w:val="auto"/>
              </w:rPr>
            </w:pPr>
            <w:r>
              <w:rPr>
                <w:rFonts w:ascii="Arial" w:cs="Arial" w:eastAsia="Arial" w:hAnsi="Arial"/>
                <w:sz w:val="12"/>
                <w:szCs w:val="12"/>
                <w:color w:val="auto"/>
              </w:rPr>
              <w:t>23,416</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234,693</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679,750</w:t>
            </w:r>
          </w:p>
        </w:tc>
        <w:tc>
          <w:tcPr>
            <w:tcW w:w="0" w:type="dxa"/>
            <w:vAlign w:val="bottom"/>
          </w:tcPr>
          <w:p>
            <w:pPr>
              <w:spacing w:after="0"/>
              <w:rPr>
                <w:sz w:val="1"/>
                <w:szCs w:val="1"/>
                <w:color w:val="auto"/>
              </w:rPr>
            </w:pPr>
          </w:p>
        </w:tc>
      </w:tr>
      <w:tr>
        <w:trPr>
          <w:trHeight w:val="135"/>
        </w:trPr>
        <w:tc>
          <w:tcPr>
            <w:tcW w:w="3120" w:type="dxa"/>
            <w:vAlign w:val="bottom"/>
          </w:tcPr>
          <w:p>
            <w:pPr>
              <w:spacing w:after="0" w:line="135" w:lineRule="exact"/>
              <w:rPr>
                <w:sz w:val="20"/>
                <w:szCs w:val="20"/>
                <w:color w:val="auto"/>
              </w:rPr>
            </w:pPr>
            <w:r>
              <w:rPr>
                <w:rFonts w:ascii="Arial" w:cs="Arial" w:eastAsia="Arial" w:hAnsi="Arial"/>
                <w:sz w:val="12"/>
                <w:szCs w:val="12"/>
                <w:color w:val="auto"/>
              </w:rPr>
              <w:t xml:space="preserve">CI (IHS) Investment Holdings, LLC </w:t>
            </w:r>
            <w:r>
              <w:rPr>
                <w:rFonts w:ascii="Arial" w:cs="Arial" w:eastAsia="Arial" w:hAnsi="Arial"/>
                <w:sz w:val="9"/>
                <w:szCs w:val="9"/>
                <w:color w:val="auto"/>
              </w:rPr>
              <w:t>(9)</w:t>
            </w:r>
          </w:p>
        </w:tc>
        <w:tc>
          <w:tcPr>
            <w:tcW w:w="820" w:type="dxa"/>
            <w:vAlign w:val="bottom"/>
          </w:tcPr>
          <w:p>
            <w:pPr>
              <w:jc w:val="center"/>
              <w:spacing w:after="0" w:line="135" w:lineRule="exact"/>
              <w:rPr>
                <w:sz w:val="20"/>
                <w:szCs w:val="20"/>
                <w:color w:val="auto"/>
              </w:rPr>
            </w:pPr>
            <w:r>
              <w:rPr>
                <w:rFonts w:ascii="Arial" w:cs="Arial" w:eastAsia="Arial" w:hAnsi="Arial"/>
                <w:sz w:val="12"/>
                <w:szCs w:val="12"/>
                <w:color w:val="auto"/>
                <w:w w:val="99"/>
              </w:rPr>
              <w:t>—</w:t>
            </w:r>
          </w:p>
        </w:tc>
        <w:tc>
          <w:tcPr>
            <w:tcW w:w="2100" w:type="dxa"/>
            <w:vAlign w:val="bottom"/>
          </w:tcPr>
          <w:p>
            <w:pPr>
              <w:jc w:val="center"/>
              <w:ind w:right="2"/>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660" w:type="dxa"/>
            <w:vAlign w:val="bottom"/>
          </w:tcPr>
          <w:p>
            <w:pPr>
              <w:spacing w:after="0"/>
              <w:rPr>
                <w:sz w:val="11"/>
                <w:szCs w:val="11"/>
                <w:color w:val="auto"/>
              </w:rPr>
            </w:pPr>
          </w:p>
        </w:tc>
        <w:tc>
          <w:tcPr>
            <w:tcW w:w="1080" w:type="dxa"/>
            <w:vAlign w:val="bottom"/>
          </w:tcPr>
          <w:p>
            <w:pPr>
              <w:ind w:left="20"/>
              <w:spacing w:after="0" w:line="135" w:lineRule="exact"/>
              <w:rPr>
                <w:sz w:val="20"/>
                <w:szCs w:val="20"/>
                <w:color w:val="auto"/>
              </w:rPr>
            </w:pPr>
            <w:r>
              <w:rPr>
                <w:rFonts w:ascii="Arial" w:cs="Arial" w:eastAsia="Arial" w:hAnsi="Arial"/>
                <w:sz w:val="12"/>
                <w:szCs w:val="12"/>
                <w:color w:val="auto"/>
              </w:rPr>
              <w:t>—</w:t>
            </w:r>
          </w:p>
        </w:tc>
        <w:tc>
          <w:tcPr>
            <w:tcW w:w="320" w:type="dxa"/>
            <w:vAlign w:val="bottom"/>
          </w:tcPr>
          <w:p>
            <w:pPr>
              <w:spacing w:after="0" w:line="135" w:lineRule="exact"/>
              <w:rPr>
                <w:sz w:val="20"/>
                <w:szCs w:val="20"/>
                <w:color w:val="auto"/>
              </w:rPr>
            </w:pPr>
            <w:r>
              <w:rPr>
                <w:rFonts w:ascii="Arial" w:cs="Arial" w:eastAsia="Arial" w:hAnsi="Arial"/>
                <w:sz w:val="12"/>
                <w:szCs w:val="12"/>
                <w:color w:val="auto"/>
              </w:rPr>
              <w:t>—</w:t>
            </w:r>
          </w:p>
        </w:tc>
        <w:tc>
          <w:tcPr>
            <w:tcW w:w="900" w:type="dxa"/>
            <w:vAlign w:val="bottom"/>
          </w:tcPr>
          <w:p>
            <w:pPr>
              <w:jc w:val="right"/>
              <w:ind w:right="102"/>
              <w:spacing w:after="0" w:line="135" w:lineRule="exact"/>
              <w:rPr>
                <w:sz w:val="20"/>
                <w:szCs w:val="20"/>
                <w:color w:val="auto"/>
              </w:rPr>
            </w:pPr>
            <w:r>
              <w:rPr>
                <w:rFonts w:ascii="Arial" w:cs="Arial" w:eastAsia="Arial" w:hAnsi="Arial"/>
                <w:sz w:val="12"/>
                <w:szCs w:val="12"/>
                <w:color w:val="auto"/>
              </w:rPr>
              <w:t>11,708</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117,346</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339,875</w:t>
            </w:r>
          </w:p>
        </w:tc>
        <w:tc>
          <w:tcPr>
            <w:tcW w:w="0" w:type="dxa"/>
            <w:vAlign w:val="bottom"/>
          </w:tcPr>
          <w:p>
            <w:pPr>
              <w:spacing w:after="0"/>
              <w:rPr>
                <w:sz w:val="1"/>
                <w:szCs w:val="1"/>
                <w:color w:val="auto"/>
              </w:rPr>
            </w:pPr>
          </w:p>
        </w:tc>
      </w:tr>
      <w:tr>
        <w:trPr>
          <w:trHeight w:val="129"/>
        </w:trPr>
        <w:tc>
          <w:tcPr>
            <w:tcW w:w="312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Convergint Technologies Holdings, LLC (Convergint</w:t>
            </w:r>
          </w:p>
        </w:tc>
        <w:tc>
          <w:tcPr>
            <w:tcW w:w="82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99"/>
              </w:rPr>
              <w:t>—</w:t>
            </w:r>
          </w:p>
        </w:tc>
        <w:tc>
          <w:tcPr>
            <w:tcW w:w="2100" w:type="dxa"/>
            <w:vAlign w:val="bottom"/>
            <w:shd w:val="clear" w:color="auto" w:fill="CCEEFF"/>
          </w:tcPr>
          <w:p>
            <w:pPr>
              <w:jc w:val="center"/>
              <w:ind w:right="2"/>
              <w:spacing w:after="0" w:line="129" w:lineRule="exact"/>
              <w:rPr>
                <w:sz w:val="20"/>
                <w:szCs w:val="20"/>
                <w:color w:val="auto"/>
              </w:rPr>
            </w:pPr>
            <w:r>
              <w:rPr>
                <w:rFonts w:ascii="Arial" w:cs="Arial" w:eastAsia="Arial" w:hAnsi="Arial"/>
                <w:sz w:val="12"/>
                <w:szCs w:val="12"/>
                <w:color w:val="auto"/>
                <w:w w:val="88"/>
              </w:rPr>
              <w:t>Electronics</w:t>
            </w:r>
          </w:p>
        </w:tc>
        <w:tc>
          <w:tcPr>
            <w:tcW w:w="660" w:type="dxa"/>
            <w:vAlign w:val="bottom"/>
            <w:shd w:val="clear" w:color="auto" w:fill="CCEEFF"/>
          </w:tcPr>
          <w:p>
            <w:pPr>
              <w:spacing w:after="0"/>
              <w:rPr>
                <w:sz w:val="11"/>
                <w:szCs w:val="11"/>
                <w:color w:val="auto"/>
              </w:rPr>
            </w:pPr>
          </w:p>
        </w:tc>
        <w:tc>
          <w:tcPr>
            <w:tcW w:w="1080" w:type="dxa"/>
            <w:vAlign w:val="bottom"/>
            <w:shd w:val="clear" w:color="auto" w:fill="CCEEFF"/>
          </w:tcPr>
          <w:p>
            <w:pPr>
              <w:ind w:left="20"/>
              <w:spacing w:after="0" w:line="129" w:lineRule="exact"/>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ind w:right="102"/>
              <w:spacing w:after="0" w:line="129" w:lineRule="exact"/>
              <w:rPr>
                <w:sz w:val="20"/>
                <w:szCs w:val="20"/>
                <w:color w:val="auto"/>
              </w:rPr>
            </w:pPr>
            <w:r>
              <w:rPr>
                <w:rFonts w:ascii="Arial" w:cs="Arial" w:eastAsia="Arial" w:hAnsi="Arial"/>
                <w:sz w:val="12"/>
                <w:szCs w:val="12"/>
                <w:color w:val="auto"/>
              </w:rPr>
              <w:t>2,375</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760,634</w:t>
            </w:r>
          </w:p>
        </w:tc>
        <w:tc>
          <w:tcPr>
            <w:tcW w:w="0" w:type="dxa"/>
            <w:vAlign w:val="bottom"/>
          </w:tcPr>
          <w:p>
            <w:pPr>
              <w:spacing w:after="0"/>
              <w:rPr>
                <w:sz w:val="1"/>
                <w:szCs w:val="1"/>
                <w:color w:val="auto"/>
              </w:rPr>
            </w:pPr>
          </w:p>
        </w:tc>
      </w:tr>
      <w:tr>
        <w:trPr>
          <w:trHeight w:val="141"/>
        </w:trPr>
        <w:tc>
          <w:tcPr>
            <w:tcW w:w="31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Technologies LLC)</w:t>
            </w:r>
          </w:p>
        </w:tc>
        <w:tc>
          <w:tcPr>
            <w:tcW w:w="820" w:type="dxa"/>
            <w:vAlign w:val="bottom"/>
            <w:shd w:val="clear" w:color="auto" w:fill="CCEEFF"/>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120" w:type="dxa"/>
            <w:vAlign w:val="bottom"/>
          </w:tcPr>
          <w:p>
            <w:pPr>
              <w:spacing w:after="0" w:line="129" w:lineRule="exact"/>
              <w:rPr>
                <w:sz w:val="20"/>
                <w:szCs w:val="20"/>
                <w:color w:val="auto"/>
              </w:rPr>
            </w:pPr>
            <w:r>
              <w:rPr>
                <w:rFonts w:ascii="Arial" w:cs="Arial" w:eastAsia="Arial" w:hAnsi="Arial"/>
                <w:sz w:val="12"/>
                <w:szCs w:val="12"/>
                <w:color w:val="auto"/>
              </w:rPr>
              <w:t>CT Technologies Holdings, LLC</w:t>
            </w:r>
          </w:p>
        </w:tc>
        <w:tc>
          <w:tcPr>
            <w:tcW w:w="820" w:type="dxa"/>
            <w:vAlign w:val="bottom"/>
          </w:tcPr>
          <w:p>
            <w:pPr>
              <w:jc w:val="center"/>
              <w:spacing w:after="0" w:line="129" w:lineRule="exact"/>
              <w:rPr>
                <w:sz w:val="20"/>
                <w:szCs w:val="20"/>
                <w:color w:val="auto"/>
              </w:rPr>
            </w:pPr>
            <w:r>
              <w:rPr>
                <w:rFonts w:ascii="Arial" w:cs="Arial" w:eastAsia="Arial" w:hAnsi="Arial"/>
                <w:sz w:val="12"/>
                <w:szCs w:val="12"/>
                <w:color w:val="auto"/>
                <w:w w:val="99"/>
              </w:rPr>
              <w:t>—</w:t>
            </w:r>
          </w:p>
        </w:tc>
        <w:tc>
          <w:tcPr>
            <w:tcW w:w="2100" w:type="dxa"/>
            <w:vAlign w:val="bottom"/>
          </w:tcPr>
          <w:p>
            <w:pPr>
              <w:jc w:val="center"/>
              <w:ind w:right="2"/>
              <w:spacing w:after="0" w:line="129" w:lineRule="exact"/>
              <w:rPr>
                <w:sz w:val="20"/>
                <w:szCs w:val="20"/>
                <w:color w:val="auto"/>
              </w:rPr>
            </w:pPr>
            <w:r>
              <w:rPr>
                <w:rFonts w:ascii="Arial" w:cs="Arial" w:eastAsia="Arial" w:hAnsi="Arial"/>
                <w:sz w:val="12"/>
                <w:szCs w:val="12"/>
                <w:color w:val="auto"/>
                <w:w w:val="85"/>
              </w:rPr>
              <w:t>Business Services</w:t>
            </w:r>
          </w:p>
        </w:tc>
        <w:tc>
          <w:tcPr>
            <w:tcW w:w="660" w:type="dxa"/>
            <w:vAlign w:val="bottom"/>
          </w:tcPr>
          <w:p>
            <w:pPr>
              <w:spacing w:after="0"/>
              <w:rPr>
                <w:sz w:val="11"/>
                <w:szCs w:val="11"/>
                <w:color w:val="auto"/>
              </w:rPr>
            </w:pPr>
          </w:p>
        </w:tc>
        <w:tc>
          <w:tcPr>
            <w:tcW w:w="1080" w:type="dxa"/>
            <w:vAlign w:val="bottom"/>
          </w:tcPr>
          <w:p>
            <w:pPr>
              <w:ind w:left="20"/>
              <w:spacing w:after="0" w:line="129" w:lineRule="exact"/>
              <w:rPr>
                <w:sz w:val="20"/>
                <w:szCs w:val="20"/>
                <w:color w:val="auto"/>
              </w:rPr>
            </w:pPr>
            <w:r>
              <w:rPr>
                <w:rFonts w:ascii="Arial" w:cs="Arial" w:eastAsia="Arial" w:hAnsi="Arial"/>
                <w:sz w:val="12"/>
                <w:szCs w:val="12"/>
                <w:color w:val="auto"/>
              </w:rPr>
              <w:t>—</w:t>
            </w:r>
          </w:p>
        </w:tc>
        <w:tc>
          <w:tcPr>
            <w:tcW w:w="320" w:type="dxa"/>
            <w:vAlign w:val="bottom"/>
          </w:tcPr>
          <w:p>
            <w:pPr>
              <w:spacing w:after="0" w:line="129" w:lineRule="exact"/>
              <w:rPr>
                <w:sz w:val="20"/>
                <w:szCs w:val="20"/>
                <w:color w:val="auto"/>
              </w:rPr>
            </w:pPr>
            <w:r>
              <w:rPr>
                <w:rFonts w:ascii="Arial" w:cs="Arial" w:eastAsia="Arial" w:hAnsi="Arial"/>
                <w:sz w:val="12"/>
                <w:szCs w:val="12"/>
                <w:color w:val="auto"/>
              </w:rPr>
              <w:t>—</w:t>
            </w:r>
          </w:p>
        </w:tc>
        <w:tc>
          <w:tcPr>
            <w:tcW w:w="900" w:type="dxa"/>
            <w:vAlign w:val="bottom"/>
          </w:tcPr>
          <w:p>
            <w:pPr>
              <w:jc w:val="right"/>
              <w:ind w:right="102"/>
              <w:spacing w:after="0" w:line="129" w:lineRule="exact"/>
              <w:rPr>
                <w:sz w:val="20"/>
                <w:szCs w:val="20"/>
                <w:color w:val="auto"/>
              </w:rPr>
            </w:pPr>
            <w:r>
              <w:rPr>
                <w:rFonts w:ascii="Arial" w:cs="Arial" w:eastAsia="Arial" w:hAnsi="Arial"/>
                <w:sz w:val="12"/>
                <w:szCs w:val="12"/>
                <w:color w:val="auto"/>
              </w:rPr>
              <w:t>5,556</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120"/>
              <w:spacing w:after="0" w:line="129" w:lineRule="exact"/>
              <w:rPr>
                <w:sz w:val="20"/>
                <w:szCs w:val="20"/>
                <w:color w:val="auto"/>
              </w:rPr>
            </w:pPr>
            <w:r>
              <w:rPr>
                <w:rFonts w:ascii="Arial" w:cs="Arial" w:eastAsia="Arial" w:hAnsi="Arial"/>
                <w:sz w:val="12"/>
                <w:szCs w:val="12"/>
                <w:color w:val="auto"/>
              </w:rPr>
              <w:t>545,887</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3,725,224</w:t>
            </w:r>
          </w:p>
        </w:tc>
        <w:tc>
          <w:tcPr>
            <w:tcW w:w="0" w:type="dxa"/>
            <w:vAlign w:val="bottom"/>
          </w:tcPr>
          <w:p>
            <w:pPr>
              <w:spacing w:after="0"/>
              <w:rPr>
                <w:sz w:val="1"/>
                <w:szCs w:val="1"/>
                <w:color w:val="auto"/>
              </w:rPr>
            </w:pPr>
          </w:p>
        </w:tc>
      </w:tr>
      <w:tr>
        <w:trPr>
          <w:trHeight w:val="141"/>
        </w:trPr>
        <w:tc>
          <w:tcPr>
            <w:tcW w:w="3120" w:type="dxa"/>
            <w:vAlign w:val="bottom"/>
          </w:tcPr>
          <w:p>
            <w:pPr>
              <w:ind w:left="120"/>
              <w:spacing w:after="0"/>
              <w:rPr>
                <w:sz w:val="20"/>
                <w:szCs w:val="20"/>
                <w:color w:val="auto"/>
              </w:rPr>
            </w:pPr>
            <w:r>
              <w:rPr>
                <w:rFonts w:ascii="Arial" w:cs="Arial" w:eastAsia="Arial" w:hAnsi="Arial"/>
                <w:sz w:val="12"/>
                <w:szCs w:val="12"/>
                <w:color w:val="auto"/>
              </w:rPr>
              <w:t>(CT Technologies Intermediate Holdings, Inc.)</w:t>
            </w:r>
          </w:p>
        </w:tc>
        <w:tc>
          <w:tcPr>
            <w:tcW w:w="8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12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J.A. Cosmetics US, Inc.</w:t>
            </w:r>
          </w:p>
        </w:tc>
        <w:tc>
          <w:tcPr>
            <w:tcW w:w="82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99"/>
              </w:rPr>
              <w:t>—</w:t>
            </w:r>
          </w:p>
        </w:tc>
        <w:tc>
          <w:tcPr>
            <w:tcW w:w="2100" w:type="dxa"/>
            <w:vAlign w:val="bottom"/>
            <w:shd w:val="clear" w:color="auto" w:fill="CCEEFF"/>
          </w:tcPr>
          <w:p>
            <w:pPr>
              <w:jc w:val="center"/>
              <w:ind w:right="2"/>
              <w:spacing w:after="0" w:line="129" w:lineRule="exact"/>
              <w:rPr>
                <w:sz w:val="20"/>
                <w:szCs w:val="20"/>
                <w:color w:val="auto"/>
              </w:rPr>
            </w:pPr>
            <w:r>
              <w:rPr>
                <w:rFonts w:ascii="Arial" w:cs="Arial" w:eastAsia="Arial" w:hAnsi="Arial"/>
                <w:sz w:val="12"/>
                <w:szCs w:val="12"/>
                <w:color w:val="auto"/>
                <w:w w:val="86"/>
              </w:rPr>
              <w:t>Consumer Products</w:t>
            </w:r>
          </w:p>
        </w:tc>
        <w:tc>
          <w:tcPr>
            <w:tcW w:w="660" w:type="dxa"/>
            <w:vAlign w:val="bottom"/>
            <w:shd w:val="clear" w:color="auto" w:fill="CCEEFF"/>
          </w:tcPr>
          <w:p>
            <w:pPr>
              <w:spacing w:after="0"/>
              <w:rPr>
                <w:sz w:val="11"/>
                <w:szCs w:val="11"/>
                <w:color w:val="auto"/>
              </w:rPr>
            </w:pPr>
          </w:p>
        </w:tc>
        <w:tc>
          <w:tcPr>
            <w:tcW w:w="1080" w:type="dxa"/>
            <w:vAlign w:val="bottom"/>
            <w:shd w:val="clear" w:color="auto" w:fill="CCEEFF"/>
          </w:tcPr>
          <w:p>
            <w:pPr>
              <w:ind w:left="20"/>
              <w:spacing w:after="0" w:line="129" w:lineRule="exact"/>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ind w:right="102"/>
              <w:spacing w:after="0" w:line="129" w:lineRule="exact"/>
              <w:rPr>
                <w:sz w:val="20"/>
                <w:szCs w:val="20"/>
                <w:color w:val="auto"/>
              </w:rPr>
            </w:pPr>
            <w:r>
              <w:rPr>
                <w:rFonts w:ascii="Arial" w:cs="Arial" w:eastAsia="Arial" w:hAnsi="Arial"/>
                <w:sz w:val="12"/>
                <w:szCs w:val="12"/>
                <w:color w:val="auto"/>
              </w:rPr>
              <w:t>252</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2"/>
                <w:szCs w:val="12"/>
                <w:color w:val="auto"/>
              </w:rPr>
              <w:t>2,516</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493,464</w:t>
            </w:r>
          </w:p>
        </w:tc>
        <w:tc>
          <w:tcPr>
            <w:tcW w:w="0" w:type="dxa"/>
            <w:vAlign w:val="bottom"/>
          </w:tcPr>
          <w:p>
            <w:pPr>
              <w:spacing w:after="0"/>
              <w:rPr>
                <w:sz w:val="1"/>
                <w:szCs w:val="1"/>
                <w:color w:val="auto"/>
              </w:rPr>
            </w:pPr>
          </w:p>
        </w:tc>
      </w:tr>
      <w:tr>
        <w:trPr>
          <w:trHeight w:val="141"/>
        </w:trPr>
        <w:tc>
          <w:tcPr>
            <w:tcW w:w="31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(J.A. Cosmetics Holdings, Inc.)</w:t>
            </w:r>
          </w:p>
        </w:tc>
        <w:tc>
          <w:tcPr>
            <w:tcW w:w="820" w:type="dxa"/>
            <w:vAlign w:val="bottom"/>
            <w:shd w:val="clear" w:color="auto" w:fill="CCEEFF"/>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120" w:type="dxa"/>
            <w:vAlign w:val="bottom"/>
          </w:tcPr>
          <w:p>
            <w:pPr>
              <w:spacing w:after="0" w:line="135" w:lineRule="exact"/>
              <w:rPr>
                <w:sz w:val="20"/>
                <w:szCs w:val="20"/>
                <w:color w:val="auto"/>
              </w:rPr>
            </w:pPr>
            <w:r>
              <w:rPr>
                <w:rFonts w:ascii="Arial" w:cs="Arial" w:eastAsia="Arial" w:hAnsi="Arial"/>
                <w:sz w:val="12"/>
                <w:szCs w:val="12"/>
                <w:color w:val="auto"/>
              </w:rPr>
              <w:t>Kadmon Holdings, LLC, Class A</w:t>
            </w:r>
          </w:p>
        </w:tc>
        <w:tc>
          <w:tcPr>
            <w:tcW w:w="820" w:type="dxa"/>
            <w:vAlign w:val="bottom"/>
          </w:tcPr>
          <w:p>
            <w:pPr>
              <w:jc w:val="center"/>
              <w:spacing w:after="0" w:line="135" w:lineRule="exact"/>
              <w:rPr>
                <w:sz w:val="20"/>
                <w:szCs w:val="20"/>
                <w:color w:val="auto"/>
              </w:rPr>
            </w:pPr>
            <w:r>
              <w:rPr>
                <w:rFonts w:ascii="Arial" w:cs="Arial" w:eastAsia="Arial" w:hAnsi="Arial"/>
                <w:sz w:val="12"/>
                <w:szCs w:val="12"/>
                <w:color w:val="auto"/>
                <w:w w:val="99"/>
              </w:rPr>
              <w:t>—</w:t>
            </w:r>
          </w:p>
        </w:tc>
        <w:tc>
          <w:tcPr>
            <w:tcW w:w="2100" w:type="dxa"/>
            <w:vAlign w:val="bottom"/>
          </w:tcPr>
          <w:p>
            <w:pPr>
              <w:jc w:val="center"/>
              <w:ind w:right="2"/>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660" w:type="dxa"/>
            <w:vAlign w:val="bottom"/>
          </w:tcPr>
          <w:p>
            <w:pPr>
              <w:spacing w:after="0"/>
              <w:rPr>
                <w:sz w:val="11"/>
                <w:szCs w:val="11"/>
                <w:color w:val="auto"/>
              </w:rPr>
            </w:pPr>
          </w:p>
        </w:tc>
        <w:tc>
          <w:tcPr>
            <w:tcW w:w="1080" w:type="dxa"/>
            <w:vAlign w:val="bottom"/>
          </w:tcPr>
          <w:p>
            <w:pPr>
              <w:ind w:left="20"/>
              <w:spacing w:after="0" w:line="135" w:lineRule="exact"/>
              <w:rPr>
                <w:sz w:val="20"/>
                <w:szCs w:val="20"/>
                <w:color w:val="auto"/>
              </w:rPr>
            </w:pPr>
            <w:r>
              <w:rPr>
                <w:rFonts w:ascii="Arial" w:cs="Arial" w:eastAsia="Arial" w:hAnsi="Arial"/>
                <w:sz w:val="12"/>
                <w:szCs w:val="12"/>
                <w:color w:val="auto"/>
              </w:rPr>
              <w:t>—</w:t>
            </w:r>
          </w:p>
        </w:tc>
        <w:tc>
          <w:tcPr>
            <w:tcW w:w="320" w:type="dxa"/>
            <w:vAlign w:val="bottom"/>
          </w:tcPr>
          <w:p>
            <w:pPr>
              <w:spacing w:after="0" w:line="135" w:lineRule="exact"/>
              <w:rPr>
                <w:sz w:val="20"/>
                <w:szCs w:val="20"/>
                <w:color w:val="auto"/>
              </w:rPr>
            </w:pPr>
            <w:r>
              <w:rPr>
                <w:rFonts w:ascii="Arial" w:cs="Arial" w:eastAsia="Arial" w:hAnsi="Arial"/>
                <w:sz w:val="12"/>
                <w:szCs w:val="12"/>
                <w:color w:val="auto"/>
              </w:rPr>
              <w:t>—</w:t>
            </w:r>
          </w:p>
        </w:tc>
        <w:tc>
          <w:tcPr>
            <w:tcW w:w="900" w:type="dxa"/>
            <w:vAlign w:val="bottom"/>
          </w:tcPr>
          <w:p>
            <w:pPr>
              <w:jc w:val="right"/>
              <w:ind w:right="102"/>
              <w:spacing w:after="0" w:line="135" w:lineRule="exact"/>
              <w:rPr>
                <w:sz w:val="20"/>
                <w:szCs w:val="20"/>
                <w:color w:val="auto"/>
              </w:rPr>
            </w:pPr>
            <w:r>
              <w:rPr>
                <w:rFonts w:ascii="Arial" w:cs="Arial" w:eastAsia="Arial" w:hAnsi="Arial"/>
                <w:sz w:val="12"/>
                <w:szCs w:val="12"/>
                <w:color w:val="auto"/>
              </w:rPr>
              <w:t>1,079,920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1,236,832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9,906,155</w:t>
            </w:r>
          </w:p>
        </w:tc>
        <w:tc>
          <w:tcPr>
            <w:tcW w:w="0" w:type="dxa"/>
            <w:vAlign w:val="bottom"/>
          </w:tcPr>
          <w:p>
            <w:pPr>
              <w:spacing w:after="0"/>
              <w:rPr>
                <w:sz w:val="1"/>
                <w:szCs w:val="1"/>
                <w:color w:val="auto"/>
              </w:rPr>
            </w:pPr>
          </w:p>
        </w:tc>
      </w:tr>
      <w:tr>
        <w:trPr>
          <w:trHeight w:val="135"/>
        </w:trPr>
        <w:tc>
          <w:tcPr>
            <w:tcW w:w="31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Kadmon Holdings, LLC, Class D</w:t>
            </w:r>
          </w:p>
        </w:tc>
        <w:tc>
          <w:tcPr>
            <w:tcW w:w="82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9"/>
              </w:rPr>
              <w:t>—</w:t>
            </w:r>
          </w:p>
        </w:tc>
        <w:tc>
          <w:tcPr>
            <w:tcW w:w="2100" w:type="dxa"/>
            <w:vAlign w:val="bottom"/>
            <w:shd w:val="clear" w:color="auto" w:fill="CCEEFF"/>
          </w:tcPr>
          <w:p>
            <w:pPr>
              <w:jc w:val="center"/>
              <w:ind w:right="2"/>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660" w:type="dxa"/>
            <w:vAlign w:val="bottom"/>
            <w:shd w:val="clear" w:color="auto" w:fill="CCEEFF"/>
          </w:tcPr>
          <w:p>
            <w:pPr>
              <w:spacing w:after="0"/>
              <w:rPr>
                <w:sz w:val="11"/>
                <w:szCs w:val="11"/>
                <w:color w:val="auto"/>
              </w:rPr>
            </w:pPr>
          </w:p>
        </w:tc>
        <w:tc>
          <w:tcPr>
            <w:tcW w:w="1080" w:type="dxa"/>
            <w:vAlign w:val="bottom"/>
            <w:shd w:val="clear" w:color="auto" w:fill="CCEEFF"/>
          </w:tcPr>
          <w:p>
            <w:pPr>
              <w:ind w:left="20"/>
              <w:spacing w:after="0" w:line="135" w:lineRule="exact"/>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ind w:right="102"/>
              <w:spacing w:after="0" w:line="135" w:lineRule="exact"/>
              <w:rPr>
                <w:sz w:val="20"/>
                <w:szCs w:val="20"/>
                <w:color w:val="auto"/>
              </w:rPr>
            </w:pPr>
            <w:r>
              <w:rPr>
                <w:rFonts w:ascii="Arial" w:cs="Arial" w:eastAsia="Arial" w:hAnsi="Arial"/>
                <w:sz w:val="12"/>
                <w:szCs w:val="12"/>
                <w:color w:val="auto"/>
              </w:rPr>
              <w:t>1,079,920</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1,028,807</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1,028,807</w:t>
            </w:r>
          </w:p>
        </w:tc>
        <w:tc>
          <w:tcPr>
            <w:tcW w:w="0" w:type="dxa"/>
            <w:vAlign w:val="bottom"/>
          </w:tcPr>
          <w:p>
            <w:pPr>
              <w:spacing w:after="0"/>
              <w:rPr>
                <w:sz w:val="1"/>
                <w:szCs w:val="1"/>
                <w:color w:val="auto"/>
              </w:rPr>
            </w:pPr>
          </w:p>
        </w:tc>
      </w:tr>
      <w:tr>
        <w:trPr>
          <w:trHeight w:val="135"/>
        </w:trPr>
        <w:tc>
          <w:tcPr>
            <w:tcW w:w="3120" w:type="dxa"/>
            <w:vAlign w:val="bottom"/>
          </w:tcPr>
          <w:p>
            <w:pPr>
              <w:spacing w:after="0" w:line="135" w:lineRule="exact"/>
              <w:rPr>
                <w:sz w:val="20"/>
                <w:szCs w:val="20"/>
                <w:color w:val="auto"/>
              </w:rPr>
            </w:pPr>
            <w:r>
              <w:rPr>
                <w:rFonts w:ascii="Arial" w:cs="Arial" w:eastAsia="Arial" w:hAnsi="Arial"/>
                <w:sz w:val="12"/>
                <w:szCs w:val="12"/>
                <w:color w:val="auto"/>
              </w:rPr>
              <w:t xml:space="preserve">Lariat ecoserv Co-Invest Holdings, LLC </w:t>
            </w:r>
            <w:r>
              <w:rPr>
                <w:rFonts w:ascii="Arial" w:cs="Arial" w:eastAsia="Arial" w:hAnsi="Arial"/>
                <w:sz w:val="9"/>
                <w:szCs w:val="9"/>
                <w:color w:val="auto"/>
              </w:rPr>
              <w:t>(11)</w:t>
            </w:r>
          </w:p>
        </w:tc>
        <w:tc>
          <w:tcPr>
            <w:tcW w:w="820" w:type="dxa"/>
            <w:vAlign w:val="bottom"/>
          </w:tcPr>
          <w:p>
            <w:pPr>
              <w:jc w:val="center"/>
              <w:spacing w:after="0" w:line="135" w:lineRule="exact"/>
              <w:rPr>
                <w:sz w:val="20"/>
                <w:szCs w:val="20"/>
                <w:color w:val="auto"/>
              </w:rPr>
            </w:pPr>
            <w:r>
              <w:rPr>
                <w:rFonts w:ascii="Arial" w:cs="Arial" w:eastAsia="Arial" w:hAnsi="Arial"/>
                <w:sz w:val="12"/>
                <w:szCs w:val="12"/>
                <w:color w:val="auto"/>
                <w:w w:val="99"/>
              </w:rPr>
              <w:t>—</w:t>
            </w:r>
          </w:p>
        </w:tc>
        <w:tc>
          <w:tcPr>
            <w:tcW w:w="2100" w:type="dxa"/>
            <w:vAlign w:val="bottom"/>
          </w:tcPr>
          <w:p>
            <w:pPr>
              <w:jc w:val="center"/>
              <w:ind w:right="2"/>
              <w:spacing w:after="0" w:line="135" w:lineRule="exact"/>
              <w:rPr>
                <w:sz w:val="20"/>
                <w:szCs w:val="20"/>
                <w:color w:val="auto"/>
              </w:rPr>
            </w:pPr>
            <w:r>
              <w:rPr>
                <w:rFonts w:ascii="Arial" w:cs="Arial" w:eastAsia="Arial" w:hAnsi="Arial"/>
                <w:sz w:val="12"/>
                <w:szCs w:val="12"/>
                <w:color w:val="auto"/>
                <w:w w:val="88"/>
              </w:rPr>
              <w:t>Environmental Services</w:t>
            </w:r>
          </w:p>
        </w:tc>
        <w:tc>
          <w:tcPr>
            <w:tcW w:w="660" w:type="dxa"/>
            <w:vAlign w:val="bottom"/>
          </w:tcPr>
          <w:p>
            <w:pPr>
              <w:spacing w:after="0"/>
              <w:rPr>
                <w:sz w:val="11"/>
                <w:szCs w:val="11"/>
                <w:color w:val="auto"/>
              </w:rPr>
            </w:pPr>
          </w:p>
        </w:tc>
        <w:tc>
          <w:tcPr>
            <w:tcW w:w="1080" w:type="dxa"/>
            <w:vAlign w:val="bottom"/>
          </w:tcPr>
          <w:p>
            <w:pPr>
              <w:ind w:left="20"/>
              <w:spacing w:after="0" w:line="135" w:lineRule="exact"/>
              <w:rPr>
                <w:sz w:val="20"/>
                <w:szCs w:val="20"/>
                <w:color w:val="auto"/>
              </w:rPr>
            </w:pPr>
            <w:r>
              <w:rPr>
                <w:rFonts w:ascii="Arial" w:cs="Arial" w:eastAsia="Arial" w:hAnsi="Arial"/>
                <w:sz w:val="12"/>
                <w:szCs w:val="12"/>
                <w:color w:val="auto"/>
              </w:rPr>
              <w:t>—</w:t>
            </w:r>
          </w:p>
        </w:tc>
        <w:tc>
          <w:tcPr>
            <w:tcW w:w="320" w:type="dxa"/>
            <w:vAlign w:val="bottom"/>
          </w:tcPr>
          <w:p>
            <w:pPr>
              <w:spacing w:after="0" w:line="135" w:lineRule="exact"/>
              <w:rPr>
                <w:sz w:val="20"/>
                <w:szCs w:val="20"/>
                <w:color w:val="auto"/>
              </w:rPr>
            </w:pPr>
            <w:r>
              <w:rPr>
                <w:rFonts w:ascii="Arial" w:cs="Arial" w:eastAsia="Arial" w:hAnsi="Arial"/>
                <w:sz w:val="12"/>
                <w:szCs w:val="12"/>
                <w:color w:val="auto"/>
              </w:rPr>
              <w:t>—</w:t>
            </w:r>
          </w:p>
        </w:tc>
        <w:tc>
          <w:tcPr>
            <w:tcW w:w="900" w:type="dxa"/>
            <w:vAlign w:val="bottom"/>
          </w:tcPr>
          <w:p>
            <w:pPr>
              <w:jc w:val="right"/>
              <w:ind w:right="102"/>
              <w:spacing w:after="0" w:line="135" w:lineRule="exact"/>
              <w:rPr>
                <w:sz w:val="20"/>
                <w:szCs w:val="20"/>
                <w:color w:val="auto"/>
              </w:rPr>
            </w:pPr>
            <w:r>
              <w:rPr>
                <w:rFonts w:ascii="Arial" w:cs="Arial" w:eastAsia="Arial" w:hAnsi="Arial"/>
                <w:sz w:val="12"/>
                <w:szCs w:val="12"/>
                <w:color w:val="auto"/>
              </w:rPr>
              <w:t>1,000,000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1,000,000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856,105</w:t>
            </w:r>
          </w:p>
        </w:tc>
        <w:tc>
          <w:tcPr>
            <w:tcW w:w="0" w:type="dxa"/>
            <w:vAlign w:val="bottom"/>
          </w:tcPr>
          <w:p>
            <w:pPr>
              <w:spacing w:after="0"/>
              <w:rPr>
                <w:sz w:val="1"/>
                <w:szCs w:val="1"/>
                <w:color w:val="auto"/>
              </w:rPr>
            </w:pPr>
          </w:p>
        </w:tc>
      </w:tr>
      <w:tr>
        <w:trPr>
          <w:trHeight w:val="129"/>
        </w:trPr>
        <w:tc>
          <w:tcPr>
            <w:tcW w:w="312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Magnum Hunter Resources Corporation</w:t>
            </w:r>
          </w:p>
        </w:tc>
        <w:tc>
          <w:tcPr>
            <w:tcW w:w="82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89"/>
              </w:rPr>
              <w:t>04/16/2016</w:t>
            </w:r>
          </w:p>
        </w:tc>
        <w:tc>
          <w:tcPr>
            <w:tcW w:w="2100" w:type="dxa"/>
            <w:vAlign w:val="bottom"/>
            <w:shd w:val="clear" w:color="auto" w:fill="CCEEFF"/>
          </w:tcPr>
          <w:p>
            <w:pPr>
              <w:jc w:val="center"/>
              <w:ind w:right="2"/>
              <w:spacing w:after="0" w:line="129" w:lineRule="exact"/>
              <w:rPr>
                <w:sz w:val="20"/>
                <w:szCs w:val="20"/>
                <w:color w:val="auto"/>
              </w:rPr>
            </w:pPr>
            <w:r>
              <w:rPr>
                <w:rFonts w:ascii="Arial" w:cs="Arial" w:eastAsia="Arial" w:hAnsi="Arial"/>
                <w:sz w:val="12"/>
                <w:szCs w:val="12"/>
                <w:color w:val="auto"/>
                <w:w w:val="88"/>
              </w:rPr>
              <w:t>Oil and Gas</w:t>
            </w:r>
          </w:p>
        </w:tc>
        <w:tc>
          <w:tcPr>
            <w:tcW w:w="660" w:type="dxa"/>
            <w:vAlign w:val="bottom"/>
            <w:shd w:val="clear" w:color="auto" w:fill="CCEEFF"/>
          </w:tcPr>
          <w:p>
            <w:pPr>
              <w:spacing w:after="0"/>
              <w:rPr>
                <w:sz w:val="11"/>
                <w:szCs w:val="11"/>
                <w:color w:val="auto"/>
              </w:rPr>
            </w:pPr>
          </w:p>
        </w:tc>
        <w:tc>
          <w:tcPr>
            <w:tcW w:w="1080" w:type="dxa"/>
            <w:vAlign w:val="bottom"/>
            <w:shd w:val="clear" w:color="auto" w:fill="CCEEFF"/>
          </w:tcPr>
          <w:p>
            <w:pPr>
              <w:ind w:left="20"/>
              <w:spacing w:after="0" w:line="129" w:lineRule="exact"/>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ind w:right="102"/>
              <w:spacing w:after="0" w:line="129" w:lineRule="exact"/>
              <w:rPr>
                <w:sz w:val="20"/>
                <w:szCs w:val="20"/>
                <w:color w:val="auto"/>
              </w:rPr>
            </w:pPr>
            <w:r>
              <w:rPr>
                <w:rFonts w:ascii="Arial" w:cs="Arial" w:eastAsia="Arial" w:hAnsi="Arial"/>
                <w:sz w:val="12"/>
                <w:szCs w:val="12"/>
                <w:color w:val="auto"/>
              </w:rPr>
              <w:t>122,192</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2"/>
                <w:szCs w:val="12"/>
                <w:color w:val="auto"/>
              </w:rPr>
              <w:t>182,498</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91,644</w:t>
            </w:r>
          </w:p>
        </w:tc>
        <w:tc>
          <w:tcPr>
            <w:tcW w:w="0" w:type="dxa"/>
            <w:vAlign w:val="bottom"/>
          </w:tcPr>
          <w:p>
            <w:pPr>
              <w:spacing w:after="0"/>
              <w:rPr>
                <w:sz w:val="1"/>
                <w:szCs w:val="1"/>
                <w:color w:val="auto"/>
              </w:rPr>
            </w:pPr>
          </w:p>
        </w:tc>
      </w:tr>
      <w:tr>
        <w:trPr>
          <w:trHeight w:val="141"/>
        </w:trPr>
        <w:tc>
          <w:tcPr>
            <w:tcW w:w="31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(Warrants)</w:t>
            </w:r>
          </w:p>
        </w:tc>
        <w:tc>
          <w:tcPr>
            <w:tcW w:w="820" w:type="dxa"/>
            <w:vAlign w:val="bottom"/>
            <w:shd w:val="clear" w:color="auto" w:fill="CCEEFF"/>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120" w:type="dxa"/>
            <w:vAlign w:val="bottom"/>
          </w:tcPr>
          <w:p>
            <w:pPr>
              <w:spacing w:after="0" w:line="129" w:lineRule="exact"/>
              <w:rPr>
                <w:sz w:val="20"/>
                <w:szCs w:val="20"/>
                <w:color w:val="auto"/>
              </w:rPr>
            </w:pPr>
            <w:r>
              <w:rPr>
                <w:rFonts w:ascii="Arial" w:cs="Arial" w:eastAsia="Arial" w:hAnsi="Arial"/>
                <w:sz w:val="12"/>
                <w:szCs w:val="12"/>
                <w:color w:val="auto"/>
              </w:rPr>
              <w:t>MidOcean JF Holdings Corp.</w:t>
            </w:r>
          </w:p>
        </w:tc>
        <w:tc>
          <w:tcPr>
            <w:tcW w:w="820" w:type="dxa"/>
            <w:vAlign w:val="bottom"/>
          </w:tcPr>
          <w:p>
            <w:pPr>
              <w:jc w:val="center"/>
              <w:spacing w:after="0" w:line="129" w:lineRule="exact"/>
              <w:rPr>
                <w:sz w:val="20"/>
                <w:szCs w:val="20"/>
                <w:color w:val="auto"/>
              </w:rPr>
            </w:pPr>
            <w:r>
              <w:rPr>
                <w:rFonts w:ascii="Arial" w:cs="Arial" w:eastAsia="Arial" w:hAnsi="Arial"/>
                <w:sz w:val="12"/>
                <w:szCs w:val="12"/>
                <w:color w:val="auto"/>
                <w:w w:val="99"/>
              </w:rPr>
              <w:t>—</w:t>
            </w:r>
          </w:p>
        </w:tc>
        <w:tc>
          <w:tcPr>
            <w:tcW w:w="2100" w:type="dxa"/>
            <w:vAlign w:val="bottom"/>
          </w:tcPr>
          <w:p>
            <w:pPr>
              <w:jc w:val="center"/>
              <w:ind w:right="2"/>
              <w:spacing w:after="0" w:line="129" w:lineRule="exact"/>
              <w:rPr>
                <w:sz w:val="20"/>
                <w:szCs w:val="20"/>
                <w:color w:val="auto"/>
              </w:rPr>
            </w:pPr>
            <w:r>
              <w:rPr>
                <w:rFonts w:ascii="Arial" w:cs="Arial" w:eastAsia="Arial" w:hAnsi="Arial"/>
                <w:sz w:val="12"/>
                <w:szCs w:val="12"/>
                <w:color w:val="auto"/>
                <w:w w:val="93"/>
              </w:rPr>
              <w:t>Distribution</w:t>
            </w:r>
          </w:p>
        </w:tc>
        <w:tc>
          <w:tcPr>
            <w:tcW w:w="660" w:type="dxa"/>
            <w:vAlign w:val="bottom"/>
          </w:tcPr>
          <w:p>
            <w:pPr>
              <w:spacing w:after="0"/>
              <w:rPr>
                <w:sz w:val="11"/>
                <w:szCs w:val="11"/>
                <w:color w:val="auto"/>
              </w:rPr>
            </w:pPr>
          </w:p>
        </w:tc>
        <w:tc>
          <w:tcPr>
            <w:tcW w:w="1080" w:type="dxa"/>
            <w:vAlign w:val="bottom"/>
          </w:tcPr>
          <w:p>
            <w:pPr>
              <w:ind w:left="20"/>
              <w:spacing w:after="0" w:line="129" w:lineRule="exact"/>
              <w:rPr>
                <w:sz w:val="20"/>
                <w:szCs w:val="20"/>
                <w:color w:val="auto"/>
              </w:rPr>
            </w:pPr>
            <w:r>
              <w:rPr>
                <w:rFonts w:ascii="Arial" w:cs="Arial" w:eastAsia="Arial" w:hAnsi="Arial"/>
                <w:sz w:val="12"/>
                <w:szCs w:val="12"/>
                <w:color w:val="auto"/>
              </w:rPr>
              <w:t>—</w:t>
            </w:r>
          </w:p>
        </w:tc>
        <w:tc>
          <w:tcPr>
            <w:tcW w:w="320" w:type="dxa"/>
            <w:vAlign w:val="bottom"/>
          </w:tcPr>
          <w:p>
            <w:pPr>
              <w:spacing w:after="0" w:line="129" w:lineRule="exact"/>
              <w:rPr>
                <w:sz w:val="20"/>
                <w:szCs w:val="20"/>
                <w:color w:val="auto"/>
              </w:rPr>
            </w:pPr>
            <w:r>
              <w:rPr>
                <w:rFonts w:ascii="Arial" w:cs="Arial" w:eastAsia="Arial" w:hAnsi="Arial"/>
                <w:sz w:val="12"/>
                <w:szCs w:val="12"/>
                <w:color w:val="auto"/>
              </w:rPr>
              <w:t>—</w:t>
            </w:r>
          </w:p>
        </w:tc>
        <w:tc>
          <w:tcPr>
            <w:tcW w:w="900" w:type="dxa"/>
            <w:vAlign w:val="bottom"/>
          </w:tcPr>
          <w:p>
            <w:pPr>
              <w:jc w:val="right"/>
              <w:ind w:right="102"/>
              <w:spacing w:after="0" w:line="129" w:lineRule="exact"/>
              <w:rPr>
                <w:sz w:val="20"/>
                <w:szCs w:val="20"/>
                <w:color w:val="auto"/>
              </w:rPr>
            </w:pPr>
            <w:r>
              <w:rPr>
                <w:rFonts w:ascii="Arial" w:cs="Arial" w:eastAsia="Arial" w:hAnsi="Arial"/>
                <w:sz w:val="12"/>
                <w:szCs w:val="12"/>
                <w:color w:val="auto"/>
              </w:rPr>
              <w:t>1,850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120"/>
              <w:spacing w:after="0" w:line="129" w:lineRule="exact"/>
              <w:rPr>
                <w:sz w:val="20"/>
                <w:szCs w:val="20"/>
                <w:color w:val="auto"/>
              </w:rPr>
            </w:pPr>
            <w:r>
              <w:rPr>
                <w:rFonts w:ascii="Arial" w:cs="Arial" w:eastAsia="Arial" w:hAnsi="Arial"/>
                <w:sz w:val="12"/>
                <w:szCs w:val="12"/>
                <w:color w:val="auto"/>
              </w:rPr>
              <w:t>1,850,294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49,057</w:t>
            </w:r>
          </w:p>
        </w:tc>
        <w:tc>
          <w:tcPr>
            <w:tcW w:w="0" w:type="dxa"/>
            <w:vAlign w:val="bottom"/>
          </w:tcPr>
          <w:p>
            <w:pPr>
              <w:spacing w:after="0"/>
              <w:rPr>
                <w:sz w:val="1"/>
                <w:szCs w:val="1"/>
                <w:color w:val="auto"/>
              </w:rPr>
            </w:pPr>
          </w:p>
        </w:tc>
      </w:tr>
      <w:tr>
        <w:trPr>
          <w:trHeight w:val="141"/>
        </w:trPr>
        <w:tc>
          <w:tcPr>
            <w:tcW w:w="3120" w:type="dxa"/>
            <w:vAlign w:val="bottom"/>
          </w:tcPr>
          <w:p>
            <w:pPr>
              <w:ind w:left="120"/>
              <w:spacing w:after="0"/>
              <w:rPr>
                <w:sz w:val="20"/>
                <w:szCs w:val="20"/>
                <w:color w:val="auto"/>
              </w:rPr>
            </w:pPr>
            <w:r>
              <w:rPr>
                <w:rFonts w:ascii="Arial" w:cs="Arial" w:eastAsia="Arial" w:hAnsi="Arial"/>
                <w:sz w:val="12"/>
                <w:szCs w:val="12"/>
                <w:color w:val="auto"/>
              </w:rPr>
              <w:t>(JF Acquisitions, LLC)</w:t>
            </w:r>
          </w:p>
        </w:tc>
        <w:tc>
          <w:tcPr>
            <w:tcW w:w="8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12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MidOcean PPL Holdings, Corp.</w:t>
            </w:r>
          </w:p>
        </w:tc>
        <w:tc>
          <w:tcPr>
            <w:tcW w:w="82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99"/>
              </w:rPr>
              <w:t>—</w:t>
            </w:r>
          </w:p>
        </w:tc>
        <w:tc>
          <w:tcPr>
            <w:tcW w:w="2100" w:type="dxa"/>
            <w:vAlign w:val="bottom"/>
            <w:shd w:val="clear" w:color="auto" w:fill="CCEEFF"/>
          </w:tcPr>
          <w:p>
            <w:pPr>
              <w:jc w:val="center"/>
              <w:ind w:right="2"/>
              <w:spacing w:after="0" w:line="129" w:lineRule="exact"/>
              <w:rPr>
                <w:sz w:val="20"/>
                <w:szCs w:val="20"/>
                <w:color w:val="auto"/>
              </w:rPr>
            </w:pPr>
            <w:r>
              <w:rPr>
                <w:rFonts w:ascii="Arial" w:cs="Arial" w:eastAsia="Arial" w:hAnsi="Arial"/>
                <w:sz w:val="12"/>
                <w:szCs w:val="12"/>
                <w:color w:val="auto"/>
                <w:w w:val="86"/>
              </w:rPr>
              <w:t>Personal, Food and Miscellaneous</w:t>
            </w:r>
          </w:p>
        </w:tc>
        <w:tc>
          <w:tcPr>
            <w:tcW w:w="660" w:type="dxa"/>
            <w:vAlign w:val="bottom"/>
            <w:shd w:val="clear" w:color="auto" w:fill="CCEEFF"/>
          </w:tcPr>
          <w:p>
            <w:pPr>
              <w:spacing w:after="0"/>
              <w:rPr>
                <w:sz w:val="11"/>
                <w:szCs w:val="11"/>
                <w:color w:val="auto"/>
              </w:rPr>
            </w:pPr>
          </w:p>
        </w:tc>
        <w:tc>
          <w:tcPr>
            <w:tcW w:w="1080" w:type="dxa"/>
            <w:vAlign w:val="bottom"/>
            <w:shd w:val="clear" w:color="auto" w:fill="CCEEFF"/>
          </w:tcPr>
          <w:p>
            <w:pPr>
              <w:ind w:left="20"/>
              <w:spacing w:after="0" w:line="129" w:lineRule="exact"/>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ind w:right="102"/>
              <w:spacing w:after="0" w:line="129" w:lineRule="exact"/>
              <w:rPr>
                <w:sz w:val="20"/>
                <w:szCs w:val="20"/>
                <w:color w:val="auto"/>
              </w:rPr>
            </w:pPr>
            <w:r>
              <w:rPr>
                <w:rFonts w:ascii="Arial" w:cs="Arial" w:eastAsia="Arial" w:hAnsi="Arial"/>
                <w:sz w:val="12"/>
                <w:szCs w:val="12"/>
                <w:color w:val="auto"/>
              </w:rPr>
              <w:t>3,000</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2"/>
                <w:szCs w:val="12"/>
                <w:color w:val="auto"/>
              </w:rPr>
              <w:t>3,000,000</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5,993,832</w:t>
            </w:r>
          </w:p>
        </w:tc>
        <w:tc>
          <w:tcPr>
            <w:tcW w:w="0" w:type="dxa"/>
            <w:vAlign w:val="bottom"/>
          </w:tcPr>
          <w:p>
            <w:pPr>
              <w:spacing w:after="0"/>
              <w:rPr>
                <w:sz w:val="1"/>
                <w:szCs w:val="1"/>
                <w:color w:val="auto"/>
              </w:rPr>
            </w:pPr>
          </w:p>
        </w:tc>
      </w:tr>
      <w:tr>
        <w:trPr>
          <w:trHeight w:val="141"/>
        </w:trPr>
        <w:tc>
          <w:tcPr>
            <w:tcW w:w="31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(Pre-Paid Legal Services, Inc.)</w:t>
            </w:r>
          </w:p>
        </w:tc>
        <w:tc>
          <w:tcPr>
            <w:tcW w:w="820" w:type="dxa"/>
            <w:vAlign w:val="bottom"/>
            <w:shd w:val="clear" w:color="auto" w:fill="CCEEFF"/>
          </w:tcPr>
          <w:p>
            <w:pPr>
              <w:spacing w:after="0"/>
              <w:rPr>
                <w:sz w:val="12"/>
                <w:szCs w:val="12"/>
                <w:color w:val="auto"/>
              </w:rPr>
            </w:pPr>
          </w:p>
        </w:tc>
        <w:tc>
          <w:tcPr>
            <w:tcW w:w="2100" w:type="dxa"/>
            <w:vAlign w:val="bottom"/>
            <w:shd w:val="clear" w:color="auto" w:fill="CCEEFF"/>
          </w:tcPr>
          <w:p>
            <w:pPr>
              <w:jc w:val="center"/>
              <w:ind w:right="2"/>
              <w:spacing w:after="0"/>
              <w:rPr>
                <w:sz w:val="20"/>
                <w:szCs w:val="20"/>
                <w:color w:val="auto"/>
              </w:rPr>
            </w:pPr>
            <w:r>
              <w:rPr>
                <w:rFonts w:ascii="Arial" w:cs="Arial" w:eastAsia="Arial" w:hAnsi="Arial"/>
                <w:sz w:val="12"/>
                <w:szCs w:val="12"/>
                <w:color w:val="auto"/>
                <w:w w:val="86"/>
              </w:rPr>
              <w:t>Services</w:t>
            </w:r>
          </w:p>
        </w:tc>
        <w:tc>
          <w:tcPr>
            <w:tcW w:w="6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120" w:type="dxa"/>
            <w:vAlign w:val="bottom"/>
          </w:tcPr>
          <w:p>
            <w:pPr>
              <w:spacing w:after="0" w:line="135" w:lineRule="exact"/>
              <w:rPr>
                <w:sz w:val="20"/>
                <w:szCs w:val="20"/>
                <w:color w:val="auto"/>
              </w:rPr>
            </w:pPr>
            <w:r>
              <w:rPr>
                <w:rFonts w:ascii="Arial" w:cs="Arial" w:eastAsia="Arial" w:hAnsi="Arial"/>
                <w:sz w:val="12"/>
                <w:szCs w:val="12"/>
                <w:color w:val="auto"/>
              </w:rPr>
              <w:t xml:space="preserve">New Gulf Resources, LLC </w:t>
            </w:r>
            <w:r>
              <w:rPr>
                <w:rFonts w:ascii="Arial" w:cs="Arial" w:eastAsia="Arial" w:hAnsi="Arial"/>
                <w:sz w:val="9"/>
                <w:szCs w:val="9"/>
                <w:color w:val="auto"/>
              </w:rPr>
              <w:t>(11)</w:t>
            </w:r>
            <w:r>
              <w:rPr>
                <w:rFonts w:ascii="Arial" w:cs="Arial" w:eastAsia="Arial" w:hAnsi="Arial"/>
                <w:sz w:val="12"/>
                <w:szCs w:val="12"/>
                <w:color w:val="auto"/>
              </w:rPr>
              <w:t xml:space="preserve"> (Warrants)</w:t>
            </w:r>
          </w:p>
        </w:tc>
        <w:tc>
          <w:tcPr>
            <w:tcW w:w="820" w:type="dxa"/>
            <w:vAlign w:val="bottom"/>
          </w:tcPr>
          <w:p>
            <w:pPr>
              <w:jc w:val="center"/>
              <w:spacing w:after="0" w:line="135" w:lineRule="exact"/>
              <w:rPr>
                <w:sz w:val="20"/>
                <w:szCs w:val="20"/>
                <w:color w:val="auto"/>
              </w:rPr>
            </w:pPr>
            <w:r>
              <w:rPr>
                <w:rFonts w:ascii="Arial" w:cs="Arial" w:eastAsia="Arial" w:hAnsi="Arial"/>
                <w:sz w:val="12"/>
                <w:szCs w:val="12"/>
                <w:color w:val="auto"/>
                <w:w w:val="89"/>
              </w:rPr>
              <w:t>05/09/2024</w:t>
            </w:r>
          </w:p>
        </w:tc>
        <w:tc>
          <w:tcPr>
            <w:tcW w:w="2100" w:type="dxa"/>
            <w:vAlign w:val="bottom"/>
          </w:tcPr>
          <w:p>
            <w:pPr>
              <w:jc w:val="center"/>
              <w:ind w:right="2"/>
              <w:spacing w:after="0" w:line="135" w:lineRule="exact"/>
              <w:rPr>
                <w:sz w:val="20"/>
                <w:szCs w:val="20"/>
                <w:color w:val="auto"/>
              </w:rPr>
            </w:pPr>
            <w:r>
              <w:rPr>
                <w:rFonts w:ascii="Arial" w:cs="Arial" w:eastAsia="Arial" w:hAnsi="Arial"/>
                <w:sz w:val="12"/>
                <w:szCs w:val="12"/>
                <w:color w:val="auto"/>
                <w:w w:val="88"/>
              </w:rPr>
              <w:t>Oil and Gas</w:t>
            </w:r>
          </w:p>
        </w:tc>
        <w:tc>
          <w:tcPr>
            <w:tcW w:w="660" w:type="dxa"/>
            <w:vAlign w:val="bottom"/>
          </w:tcPr>
          <w:p>
            <w:pPr>
              <w:spacing w:after="0"/>
              <w:rPr>
                <w:sz w:val="11"/>
                <w:szCs w:val="11"/>
                <w:color w:val="auto"/>
              </w:rPr>
            </w:pPr>
          </w:p>
        </w:tc>
        <w:tc>
          <w:tcPr>
            <w:tcW w:w="1080" w:type="dxa"/>
            <w:vAlign w:val="bottom"/>
          </w:tcPr>
          <w:p>
            <w:pPr>
              <w:ind w:left="20"/>
              <w:spacing w:after="0" w:line="135" w:lineRule="exact"/>
              <w:rPr>
                <w:sz w:val="20"/>
                <w:szCs w:val="20"/>
                <w:color w:val="auto"/>
              </w:rPr>
            </w:pPr>
            <w:r>
              <w:rPr>
                <w:rFonts w:ascii="Arial" w:cs="Arial" w:eastAsia="Arial" w:hAnsi="Arial"/>
                <w:sz w:val="12"/>
                <w:szCs w:val="12"/>
                <w:color w:val="auto"/>
              </w:rPr>
              <w:t>—</w:t>
            </w:r>
          </w:p>
        </w:tc>
        <w:tc>
          <w:tcPr>
            <w:tcW w:w="320" w:type="dxa"/>
            <w:vAlign w:val="bottom"/>
          </w:tcPr>
          <w:p>
            <w:pPr>
              <w:spacing w:after="0" w:line="135" w:lineRule="exact"/>
              <w:rPr>
                <w:sz w:val="20"/>
                <w:szCs w:val="20"/>
                <w:color w:val="auto"/>
              </w:rPr>
            </w:pPr>
            <w:r>
              <w:rPr>
                <w:rFonts w:ascii="Arial" w:cs="Arial" w:eastAsia="Arial" w:hAnsi="Arial"/>
                <w:sz w:val="12"/>
                <w:szCs w:val="12"/>
                <w:color w:val="auto"/>
              </w:rPr>
              <w:t>—</w:t>
            </w:r>
          </w:p>
        </w:tc>
        <w:tc>
          <w:tcPr>
            <w:tcW w:w="900" w:type="dxa"/>
            <w:vAlign w:val="bottom"/>
          </w:tcPr>
          <w:p>
            <w:pPr>
              <w:jc w:val="right"/>
              <w:ind w:right="102"/>
              <w:spacing w:after="0" w:line="135" w:lineRule="exact"/>
              <w:rPr>
                <w:sz w:val="20"/>
                <w:szCs w:val="20"/>
                <w:color w:val="auto"/>
              </w:rPr>
            </w:pPr>
            <w:r>
              <w:rPr>
                <w:rFonts w:ascii="Arial" w:cs="Arial" w:eastAsia="Arial" w:hAnsi="Arial"/>
                <w:sz w:val="12"/>
                <w:szCs w:val="12"/>
                <w:color w:val="auto"/>
              </w:rPr>
              <w:t>13,500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495,000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2,970,000</w:t>
            </w:r>
          </w:p>
        </w:tc>
        <w:tc>
          <w:tcPr>
            <w:tcW w:w="0" w:type="dxa"/>
            <w:vAlign w:val="bottom"/>
          </w:tcPr>
          <w:p>
            <w:pPr>
              <w:spacing w:after="0"/>
              <w:rPr>
                <w:sz w:val="1"/>
                <w:szCs w:val="1"/>
                <w:color w:val="auto"/>
              </w:rPr>
            </w:pPr>
          </w:p>
        </w:tc>
      </w:tr>
      <w:tr>
        <w:trPr>
          <w:trHeight w:val="129"/>
        </w:trPr>
        <w:tc>
          <w:tcPr>
            <w:tcW w:w="312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Patriot National, Inc.</w:t>
            </w:r>
          </w:p>
        </w:tc>
        <w:tc>
          <w:tcPr>
            <w:tcW w:w="82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86"/>
              </w:rPr>
              <w:t>11/27/2023</w:t>
            </w:r>
          </w:p>
        </w:tc>
        <w:tc>
          <w:tcPr>
            <w:tcW w:w="2100" w:type="dxa"/>
            <w:vAlign w:val="bottom"/>
            <w:shd w:val="clear" w:color="auto" w:fill="CCEEFF"/>
          </w:tcPr>
          <w:p>
            <w:pPr>
              <w:jc w:val="center"/>
              <w:ind w:right="2"/>
              <w:spacing w:after="0" w:line="129" w:lineRule="exact"/>
              <w:rPr>
                <w:sz w:val="20"/>
                <w:szCs w:val="20"/>
                <w:color w:val="auto"/>
              </w:rPr>
            </w:pPr>
            <w:r>
              <w:rPr>
                <w:rFonts w:ascii="Arial" w:cs="Arial" w:eastAsia="Arial" w:hAnsi="Arial"/>
                <w:sz w:val="12"/>
                <w:szCs w:val="12"/>
                <w:color w:val="auto"/>
                <w:w w:val="83"/>
              </w:rPr>
              <w:t>Insurance</w:t>
            </w:r>
          </w:p>
        </w:tc>
        <w:tc>
          <w:tcPr>
            <w:tcW w:w="660" w:type="dxa"/>
            <w:vAlign w:val="bottom"/>
            <w:shd w:val="clear" w:color="auto" w:fill="CCEEFF"/>
          </w:tcPr>
          <w:p>
            <w:pPr>
              <w:spacing w:after="0"/>
              <w:rPr>
                <w:sz w:val="11"/>
                <w:szCs w:val="11"/>
                <w:color w:val="auto"/>
              </w:rPr>
            </w:pPr>
          </w:p>
        </w:tc>
        <w:tc>
          <w:tcPr>
            <w:tcW w:w="1080" w:type="dxa"/>
            <w:vAlign w:val="bottom"/>
            <w:shd w:val="clear" w:color="auto" w:fill="CCEEFF"/>
          </w:tcPr>
          <w:p>
            <w:pPr>
              <w:ind w:left="20"/>
              <w:spacing w:after="0" w:line="129" w:lineRule="exact"/>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ind w:right="102"/>
              <w:spacing w:after="0" w:line="129" w:lineRule="exact"/>
              <w:rPr>
                <w:sz w:val="20"/>
                <w:szCs w:val="20"/>
                <w:color w:val="auto"/>
              </w:rPr>
            </w:pPr>
            <w:r>
              <w:rPr>
                <w:rFonts w:ascii="Arial" w:cs="Arial" w:eastAsia="Arial" w:hAnsi="Arial"/>
                <w:sz w:val="12"/>
                <w:szCs w:val="12"/>
                <w:color w:val="auto"/>
              </w:rPr>
              <w:t>62,932</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2"/>
                <w:szCs w:val="12"/>
                <w:color w:val="auto"/>
              </w:rPr>
              <w:t>1,290,904</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3,398,932</w:t>
            </w:r>
          </w:p>
        </w:tc>
        <w:tc>
          <w:tcPr>
            <w:tcW w:w="0" w:type="dxa"/>
            <w:vAlign w:val="bottom"/>
          </w:tcPr>
          <w:p>
            <w:pPr>
              <w:spacing w:after="0"/>
              <w:rPr>
                <w:sz w:val="1"/>
                <w:szCs w:val="1"/>
                <w:color w:val="auto"/>
              </w:rPr>
            </w:pPr>
          </w:p>
        </w:tc>
      </w:tr>
      <w:tr>
        <w:trPr>
          <w:trHeight w:val="141"/>
        </w:trPr>
        <w:tc>
          <w:tcPr>
            <w:tcW w:w="31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(f/k/a Old Guard Risk Services, Inc.) (Warrants)</w:t>
            </w:r>
          </w:p>
        </w:tc>
        <w:tc>
          <w:tcPr>
            <w:tcW w:w="820" w:type="dxa"/>
            <w:vAlign w:val="bottom"/>
            <w:shd w:val="clear" w:color="auto" w:fill="CCEEFF"/>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120" w:type="dxa"/>
            <w:vAlign w:val="bottom"/>
          </w:tcPr>
          <w:p>
            <w:pPr>
              <w:spacing w:after="0" w:line="135" w:lineRule="exact"/>
              <w:rPr>
                <w:sz w:val="20"/>
                <w:szCs w:val="20"/>
                <w:color w:val="auto"/>
              </w:rPr>
            </w:pPr>
            <w:r>
              <w:rPr>
                <w:rFonts w:ascii="Arial" w:cs="Arial" w:eastAsia="Arial" w:hAnsi="Arial"/>
                <w:sz w:val="12"/>
                <w:szCs w:val="12"/>
                <w:color w:val="auto"/>
              </w:rPr>
              <w:t>Paradigm Acquisition Corp.</w:t>
            </w:r>
          </w:p>
        </w:tc>
        <w:tc>
          <w:tcPr>
            <w:tcW w:w="820" w:type="dxa"/>
            <w:vAlign w:val="bottom"/>
          </w:tcPr>
          <w:p>
            <w:pPr>
              <w:jc w:val="center"/>
              <w:spacing w:after="0" w:line="135" w:lineRule="exact"/>
              <w:rPr>
                <w:sz w:val="20"/>
                <w:szCs w:val="20"/>
                <w:color w:val="auto"/>
              </w:rPr>
            </w:pPr>
            <w:r>
              <w:rPr>
                <w:rFonts w:ascii="Arial" w:cs="Arial" w:eastAsia="Arial" w:hAnsi="Arial"/>
                <w:sz w:val="12"/>
                <w:szCs w:val="12"/>
                <w:color w:val="auto"/>
                <w:w w:val="99"/>
              </w:rPr>
              <w:t>—</w:t>
            </w:r>
          </w:p>
        </w:tc>
        <w:tc>
          <w:tcPr>
            <w:tcW w:w="2100" w:type="dxa"/>
            <w:vAlign w:val="bottom"/>
          </w:tcPr>
          <w:p>
            <w:pPr>
              <w:jc w:val="center"/>
              <w:ind w:right="2"/>
              <w:spacing w:after="0" w:line="135" w:lineRule="exact"/>
              <w:rPr>
                <w:sz w:val="20"/>
                <w:szCs w:val="20"/>
                <w:color w:val="auto"/>
              </w:rPr>
            </w:pPr>
            <w:r>
              <w:rPr>
                <w:rFonts w:ascii="Arial" w:cs="Arial" w:eastAsia="Arial" w:hAnsi="Arial"/>
                <w:sz w:val="12"/>
                <w:szCs w:val="12"/>
                <w:color w:val="auto"/>
                <w:w w:val="87"/>
              </w:rPr>
              <w:t>Healthcare, Education and Childcare</w:t>
            </w:r>
          </w:p>
        </w:tc>
        <w:tc>
          <w:tcPr>
            <w:tcW w:w="660" w:type="dxa"/>
            <w:vAlign w:val="bottom"/>
          </w:tcPr>
          <w:p>
            <w:pPr>
              <w:spacing w:after="0"/>
              <w:rPr>
                <w:sz w:val="11"/>
                <w:szCs w:val="11"/>
                <w:color w:val="auto"/>
              </w:rPr>
            </w:pPr>
          </w:p>
        </w:tc>
        <w:tc>
          <w:tcPr>
            <w:tcW w:w="1080" w:type="dxa"/>
            <w:vAlign w:val="bottom"/>
          </w:tcPr>
          <w:p>
            <w:pPr>
              <w:ind w:left="20"/>
              <w:spacing w:after="0" w:line="135" w:lineRule="exact"/>
              <w:rPr>
                <w:sz w:val="20"/>
                <w:szCs w:val="20"/>
                <w:color w:val="auto"/>
              </w:rPr>
            </w:pPr>
            <w:r>
              <w:rPr>
                <w:rFonts w:ascii="Arial" w:cs="Arial" w:eastAsia="Arial" w:hAnsi="Arial"/>
                <w:sz w:val="12"/>
                <w:szCs w:val="12"/>
                <w:color w:val="auto"/>
              </w:rPr>
              <w:t>—</w:t>
            </w:r>
          </w:p>
        </w:tc>
        <w:tc>
          <w:tcPr>
            <w:tcW w:w="320" w:type="dxa"/>
            <w:vAlign w:val="bottom"/>
          </w:tcPr>
          <w:p>
            <w:pPr>
              <w:spacing w:after="0" w:line="135" w:lineRule="exact"/>
              <w:rPr>
                <w:sz w:val="20"/>
                <w:szCs w:val="20"/>
                <w:color w:val="auto"/>
              </w:rPr>
            </w:pPr>
            <w:r>
              <w:rPr>
                <w:rFonts w:ascii="Arial" w:cs="Arial" w:eastAsia="Arial" w:hAnsi="Arial"/>
                <w:sz w:val="12"/>
                <w:szCs w:val="12"/>
                <w:color w:val="auto"/>
              </w:rPr>
              <w:t>—</w:t>
            </w:r>
          </w:p>
        </w:tc>
        <w:tc>
          <w:tcPr>
            <w:tcW w:w="900" w:type="dxa"/>
            <w:vAlign w:val="bottom"/>
          </w:tcPr>
          <w:p>
            <w:pPr>
              <w:jc w:val="right"/>
              <w:ind w:right="102"/>
              <w:spacing w:after="0" w:line="135" w:lineRule="exact"/>
              <w:rPr>
                <w:sz w:val="20"/>
                <w:szCs w:val="20"/>
                <w:color w:val="auto"/>
              </w:rPr>
            </w:pPr>
            <w:r>
              <w:rPr>
                <w:rFonts w:ascii="Arial" w:cs="Arial" w:eastAsia="Arial" w:hAnsi="Arial"/>
                <w:sz w:val="12"/>
                <w:szCs w:val="12"/>
                <w:color w:val="auto"/>
              </w:rPr>
              <w:t>20,000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1,171,851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2,800,714</w:t>
            </w:r>
          </w:p>
        </w:tc>
        <w:tc>
          <w:tcPr>
            <w:tcW w:w="0" w:type="dxa"/>
            <w:vAlign w:val="bottom"/>
          </w:tcPr>
          <w:p>
            <w:pPr>
              <w:spacing w:after="0"/>
              <w:rPr>
                <w:sz w:val="1"/>
                <w:szCs w:val="1"/>
                <w:color w:val="auto"/>
              </w:rPr>
            </w:pPr>
          </w:p>
        </w:tc>
      </w:tr>
      <w:tr>
        <w:trPr>
          <w:trHeight w:val="129"/>
        </w:trPr>
        <w:tc>
          <w:tcPr>
            <w:tcW w:w="312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 xml:space="preserve">Power Products Holdings, LLC, Class A Units </w:t>
            </w:r>
            <w:r>
              <w:rPr>
                <w:rFonts w:ascii="Arial" w:cs="Arial" w:eastAsia="Arial" w:hAnsi="Arial"/>
                <w:sz w:val="9"/>
                <w:szCs w:val="9"/>
                <w:color w:val="auto"/>
              </w:rPr>
              <w:t>(11)</w:t>
            </w:r>
          </w:p>
        </w:tc>
        <w:tc>
          <w:tcPr>
            <w:tcW w:w="82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99"/>
              </w:rPr>
              <w:t>—</w:t>
            </w:r>
          </w:p>
        </w:tc>
        <w:tc>
          <w:tcPr>
            <w:tcW w:w="2100" w:type="dxa"/>
            <w:vAlign w:val="bottom"/>
            <w:shd w:val="clear" w:color="auto" w:fill="CCEEFF"/>
          </w:tcPr>
          <w:p>
            <w:pPr>
              <w:jc w:val="center"/>
              <w:ind w:right="2"/>
              <w:spacing w:after="0" w:line="129" w:lineRule="exact"/>
              <w:rPr>
                <w:sz w:val="20"/>
                <w:szCs w:val="20"/>
                <w:color w:val="auto"/>
              </w:rPr>
            </w:pPr>
            <w:r>
              <w:rPr>
                <w:rFonts w:ascii="Arial" w:cs="Arial" w:eastAsia="Arial" w:hAnsi="Arial"/>
                <w:sz w:val="12"/>
                <w:szCs w:val="12"/>
                <w:color w:val="auto"/>
                <w:w w:val="88"/>
              </w:rPr>
              <w:t>Electronics</w:t>
            </w:r>
          </w:p>
        </w:tc>
        <w:tc>
          <w:tcPr>
            <w:tcW w:w="660" w:type="dxa"/>
            <w:vAlign w:val="bottom"/>
            <w:shd w:val="clear" w:color="auto" w:fill="CCEEFF"/>
          </w:tcPr>
          <w:p>
            <w:pPr>
              <w:spacing w:after="0"/>
              <w:rPr>
                <w:sz w:val="11"/>
                <w:szCs w:val="11"/>
                <w:color w:val="auto"/>
              </w:rPr>
            </w:pPr>
          </w:p>
        </w:tc>
        <w:tc>
          <w:tcPr>
            <w:tcW w:w="1080" w:type="dxa"/>
            <w:vAlign w:val="bottom"/>
            <w:shd w:val="clear" w:color="auto" w:fill="CCEEFF"/>
          </w:tcPr>
          <w:p>
            <w:pPr>
              <w:ind w:left="20"/>
              <w:spacing w:after="0" w:line="129" w:lineRule="exact"/>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ind w:right="102"/>
              <w:spacing w:after="0" w:line="129" w:lineRule="exact"/>
              <w:rPr>
                <w:sz w:val="20"/>
                <w:szCs w:val="20"/>
                <w:color w:val="auto"/>
              </w:rPr>
            </w:pPr>
            <w:r>
              <w:rPr>
                <w:rFonts w:ascii="Arial" w:cs="Arial" w:eastAsia="Arial" w:hAnsi="Arial"/>
                <w:sz w:val="12"/>
                <w:szCs w:val="12"/>
                <w:color w:val="auto"/>
              </w:rPr>
              <w:t>1,350,000</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2"/>
                <w:szCs w:val="12"/>
                <w:color w:val="auto"/>
              </w:rPr>
              <w:t>1,350,000</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1,657,516</w:t>
            </w:r>
          </w:p>
        </w:tc>
        <w:tc>
          <w:tcPr>
            <w:tcW w:w="0" w:type="dxa"/>
            <w:vAlign w:val="bottom"/>
          </w:tcPr>
          <w:p>
            <w:pPr>
              <w:spacing w:after="0"/>
              <w:rPr>
                <w:sz w:val="1"/>
                <w:szCs w:val="1"/>
                <w:color w:val="auto"/>
              </w:rPr>
            </w:pPr>
          </w:p>
        </w:tc>
      </w:tr>
      <w:tr>
        <w:trPr>
          <w:trHeight w:val="141"/>
        </w:trPr>
        <w:tc>
          <w:tcPr>
            <w:tcW w:w="31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(Power Products, LLC)</w:t>
            </w:r>
          </w:p>
        </w:tc>
        <w:tc>
          <w:tcPr>
            <w:tcW w:w="820" w:type="dxa"/>
            <w:vAlign w:val="bottom"/>
            <w:shd w:val="clear" w:color="auto" w:fill="CCEEFF"/>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120" w:type="dxa"/>
            <w:vAlign w:val="bottom"/>
          </w:tcPr>
          <w:p>
            <w:pPr>
              <w:spacing w:after="0" w:line="129" w:lineRule="exact"/>
              <w:rPr>
                <w:sz w:val="20"/>
                <w:szCs w:val="20"/>
                <w:color w:val="auto"/>
              </w:rPr>
            </w:pPr>
            <w:r>
              <w:rPr>
                <w:rFonts w:ascii="Arial" w:cs="Arial" w:eastAsia="Arial" w:hAnsi="Arial"/>
                <w:sz w:val="12"/>
                <w:szCs w:val="12"/>
                <w:color w:val="auto"/>
              </w:rPr>
              <w:t xml:space="preserve">Power Products Holdings, LLC, Class B Units </w:t>
            </w:r>
            <w:r>
              <w:rPr>
                <w:rFonts w:ascii="Arial" w:cs="Arial" w:eastAsia="Arial" w:hAnsi="Arial"/>
                <w:sz w:val="9"/>
                <w:szCs w:val="9"/>
                <w:color w:val="auto"/>
              </w:rPr>
              <w:t>(11)</w:t>
            </w:r>
          </w:p>
        </w:tc>
        <w:tc>
          <w:tcPr>
            <w:tcW w:w="820" w:type="dxa"/>
            <w:vAlign w:val="bottom"/>
          </w:tcPr>
          <w:p>
            <w:pPr>
              <w:jc w:val="center"/>
              <w:spacing w:after="0" w:line="129" w:lineRule="exact"/>
              <w:rPr>
                <w:sz w:val="20"/>
                <w:szCs w:val="20"/>
                <w:color w:val="auto"/>
              </w:rPr>
            </w:pPr>
            <w:r>
              <w:rPr>
                <w:rFonts w:ascii="Arial" w:cs="Arial" w:eastAsia="Arial" w:hAnsi="Arial"/>
                <w:sz w:val="12"/>
                <w:szCs w:val="12"/>
                <w:color w:val="auto"/>
                <w:w w:val="99"/>
              </w:rPr>
              <w:t>—</w:t>
            </w:r>
          </w:p>
        </w:tc>
        <w:tc>
          <w:tcPr>
            <w:tcW w:w="2100" w:type="dxa"/>
            <w:vAlign w:val="bottom"/>
          </w:tcPr>
          <w:p>
            <w:pPr>
              <w:jc w:val="center"/>
              <w:ind w:right="2"/>
              <w:spacing w:after="0" w:line="129" w:lineRule="exact"/>
              <w:rPr>
                <w:sz w:val="20"/>
                <w:szCs w:val="20"/>
                <w:color w:val="auto"/>
              </w:rPr>
            </w:pPr>
            <w:r>
              <w:rPr>
                <w:rFonts w:ascii="Arial" w:cs="Arial" w:eastAsia="Arial" w:hAnsi="Arial"/>
                <w:sz w:val="12"/>
                <w:szCs w:val="12"/>
                <w:color w:val="auto"/>
                <w:w w:val="88"/>
              </w:rPr>
              <w:t>Electronics</w:t>
            </w:r>
          </w:p>
        </w:tc>
        <w:tc>
          <w:tcPr>
            <w:tcW w:w="660" w:type="dxa"/>
            <w:vAlign w:val="bottom"/>
          </w:tcPr>
          <w:p>
            <w:pPr>
              <w:spacing w:after="0"/>
              <w:rPr>
                <w:sz w:val="11"/>
                <w:szCs w:val="11"/>
                <w:color w:val="auto"/>
              </w:rPr>
            </w:pPr>
          </w:p>
        </w:tc>
        <w:tc>
          <w:tcPr>
            <w:tcW w:w="1080" w:type="dxa"/>
            <w:vAlign w:val="bottom"/>
          </w:tcPr>
          <w:p>
            <w:pPr>
              <w:ind w:left="20"/>
              <w:spacing w:after="0" w:line="129" w:lineRule="exact"/>
              <w:rPr>
                <w:sz w:val="20"/>
                <w:szCs w:val="20"/>
                <w:color w:val="auto"/>
              </w:rPr>
            </w:pPr>
            <w:r>
              <w:rPr>
                <w:rFonts w:ascii="Arial" w:cs="Arial" w:eastAsia="Arial" w:hAnsi="Arial"/>
                <w:sz w:val="12"/>
                <w:szCs w:val="12"/>
                <w:color w:val="auto"/>
              </w:rPr>
              <w:t>—</w:t>
            </w:r>
          </w:p>
        </w:tc>
        <w:tc>
          <w:tcPr>
            <w:tcW w:w="320" w:type="dxa"/>
            <w:vAlign w:val="bottom"/>
          </w:tcPr>
          <w:p>
            <w:pPr>
              <w:spacing w:after="0" w:line="129" w:lineRule="exact"/>
              <w:rPr>
                <w:sz w:val="20"/>
                <w:szCs w:val="20"/>
                <w:color w:val="auto"/>
              </w:rPr>
            </w:pPr>
            <w:r>
              <w:rPr>
                <w:rFonts w:ascii="Arial" w:cs="Arial" w:eastAsia="Arial" w:hAnsi="Arial"/>
                <w:sz w:val="12"/>
                <w:szCs w:val="12"/>
                <w:color w:val="auto"/>
              </w:rPr>
              <w:t>—</w:t>
            </w:r>
          </w:p>
        </w:tc>
        <w:tc>
          <w:tcPr>
            <w:tcW w:w="900" w:type="dxa"/>
            <w:vAlign w:val="bottom"/>
          </w:tcPr>
          <w:p>
            <w:pPr>
              <w:jc w:val="right"/>
              <w:ind w:right="102"/>
              <w:spacing w:after="0" w:line="129" w:lineRule="exact"/>
              <w:rPr>
                <w:sz w:val="20"/>
                <w:szCs w:val="20"/>
                <w:color w:val="auto"/>
              </w:rPr>
            </w:pPr>
            <w:r>
              <w:rPr>
                <w:rFonts w:ascii="Arial" w:cs="Arial" w:eastAsia="Arial" w:hAnsi="Arial"/>
                <w:sz w:val="12"/>
                <w:szCs w:val="12"/>
                <w:color w:val="auto"/>
              </w:rPr>
              <w:t>150,000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120"/>
              <w:spacing w:after="0" w:line="129" w:lineRule="exact"/>
              <w:rPr>
                <w:sz w:val="20"/>
                <w:szCs w:val="20"/>
                <w:color w:val="auto"/>
              </w:rPr>
            </w:pPr>
            <w:r>
              <w:rPr>
                <w:rFonts w:ascii="Arial" w:cs="Arial" w:eastAsia="Arial" w:hAnsi="Arial"/>
                <w:sz w:val="12"/>
                <w:szCs w:val="12"/>
                <w:color w:val="auto"/>
              </w:rPr>
              <w:t>150,000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184,168</w:t>
            </w:r>
          </w:p>
        </w:tc>
        <w:tc>
          <w:tcPr>
            <w:tcW w:w="0" w:type="dxa"/>
            <w:vAlign w:val="bottom"/>
          </w:tcPr>
          <w:p>
            <w:pPr>
              <w:spacing w:after="0"/>
              <w:rPr>
                <w:sz w:val="1"/>
                <w:szCs w:val="1"/>
                <w:color w:val="auto"/>
              </w:rPr>
            </w:pPr>
          </w:p>
        </w:tc>
      </w:tr>
      <w:tr>
        <w:trPr>
          <w:trHeight w:val="141"/>
        </w:trPr>
        <w:tc>
          <w:tcPr>
            <w:tcW w:w="3120" w:type="dxa"/>
            <w:vAlign w:val="bottom"/>
          </w:tcPr>
          <w:p>
            <w:pPr>
              <w:ind w:left="120"/>
              <w:spacing w:after="0"/>
              <w:rPr>
                <w:sz w:val="20"/>
                <w:szCs w:val="20"/>
                <w:color w:val="auto"/>
              </w:rPr>
            </w:pPr>
            <w:r>
              <w:rPr>
                <w:rFonts w:ascii="Arial" w:cs="Arial" w:eastAsia="Arial" w:hAnsi="Arial"/>
                <w:sz w:val="12"/>
                <w:szCs w:val="12"/>
                <w:color w:val="auto"/>
              </w:rPr>
              <w:t>(Power Products, LLC)</w:t>
            </w:r>
          </w:p>
        </w:tc>
        <w:tc>
          <w:tcPr>
            <w:tcW w:w="8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1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RAM Energy LLC</w:t>
            </w:r>
          </w:p>
        </w:tc>
        <w:tc>
          <w:tcPr>
            <w:tcW w:w="82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9"/>
              </w:rPr>
              <w:t>—</w:t>
            </w:r>
          </w:p>
        </w:tc>
        <w:tc>
          <w:tcPr>
            <w:tcW w:w="21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0"/>
              </w:rPr>
              <w:t>Energy and Utilities</w:t>
            </w:r>
          </w:p>
        </w:tc>
        <w:tc>
          <w:tcPr>
            <w:tcW w:w="660" w:type="dxa"/>
            <w:vAlign w:val="bottom"/>
            <w:shd w:val="clear" w:color="auto" w:fill="CCEEFF"/>
          </w:tcPr>
          <w:p>
            <w:pPr>
              <w:spacing w:after="0"/>
              <w:rPr>
                <w:sz w:val="11"/>
                <w:szCs w:val="11"/>
                <w:color w:val="auto"/>
              </w:rPr>
            </w:pPr>
          </w:p>
        </w:tc>
        <w:tc>
          <w:tcPr>
            <w:tcW w:w="1080" w:type="dxa"/>
            <w:vAlign w:val="bottom"/>
            <w:shd w:val="clear" w:color="auto" w:fill="CCEEFF"/>
          </w:tcPr>
          <w:p>
            <w:pPr>
              <w:ind w:left="20"/>
              <w:spacing w:after="0" w:line="135" w:lineRule="exact"/>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ind w:right="102"/>
              <w:spacing w:after="0" w:line="135" w:lineRule="exact"/>
              <w:rPr>
                <w:sz w:val="20"/>
                <w:szCs w:val="20"/>
                <w:color w:val="auto"/>
              </w:rPr>
            </w:pPr>
            <w:r>
              <w:rPr>
                <w:rFonts w:ascii="Arial" w:cs="Arial" w:eastAsia="Arial" w:hAnsi="Arial"/>
                <w:sz w:val="12"/>
                <w:szCs w:val="12"/>
                <w:color w:val="auto"/>
              </w:rPr>
              <w:t>828</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827,922</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827,922</w:t>
            </w:r>
          </w:p>
        </w:tc>
        <w:tc>
          <w:tcPr>
            <w:tcW w:w="0" w:type="dxa"/>
            <w:vAlign w:val="bottom"/>
          </w:tcPr>
          <w:p>
            <w:pPr>
              <w:spacing w:after="0"/>
              <w:rPr>
                <w:sz w:val="1"/>
                <w:szCs w:val="1"/>
                <w:color w:val="auto"/>
              </w:rPr>
            </w:pPr>
          </w:p>
        </w:tc>
      </w:tr>
      <w:tr>
        <w:trPr>
          <w:trHeight w:val="135"/>
        </w:trPr>
        <w:tc>
          <w:tcPr>
            <w:tcW w:w="3120" w:type="dxa"/>
            <w:vAlign w:val="bottom"/>
          </w:tcPr>
          <w:p>
            <w:pPr>
              <w:spacing w:after="0" w:line="135" w:lineRule="exact"/>
              <w:rPr>
                <w:sz w:val="20"/>
                <w:szCs w:val="20"/>
                <w:color w:val="auto"/>
              </w:rPr>
            </w:pPr>
            <w:r>
              <w:rPr>
                <w:rFonts w:ascii="Arial" w:cs="Arial" w:eastAsia="Arial" w:hAnsi="Arial"/>
                <w:sz w:val="12"/>
                <w:szCs w:val="12"/>
                <w:color w:val="auto"/>
              </w:rPr>
              <w:t>Red Point, LLC</w:t>
            </w:r>
          </w:p>
        </w:tc>
        <w:tc>
          <w:tcPr>
            <w:tcW w:w="820" w:type="dxa"/>
            <w:vAlign w:val="bottom"/>
          </w:tcPr>
          <w:p>
            <w:pPr>
              <w:jc w:val="center"/>
              <w:spacing w:after="0" w:line="135" w:lineRule="exact"/>
              <w:rPr>
                <w:sz w:val="20"/>
                <w:szCs w:val="20"/>
                <w:color w:val="auto"/>
              </w:rPr>
            </w:pPr>
            <w:r>
              <w:rPr>
                <w:rFonts w:ascii="Arial" w:cs="Arial" w:eastAsia="Arial" w:hAnsi="Arial"/>
                <w:sz w:val="12"/>
                <w:szCs w:val="12"/>
                <w:color w:val="auto"/>
                <w:w w:val="99"/>
              </w:rPr>
              <w:t>—</w:t>
            </w:r>
          </w:p>
        </w:tc>
        <w:tc>
          <w:tcPr>
            <w:tcW w:w="2100" w:type="dxa"/>
            <w:vAlign w:val="bottom"/>
          </w:tcPr>
          <w:p>
            <w:pPr>
              <w:jc w:val="center"/>
              <w:ind w:right="2"/>
              <w:spacing w:after="0" w:line="135" w:lineRule="exact"/>
              <w:rPr>
                <w:sz w:val="20"/>
                <w:szCs w:val="20"/>
                <w:color w:val="auto"/>
              </w:rPr>
            </w:pPr>
            <w:r>
              <w:rPr>
                <w:rFonts w:ascii="Arial" w:cs="Arial" w:eastAsia="Arial" w:hAnsi="Arial"/>
                <w:sz w:val="12"/>
                <w:szCs w:val="12"/>
                <w:color w:val="auto"/>
                <w:w w:val="90"/>
              </w:rPr>
              <w:t>Other Media</w:t>
            </w:r>
          </w:p>
        </w:tc>
        <w:tc>
          <w:tcPr>
            <w:tcW w:w="660" w:type="dxa"/>
            <w:vAlign w:val="bottom"/>
          </w:tcPr>
          <w:p>
            <w:pPr>
              <w:spacing w:after="0"/>
              <w:rPr>
                <w:sz w:val="11"/>
                <w:szCs w:val="11"/>
                <w:color w:val="auto"/>
              </w:rPr>
            </w:pPr>
          </w:p>
        </w:tc>
        <w:tc>
          <w:tcPr>
            <w:tcW w:w="1080" w:type="dxa"/>
            <w:vAlign w:val="bottom"/>
          </w:tcPr>
          <w:p>
            <w:pPr>
              <w:ind w:left="20"/>
              <w:spacing w:after="0" w:line="135" w:lineRule="exact"/>
              <w:rPr>
                <w:sz w:val="20"/>
                <w:szCs w:val="20"/>
                <w:color w:val="auto"/>
              </w:rPr>
            </w:pPr>
            <w:r>
              <w:rPr>
                <w:rFonts w:ascii="Arial" w:cs="Arial" w:eastAsia="Arial" w:hAnsi="Arial"/>
                <w:sz w:val="12"/>
                <w:szCs w:val="12"/>
                <w:color w:val="auto"/>
              </w:rPr>
              <w:t>—</w:t>
            </w:r>
          </w:p>
        </w:tc>
        <w:tc>
          <w:tcPr>
            <w:tcW w:w="320" w:type="dxa"/>
            <w:vAlign w:val="bottom"/>
          </w:tcPr>
          <w:p>
            <w:pPr>
              <w:spacing w:after="0" w:line="135" w:lineRule="exact"/>
              <w:rPr>
                <w:sz w:val="20"/>
                <w:szCs w:val="20"/>
                <w:color w:val="auto"/>
              </w:rPr>
            </w:pPr>
            <w:r>
              <w:rPr>
                <w:rFonts w:ascii="Arial" w:cs="Arial" w:eastAsia="Arial" w:hAnsi="Arial"/>
                <w:sz w:val="12"/>
                <w:szCs w:val="12"/>
                <w:color w:val="auto"/>
              </w:rPr>
              <w:t>—</w:t>
            </w:r>
          </w:p>
        </w:tc>
        <w:tc>
          <w:tcPr>
            <w:tcW w:w="900" w:type="dxa"/>
            <w:vAlign w:val="bottom"/>
          </w:tcPr>
          <w:p>
            <w:pPr>
              <w:jc w:val="right"/>
              <w:ind w:right="102"/>
              <w:spacing w:after="0" w:line="135" w:lineRule="exact"/>
              <w:rPr>
                <w:sz w:val="20"/>
                <w:szCs w:val="20"/>
                <w:color w:val="auto"/>
              </w:rPr>
            </w:pPr>
            <w:r>
              <w:rPr>
                <w:rFonts w:ascii="Arial" w:cs="Arial" w:eastAsia="Arial" w:hAnsi="Arial"/>
                <w:sz w:val="12"/>
                <w:szCs w:val="12"/>
                <w:color w:val="auto"/>
              </w:rPr>
              <w:t>388,378</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1,629,791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3,444,803</w:t>
            </w:r>
          </w:p>
        </w:tc>
        <w:tc>
          <w:tcPr>
            <w:tcW w:w="0" w:type="dxa"/>
            <w:vAlign w:val="bottom"/>
          </w:tcPr>
          <w:p>
            <w:pPr>
              <w:spacing w:after="0"/>
              <w:rPr>
                <w:sz w:val="1"/>
                <w:szCs w:val="1"/>
                <w:color w:val="auto"/>
              </w:rPr>
            </w:pPr>
          </w:p>
        </w:tc>
      </w:tr>
      <w:tr>
        <w:trPr>
          <w:trHeight w:val="135"/>
        </w:trPr>
        <w:tc>
          <w:tcPr>
            <w:tcW w:w="31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Ride Holdings, Inc.</w:t>
            </w:r>
          </w:p>
        </w:tc>
        <w:tc>
          <w:tcPr>
            <w:tcW w:w="82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9"/>
              </w:rPr>
              <w:t>—</w:t>
            </w:r>
          </w:p>
        </w:tc>
        <w:tc>
          <w:tcPr>
            <w:tcW w:w="2100" w:type="dxa"/>
            <w:vAlign w:val="bottom"/>
            <w:shd w:val="clear" w:color="auto" w:fill="CCEEFF"/>
          </w:tcPr>
          <w:p>
            <w:pPr>
              <w:jc w:val="center"/>
              <w:ind w:right="2"/>
              <w:spacing w:after="0" w:line="135" w:lineRule="exact"/>
              <w:rPr>
                <w:sz w:val="20"/>
                <w:szCs w:val="20"/>
                <w:color w:val="auto"/>
              </w:rPr>
            </w:pPr>
            <w:r>
              <w:rPr>
                <w:rFonts w:ascii="Arial" w:cs="Arial" w:eastAsia="Arial" w:hAnsi="Arial"/>
                <w:sz w:val="12"/>
                <w:szCs w:val="12"/>
                <w:color w:val="auto"/>
                <w:w w:val="87"/>
              </w:rPr>
              <w:t>Personal Transportation</w:t>
            </w:r>
          </w:p>
        </w:tc>
        <w:tc>
          <w:tcPr>
            <w:tcW w:w="660" w:type="dxa"/>
            <w:vAlign w:val="bottom"/>
            <w:shd w:val="clear" w:color="auto" w:fill="CCEEFF"/>
          </w:tcPr>
          <w:p>
            <w:pPr>
              <w:spacing w:after="0"/>
              <w:rPr>
                <w:sz w:val="11"/>
                <w:szCs w:val="11"/>
                <w:color w:val="auto"/>
              </w:rPr>
            </w:pPr>
          </w:p>
        </w:tc>
        <w:tc>
          <w:tcPr>
            <w:tcW w:w="1080" w:type="dxa"/>
            <w:vAlign w:val="bottom"/>
            <w:shd w:val="clear" w:color="auto" w:fill="CCEEFF"/>
          </w:tcPr>
          <w:p>
            <w:pPr>
              <w:ind w:left="20"/>
              <w:spacing w:after="0" w:line="135" w:lineRule="exact"/>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ind w:right="102"/>
              <w:spacing w:after="0" w:line="135" w:lineRule="exact"/>
              <w:rPr>
                <w:sz w:val="20"/>
                <w:szCs w:val="20"/>
                <w:color w:val="auto"/>
              </w:rPr>
            </w:pPr>
            <w:r>
              <w:rPr>
                <w:rFonts w:ascii="Arial" w:cs="Arial" w:eastAsia="Arial" w:hAnsi="Arial"/>
                <w:sz w:val="12"/>
                <w:szCs w:val="12"/>
                <w:color w:val="auto"/>
              </w:rPr>
              <w:t>9,882</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11,314</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3120" w:type="dxa"/>
            <w:vAlign w:val="bottom"/>
          </w:tcPr>
          <w:p>
            <w:pPr>
              <w:spacing w:after="0" w:line="135" w:lineRule="exact"/>
              <w:rPr>
                <w:sz w:val="20"/>
                <w:szCs w:val="20"/>
                <w:color w:val="auto"/>
              </w:rPr>
            </w:pPr>
            <w:r>
              <w:rPr>
                <w:rFonts w:ascii="Arial" w:cs="Arial" w:eastAsia="Arial" w:hAnsi="Arial"/>
                <w:sz w:val="12"/>
                <w:szCs w:val="12"/>
                <w:color w:val="auto"/>
              </w:rPr>
              <w:t>SPG Boyd Holdings Corp.</w:t>
            </w:r>
          </w:p>
        </w:tc>
        <w:tc>
          <w:tcPr>
            <w:tcW w:w="820" w:type="dxa"/>
            <w:vAlign w:val="bottom"/>
          </w:tcPr>
          <w:p>
            <w:pPr>
              <w:jc w:val="center"/>
              <w:spacing w:after="0" w:line="135" w:lineRule="exact"/>
              <w:rPr>
                <w:sz w:val="20"/>
                <w:szCs w:val="20"/>
                <w:color w:val="auto"/>
              </w:rPr>
            </w:pPr>
            <w:r>
              <w:rPr>
                <w:rFonts w:ascii="Arial" w:cs="Arial" w:eastAsia="Arial" w:hAnsi="Arial"/>
                <w:sz w:val="12"/>
                <w:szCs w:val="12"/>
                <w:color w:val="auto"/>
                <w:w w:val="99"/>
              </w:rPr>
              <w:t>—</w:t>
            </w:r>
          </w:p>
        </w:tc>
        <w:tc>
          <w:tcPr>
            <w:tcW w:w="2100" w:type="dxa"/>
            <w:vAlign w:val="bottom"/>
          </w:tcPr>
          <w:p>
            <w:pPr>
              <w:jc w:val="center"/>
              <w:ind w:right="2"/>
              <w:spacing w:after="0" w:line="135" w:lineRule="exact"/>
              <w:rPr>
                <w:sz w:val="20"/>
                <w:szCs w:val="20"/>
                <w:color w:val="auto"/>
              </w:rPr>
            </w:pPr>
            <w:r>
              <w:rPr>
                <w:rFonts w:ascii="Arial" w:cs="Arial" w:eastAsia="Arial" w:hAnsi="Arial"/>
                <w:sz w:val="12"/>
                <w:szCs w:val="12"/>
                <w:color w:val="auto"/>
                <w:w w:val="88"/>
              </w:rPr>
              <w:t>Chemical, Plastic and Rubber</w:t>
            </w:r>
          </w:p>
        </w:tc>
        <w:tc>
          <w:tcPr>
            <w:tcW w:w="660" w:type="dxa"/>
            <w:vAlign w:val="bottom"/>
          </w:tcPr>
          <w:p>
            <w:pPr>
              <w:spacing w:after="0"/>
              <w:rPr>
                <w:sz w:val="11"/>
                <w:szCs w:val="11"/>
                <w:color w:val="auto"/>
              </w:rPr>
            </w:pPr>
          </w:p>
        </w:tc>
        <w:tc>
          <w:tcPr>
            <w:tcW w:w="1080" w:type="dxa"/>
            <w:vAlign w:val="bottom"/>
          </w:tcPr>
          <w:p>
            <w:pPr>
              <w:ind w:left="20"/>
              <w:spacing w:after="0" w:line="135" w:lineRule="exact"/>
              <w:rPr>
                <w:sz w:val="20"/>
                <w:szCs w:val="20"/>
                <w:color w:val="auto"/>
              </w:rPr>
            </w:pPr>
            <w:r>
              <w:rPr>
                <w:rFonts w:ascii="Arial" w:cs="Arial" w:eastAsia="Arial" w:hAnsi="Arial"/>
                <w:sz w:val="12"/>
                <w:szCs w:val="12"/>
                <w:color w:val="auto"/>
              </w:rPr>
              <w:t>—</w:t>
            </w:r>
          </w:p>
        </w:tc>
        <w:tc>
          <w:tcPr>
            <w:tcW w:w="320" w:type="dxa"/>
            <w:vAlign w:val="bottom"/>
          </w:tcPr>
          <w:p>
            <w:pPr>
              <w:spacing w:after="0" w:line="135" w:lineRule="exact"/>
              <w:rPr>
                <w:sz w:val="20"/>
                <w:szCs w:val="20"/>
                <w:color w:val="auto"/>
              </w:rPr>
            </w:pPr>
            <w:r>
              <w:rPr>
                <w:rFonts w:ascii="Arial" w:cs="Arial" w:eastAsia="Arial" w:hAnsi="Arial"/>
                <w:sz w:val="12"/>
                <w:szCs w:val="12"/>
                <w:color w:val="auto"/>
              </w:rPr>
              <w:t>—</w:t>
            </w:r>
          </w:p>
        </w:tc>
        <w:tc>
          <w:tcPr>
            <w:tcW w:w="900" w:type="dxa"/>
            <w:vAlign w:val="bottom"/>
          </w:tcPr>
          <w:p>
            <w:pPr>
              <w:jc w:val="right"/>
              <w:ind w:right="102"/>
              <w:spacing w:after="0" w:line="135" w:lineRule="exact"/>
              <w:rPr>
                <w:sz w:val="20"/>
                <w:szCs w:val="20"/>
                <w:color w:val="auto"/>
              </w:rPr>
            </w:pPr>
            <w:r>
              <w:rPr>
                <w:rFonts w:ascii="Arial" w:cs="Arial" w:eastAsia="Arial" w:hAnsi="Arial"/>
                <w:sz w:val="12"/>
                <w:szCs w:val="12"/>
                <w:color w:val="auto"/>
              </w:rPr>
              <w:t>3,000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2,419,203</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9,457,220</w:t>
            </w:r>
          </w:p>
        </w:tc>
        <w:tc>
          <w:tcPr>
            <w:tcW w:w="0" w:type="dxa"/>
            <w:vAlign w:val="bottom"/>
          </w:tcPr>
          <w:p>
            <w:pPr>
              <w:spacing w:after="0"/>
              <w:rPr>
                <w:sz w:val="1"/>
                <w:szCs w:val="1"/>
                <w:color w:val="auto"/>
              </w:rPr>
            </w:pPr>
          </w:p>
        </w:tc>
      </w:tr>
      <w:tr>
        <w:trPr>
          <w:trHeight w:val="135"/>
        </w:trPr>
        <w:tc>
          <w:tcPr>
            <w:tcW w:w="31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TRAK Acquisition Corp. (Warrants)</w:t>
            </w:r>
          </w:p>
        </w:tc>
        <w:tc>
          <w:tcPr>
            <w:tcW w:w="82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12/29/2019</w:t>
            </w:r>
          </w:p>
        </w:tc>
        <w:tc>
          <w:tcPr>
            <w:tcW w:w="2100" w:type="dxa"/>
            <w:vAlign w:val="bottom"/>
            <w:shd w:val="clear" w:color="auto" w:fill="CCEEFF"/>
          </w:tcPr>
          <w:p>
            <w:pPr>
              <w:jc w:val="center"/>
              <w:ind w:right="2"/>
              <w:spacing w:after="0" w:line="135" w:lineRule="exact"/>
              <w:rPr>
                <w:sz w:val="20"/>
                <w:szCs w:val="20"/>
                <w:color w:val="auto"/>
              </w:rPr>
            </w:pPr>
            <w:r>
              <w:rPr>
                <w:rFonts w:ascii="Arial" w:cs="Arial" w:eastAsia="Arial" w:hAnsi="Arial"/>
                <w:sz w:val="12"/>
                <w:szCs w:val="12"/>
                <w:color w:val="auto"/>
                <w:w w:val="85"/>
              </w:rPr>
              <w:t>Business Services</w:t>
            </w:r>
          </w:p>
        </w:tc>
        <w:tc>
          <w:tcPr>
            <w:tcW w:w="660" w:type="dxa"/>
            <w:vAlign w:val="bottom"/>
            <w:shd w:val="clear" w:color="auto" w:fill="CCEEFF"/>
          </w:tcPr>
          <w:p>
            <w:pPr>
              <w:spacing w:after="0"/>
              <w:rPr>
                <w:sz w:val="11"/>
                <w:szCs w:val="11"/>
                <w:color w:val="auto"/>
              </w:rPr>
            </w:pPr>
          </w:p>
        </w:tc>
        <w:tc>
          <w:tcPr>
            <w:tcW w:w="1080" w:type="dxa"/>
            <w:vAlign w:val="bottom"/>
            <w:shd w:val="clear" w:color="auto" w:fill="CCEEFF"/>
          </w:tcPr>
          <w:p>
            <w:pPr>
              <w:ind w:left="20"/>
              <w:spacing w:after="0" w:line="135" w:lineRule="exact"/>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ind w:right="102"/>
              <w:spacing w:after="0" w:line="135" w:lineRule="exact"/>
              <w:rPr>
                <w:sz w:val="20"/>
                <w:szCs w:val="20"/>
                <w:color w:val="auto"/>
              </w:rPr>
            </w:pPr>
            <w:r>
              <w:rPr>
                <w:rFonts w:ascii="Arial" w:cs="Arial" w:eastAsia="Arial" w:hAnsi="Arial"/>
                <w:sz w:val="12"/>
                <w:szCs w:val="12"/>
                <w:color w:val="auto"/>
              </w:rPr>
              <w:t>3,500</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29,400</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542,155</w:t>
            </w:r>
          </w:p>
        </w:tc>
        <w:tc>
          <w:tcPr>
            <w:tcW w:w="0" w:type="dxa"/>
            <w:vAlign w:val="bottom"/>
          </w:tcPr>
          <w:p>
            <w:pPr>
              <w:spacing w:after="0"/>
              <w:rPr>
                <w:sz w:val="1"/>
                <w:szCs w:val="1"/>
                <w:color w:val="auto"/>
              </w:rPr>
            </w:pPr>
          </w:p>
        </w:tc>
      </w:tr>
      <w:tr>
        <w:trPr>
          <w:trHeight w:val="135"/>
        </w:trPr>
        <w:tc>
          <w:tcPr>
            <w:tcW w:w="3120" w:type="dxa"/>
            <w:vAlign w:val="bottom"/>
          </w:tcPr>
          <w:p>
            <w:pPr>
              <w:spacing w:after="0" w:line="135" w:lineRule="exact"/>
              <w:rPr>
                <w:sz w:val="20"/>
                <w:szCs w:val="20"/>
                <w:color w:val="auto"/>
              </w:rPr>
            </w:pPr>
            <w:r>
              <w:rPr>
                <w:rFonts w:ascii="Arial" w:cs="Arial" w:eastAsia="Arial" w:hAnsi="Arial"/>
                <w:sz w:val="12"/>
                <w:szCs w:val="12"/>
                <w:color w:val="auto"/>
              </w:rPr>
              <w:t>TZ Holdings, L.P.</w:t>
            </w:r>
          </w:p>
        </w:tc>
        <w:tc>
          <w:tcPr>
            <w:tcW w:w="820" w:type="dxa"/>
            <w:vAlign w:val="bottom"/>
          </w:tcPr>
          <w:p>
            <w:pPr>
              <w:jc w:val="center"/>
              <w:spacing w:after="0" w:line="135" w:lineRule="exact"/>
              <w:rPr>
                <w:sz w:val="20"/>
                <w:szCs w:val="20"/>
                <w:color w:val="auto"/>
              </w:rPr>
            </w:pPr>
            <w:r>
              <w:rPr>
                <w:rFonts w:ascii="Arial" w:cs="Arial" w:eastAsia="Arial" w:hAnsi="Arial"/>
                <w:sz w:val="12"/>
                <w:szCs w:val="12"/>
                <w:color w:val="auto"/>
                <w:w w:val="99"/>
              </w:rPr>
              <w:t>—</w:t>
            </w:r>
          </w:p>
        </w:tc>
        <w:tc>
          <w:tcPr>
            <w:tcW w:w="2100" w:type="dxa"/>
            <w:vAlign w:val="bottom"/>
          </w:tcPr>
          <w:p>
            <w:pPr>
              <w:jc w:val="center"/>
              <w:ind w:right="2"/>
              <w:spacing w:after="0" w:line="135" w:lineRule="exact"/>
              <w:rPr>
                <w:sz w:val="20"/>
                <w:szCs w:val="20"/>
                <w:color w:val="auto"/>
              </w:rPr>
            </w:pPr>
            <w:r>
              <w:rPr>
                <w:rFonts w:ascii="Arial" w:cs="Arial" w:eastAsia="Arial" w:hAnsi="Arial"/>
                <w:sz w:val="12"/>
                <w:szCs w:val="12"/>
                <w:color w:val="auto"/>
                <w:w w:val="83"/>
              </w:rPr>
              <w:t>Insurance</w:t>
            </w:r>
          </w:p>
        </w:tc>
        <w:tc>
          <w:tcPr>
            <w:tcW w:w="660" w:type="dxa"/>
            <w:vAlign w:val="bottom"/>
          </w:tcPr>
          <w:p>
            <w:pPr>
              <w:spacing w:after="0"/>
              <w:rPr>
                <w:sz w:val="11"/>
                <w:szCs w:val="11"/>
                <w:color w:val="auto"/>
              </w:rPr>
            </w:pPr>
          </w:p>
        </w:tc>
        <w:tc>
          <w:tcPr>
            <w:tcW w:w="1080" w:type="dxa"/>
            <w:vAlign w:val="bottom"/>
          </w:tcPr>
          <w:p>
            <w:pPr>
              <w:ind w:left="20"/>
              <w:spacing w:after="0" w:line="135" w:lineRule="exact"/>
              <w:rPr>
                <w:sz w:val="20"/>
                <w:szCs w:val="20"/>
                <w:color w:val="auto"/>
              </w:rPr>
            </w:pPr>
            <w:r>
              <w:rPr>
                <w:rFonts w:ascii="Arial" w:cs="Arial" w:eastAsia="Arial" w:hAnsi="Arial"/>
                <w:sz w:val="12"/>
                <w:szCs w:val="12"/>
                <w:color w:val="auto"/>
              </w:rPr>
              <w:t>—</w:t>
            </w:r>
          </w:p>
        </w:tc>
        <w:tc>
          <w:tcPr>
            <w:tcW w:w="320" w:type="dxa"/>
            <w:vAlign w:val="bottom"/>
          </w:tcPr>
          <w:p>
            <w:pPr>
              <w:spacing w:after="0" w:line="135" w:lineRule="exact"/>
              <w:rPr>
                <w:sz w:val="20"/>
                <w:szCs w:val="20"/>
                <w:color w:val="auto"/>
              </w:rPr>
            </w:pPr>
            <w:r>
              <w:rPr>
                <w:rFonts w:ascii="Arial" w:cs="Arial" w:eastAsia="Arial" w:hAnsi="Arial"/>
                <w:sz w:val="12"/>
                <w:szCs w:val="12"/>
                <w:color w:val="auto"/>
              </w:rPr>
              <w:t>—</w:t>
            </w:r>
          </w:p>
        </w:tc>
        <w:tc>
          <w:tcPr>
            <w:tcW w:w="900" w:type="dxa"/>
            <w:vAlign w:val="bottom"/>
          </w:tcPr>
          <w:p>
            <w:pPr>
              <w:jc w:val="right"/>
              <w:ind w:right="102"/>
              <w:spacing w:after="0" w:line="135" w:lineRule="exact"/>
              <w:rPr>
                <w:sz w:val="20"/>
                <w:szCs w:val="20"/>
                <w:color w:val="auto"/>
              </w:rPr>
            </w:pPr>
            <w:r>
              <w:rPr>
                <w:rFonts w:ascii="Arial" w:cs="Arial" w:eastAsia="Arial" w:hAnsi="Arial"/>
                <w:sz w:val="12"/>
                <w:szCs w:val="12"/>
                <w:color w:val="auto"/>
              </w:rPr>
              <w:t>2</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9,567</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1,819,448</w:t>
            </w:r>
          </w:p>
        </w:tc>
        <w:tc>
          <w:tcPr>
            <w:tcW w:w="0" w:type="dxa"/>
            <w:vAlign w:val="bottom"/>
          </w:tcPr>
          <w:p>
            <w:pPr>
              <w:spacing w:after="0"/>
              <w:rPr>
                <w:sz w:val="1"/>
                <w:szCs w:val="1"/>
                <w:color w:val="auto"/>
              </w:rPr>
            </w:pPr>
          </w:p>
        </w:tc>
      </w:tr>
      <w:tr>
        <w:trPr>
          <w:trHeight w:val="135"/>
        </w:trPr>
        <w:tc>
          <w:tcPr>
            <w:tcW w:w="31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Vestcom Parent Holdings, Inc.</w:t>
            </w:r>
          </w:p>
        </w:tc>
        <w:tc>
          <w:tcPr>
            <w:tcW w:w="82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9"/>
              </w:rPr>
              <w:t>—</w:t>
            </w:r>
          </w:p>
        </w:tc>
        <w:tc>
          <w:tcPr>
            <w:tcW w:w="21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Printing and Publishing</w:t>
            </w:r>
          </w:p>
        </w:tc>
        <w:tc>
          <w:tcPr>
            <w:tcW w:w="660" w:type="dxa"/>
            <w:vAlign w:val="bottom"/>
            <w:shd w:val="clear" w:color="auto" w:fill="CCEEFF"/>
          </w:tcPr>
          <w:p>
            <w:pPr>
              <w:spacing w:after="0"/>
              <w:rPr>
                <w:sz w:val="11"/>
                <w:szCs w:val="11"/>
                <w:color w:val="auto"/>
              </w:rPr>
            </w:pPr>
          </w:p>
        </w:tc>
        <w:tc>
          <w:tcPr>
            <w:tcW w:w="1080" w:type="dxa"/>
            <w:vAlign w:val="bottom"/>
            <w:shd w:val="clear" w:color="auto" w:fill="CCEEFF"/>
          </w:tcPr>
          <w:p>
            <w:pPr>
              <w:ind w:left="20"/>
              <w:spacing w:after="0" w:line="135" w:lineRule="exact"/>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ind w:right="102"/>
              <w:spacing w:after="0" w:line="135" w:lineRule="exact"/>
              <w:rPr>
                <w:sz w:val="20"/>
                <w:szCs w:val="20"/>
                <w:color w:val="auto"/>
              </w:rPr>
            </w:pPr>
            <w:r>
              <w:rPr>
                <w:rFonts w:ascii="Arial" w:cs="Arial" w:eastAsia="Arial" w:hAnsi="Arial"/>
                <w:sz w:val="12"/>
                <w:szCs w:val="12"/>
                <w:color w:val="auto"/>
              </w:rPr>
              <w:t>211,797</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793,873</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3,413,412</w:t>
            </w:r>
          </w:p>
        </w:tc>
        <w:tc>
          <w:tcPr>
            <w:tcW w:w="0" w:type="dxa"/>
            <w:vAlign w:val="bottom"/>
          </w:tcPr>
          <w:p>
            <w:pPr>
              <w:spacing w:after="0"/>
              <w:rPr>
                <w:sz w:val="1"/>
                <w:szCs w:val="1"/>
                <w:color w:val="auto"/>
              </w:rPr>
            </w:pPr>
          </w:p>
        </w:tc>
      </w:tr>
      <w:tr>
        <w:trPr>
          <w:trHeight w:val="135"/>
        </w:trPr>
        <w:tc>
          <w:tcPr>
            <w:tcW w:w="3120" w:type="dxa"/>
            <w:vAlign w:val="bottom"/>
          </w:tcPr>
          <w:p>
            <w:pPr>
              <w:spacing w:after="0" w:line="135" w:lineRule="exact"/>
              <w:rPr>
                <w:sz w:val="20"/>
                <w:szCs w:val="20"/>
                <w:color w:val="auto"/>
              </w:rPr>
            </w:pPr>
            <w:r>
              <w:rPr>
                <w:rFonts w:ascii="Arial" w:cs="Arial" w:eastAsia="Arial" w:hAnsi="Arial"/>
                <w:sz w:val="12"/>
                <w:szCs w:val="12"/>
                <w:color w:val="auto"/>
              </w:rPr>
              <w:t>VText Holdings, Inc.</w:t>
            </w:r>
          </w:p>
        </w:tc>
        <w:tc>
          <w:tcPr>
            <w:tcW w:w="820" w:type="dxa"/>
            <w:vAlign w:val="bottom"/>
          </w:tcPr>
          <w:p>
            <w:pPr>
              <w:jc w:val="center"/>
              <w:spacing w:after="0" w:line="135" w:lineRule="exact"/>
              <w:rPr>
                <w:sz w:val="20"/>
                <w:szCs w:val="20"/>
                <w:color w:val="auto"/>
              </w:rPr>
            </w:pPr>
            <w:r>
              <w:rPr>
                <w:rFonts w:ascii="Arial" w:cs="Arial" w:eastAsia="Arial" w:hAnsi="Arial"/>
                <w:sz w:val="12"/>
                <w:szCs w:val="12"/>
                <w:color w:val="auto"/>
                <w:w w:val="99"/>
              </w:rPr>
              <w:t>—</w:t>
            </w:r>
          </w:p>
        </w:tc>
        <w:tc>
          <w:tcPr>
            <w:tcW w:w="2100" w:type="dxa"/>
            <w:vAlign w:val="bottom"/>
          </w:tcPr>
          <w:p>
            <w:pPr>
              <w:jc w:val="center"/>
              <w:ind w:right="2"/>
              <w:spacing w:after="0" w:line="135" w:lineRule="exact"/>
              <w:rPr>
                <w:sz w:val="20"/>
                <w:szCs w:val="20"/>
                <w:color w:val="auto"/>
              </w:rPr>
            </w:pPr>
            <w:r>
              <w:rPr>
                <w:rFonts w:ascii="Arial" w:cs="Arial" w:eastAsia="Arial" w:hAnsi="Arial"/>
                <w:sz w:val="12"/>
                <w:szCs w:val="12"/>
                <w:color w:val="auto"/>
                <w:w w:val="85"/>
              </w:rPr>
              <w:t>Business Services</w:t>
            </w:r>
          </w:p>
        </w:tc>
        <w:tc>
          <w:tcPr>
            <w:tcW w:w="660" w:type="dxa"/>
            <w:vAlign w:val="bottom"/>
          </w:tcPr>
          <w:p>
            <w:pPr>
              <w:spacing w:after="0"/>
              <w:rPr>
                <w:sz w:val="11"/>
                <w:szCs w:val="11"/>
                <w:color w:val="auto"/>
              </w:rPr>
            </w:pPr>
          </w:p>
        </w:tc>
        <w:tc>
          <w:tcPr>
            <w:tcW w:w="1080" w:type="dxa"/>
            <w:vAlign w:val="bottom"/>
          </w:tcPr>
          <w:p>
            <w:pPr>
              <w:ind w:left="20"/>
              <w:spacing w:after="0" w:line="135" w:lineRule="exact"/>
              <w:rPr>
                <w:sz w:val="20"/>
                <w:szCs w:val="20"/>
                <w:color w:val="auto"/>
              </w:rPr>
            </w:pPr>
            <w:r>
              <w:rPr>
                <w:rFonts w:ascii="Arial" w:cs="Arial" w:eastAsia="Arial" w:hAnsi="Arial"/>
                <w:sz w:val="12"/>
                <w:szCs w:val="12"/>
                <w:color w:val="auto"/>
              </w:rPr>
              <w:t>—</w:t>
            </w:r>
          </w:p>
        </w:tc>
        <w:tc>
          <w:tcPr>
            <w:tcW w:w="320" w:type="dxa"/>
            <w:vAlign w:val="bottom"/>
          </w:tcPr>
          <w:p>
            <w:pPr>
              <w:spacing w:after="0" w:line="135" w:lineRule="exact"/>
              <w:rPr>
                <w:sz w:val="20"/>
                <w:szCs w:val="20"/>
                <w:color w:val="auto"/>
              </w:rPr>
            </w:pPr>
            <w:r>
              <w:rPr>
                <w:rFonts w:ascii="Arial" w:cs="Arial" w:eastAsia="Arial" w:hAnsi="Arial"/>
                <w:sz w:val="12"/>
                <w:szCs w:val="12"/>
                <w:color w:val="auto"/>
              </w:rPr>
              <w:t>—</w:t>
            </w:r>
          </w:p>
        </w:tc>
        <w:tc>
          <w:tcPr>
            <w:tcW w:w="900" w:type="dxa"/>
            <w:vAlign w:val="bottom"/>
          </w:tcPr>
          <w:p>
            <w:pPr>
              <w:jc w:val="right"/>
              <w:ind w:right="102"/>
              <w:spacing w:after="0" w:line="135" w:lineRule="exact"/>
              <w:rPr>
                <w:sz w:val="20"/>
                <w:szCs w:val="20"/>
                <w:color w:val="auto"/>
              </w:rPr>
            </w:pPr>
            <w:r>
              <w:rPr>
                <w:rFonts w:ascii="Arial" w:cs="Arial" w:eastAsia="Arial" w:hAnsi="Arial"/>
                <w:sz w:val="12"/>
                <w:szCs w:val="12"/>
                <w:color w:val="auto"/>
              </w:rPr>
              <w:t>35,526</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4,050,000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4,135,148</w:t>
            </w:r>
          </w:p>
        </w:tc>
        <w:tc>
          <w:tcPr>
            <w:tcW w:w="0" w:type="dxa"/>
            <w:vAlign w:val="bottom"/>
          </w:tcPr>
          <w:p>
            <w:pPr>
              <w:spacing w:after="0"/>
              <w:rPr>
                <w:sz w:val="1"/>
                <w:szCs w:val="1"/>
                <w:color w:val="auto"/>
              </w:rPr>
            </w:pPr>
          </w:p>
        </w:tc>
      </w:tr>
      <w:tr>
        <w:trPr>
          <w:trHeight w:val="135"/>
        </w:trPr>
        <w:tc>
          <w:tcPr>
            <w:tcW w:w="31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Z Wireless Holdings, Inc. (Warrants)</w:t>
            </w:r>
          </w:p>
        </w:tc>
        <w:tc>
          <w:tcPr>
            <w:tcW w:w="82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10/21/2021</w:t>
            </w:r>
          </w:p>
        </w:tc>
        <w:tc>
          <w:tcPr>
            <w:tcW w:w="2100" w:type="dxa"/>
            <w:vAlign w:val="bottom"/>
            <w:shd w:val="clear" w:color="auto" w:fill="CCEEFF"/>
          </w:tcPr>
          <w:p>
            <w:pPr>
              <w:jc w:val="center"/>
              <w:ind w:right="2"/>
              <w:spacing w:after="0" w:line="135" w:lineRule="exact"/>
              <w:rPr>
                <w:sz w:val="20"/>
                <w:szCs w:val="20"/>
                <w:color w:val="auto"/>
              </w:rPr>
            </w:pPr>
            <w:r>
              <w:rPr>
                <w:rFonts w:ascii="Arial" w:cs="Arial" w:eastAsia="Arial" w:hAnsi="Arial"/>
                <w:sz w:val="12"/>
                <w:szCs w:val="12"/>
                <w:color w:val="auto"/>
                <w:w w:val="91"/>
              </w:rPr>
              <w:t>Retail</w:t>
            </w:r>
          </w:p>
        </w:tc>
        <w:tc>
          <w:tcPr>
            <w:tcW w:w="660" w:type="dxa"/>
            <w:vAlign w:val="bottom"/>
            <w:shd w:val="clear" w:color="auto" w:fill="CCEEFF"/>
          </w:tcPr>
          <w:p>
            <w:pPr>
              <w:spacing w:after="0"/>
              <w:rPr>
                <w:sz w:val="11"/>
                <w:szCs w:val="11"/>
                <w:color w:val="auto"/>
              </w:rPr>
            </w:pPr>
          </w:p>
        </w:tc>
        <w:tc>
          <w:tcPr>
            <w:tcW w:w="1080" w:type="dxa"/>
            <w:vAlign w:val="bottom"/>
            <w:shd w:val="clear" w:color="auto" w:fill="CCEEFF"/>
          </w:tcPr>
          <w:p>
            <w:pPr>
              <w:ind w:left="20"/>
              <w:spacing w:after="0" w:line="135" w:lineRule="exact"/>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ind w:right="102"/>
              <w:spacing w:after="0" w:line="135" w:lineRule="exact"/>
              <w:rPr>
                <w:sz w:val="20"/>
                <w:szCs w:val="20"/>
                <w:color w:val="auto"/>
              </w:rPr>
            </w:pPr>
            <w:r>
              <w:rPr>
                <w:rFonts w:ascii="Arial" w:cs="Arial" w:eastAsia="Arial" w:hAnsi="Arial"/>
                <w:sz w:val="12"/>
                <w:szCs w:val="12"/>
                <w:color w:val="auto"/>
              </w:rPr>
              <w:t>1,736</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168,799</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457,020</w:t>
            </w:r>
          </w:p>
        </w:tc>
        <w:tc>
          <w:tcPr>
            <w:tcW w:w="0" w:type="dxa"/>
            <w:vAlign w:val="bottom"/>
          </w:tcPr>
          <w:p>
            <w:pPr>
              <w:spacing w:after="0"/>
              <w:rPr>
                <w:sz w:val="1"/>
                <w:szCs w:val="1"/>
                <w:color w:val="auto"/>
              </w:rPr>
            </w:pPr>
          </w:p>
        </w:tc>
      </w:tr>
      <w:tr>
        <w:trPr>
          <w:trHeight w:val="20"/>
        </w:trPr>
        <w:tc>
          <w:tcPr>
            <w:tcW w:w="3120" w:type="dxa"/>
            <w:vAlign w:val="bottom"/>
            <w:vMerge w:val="restart"/>
          </w:tcPr>
          <w:p>
            <w:pPr>
              <w:spacing w:after="0"/>
              <w:rPr>
                <w:sz w:val="20"/>
                <w:szCs w:val="20"/>
                <w:color w:val="auto"/>
              </w:rPr>
            </w:pPr>
            <w:r>
              <w:rPr>
                <w:rFonts w:ascii="Arial" w:cs="Arial" w:eastAsia="Arial" w:hAnsi="Arial"/>
                <w:sz w:val="12"/>
                <w:szCs w:val="12"/>
                <w:b w:val="1"/>
                <w:bCs w:val="1"/>
                <w:color w:val="auto"/>
              </w:rPr>
              <w:t>Total Common Equity/Partnership Interests/Warrants</w:t>
            </w:r>
          </w:p>
        </w:tc>
        <w:tc>
          <w:tcPr>
            <w:tcW w:w="8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120" w:type="dxa"/>
            <w:vAlign w:val="bottom"/>
            <w:vMerge w:val="continue"/>
          </w:tcPr>
          <w:p>
            <w:pPr>
              <w:spacing w:after="0"/>
              <w:rPr>
                <w:sz w:val="12"/>
                <w:szCs w:val="12"/>
                <w:color w:val="auto"/>
              </w:rPr>
            </w:pPr>
          </w:p>
        </w:tc>
        <w:tc>
          <w:tcPr>
            <w:tcW w:w="8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46,441,982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75,006,097</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394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b w:val="1"/>
                <w:bCs w:val="1"/>
                <w:color w:val="auto"/>
                <w:w w:val="94"/>
              </w:rPr>
              <w:t>Total Investments in Non-Controlled, Non-Affiliated Portfolio Companies</w:t>
            </w:r>
          </w:p>
        </w:tc>
        <w:tc>
          <w:tcPr>
            <w:tcW w:w="2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w w:val="85"/>
              </w:rPr>
              <w:t>1,171,573,359</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w w:val="83"/>
              </w:rPr>
              <w:t>1,212,515,400</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219"/>
        <w:spacing w:after="0"/>
        <w:rPr>
          <w:sz w:val="20"/>
          <w:szCs w:val="20"/>
          <w:color w:val="auto"/>
        </w:rPr>
      </w:pPr>
      <w:r>
        <w:rPr>
          <w:rFonts w:ascii="Arial" w:cs="Arial" w:eastAsia="Arial" w:hAnsi="Arial"/>
          <w:sz w:val="15"/>
          <w:szCs w:val="15"/>
          <w:color w:val="auto"/>
        </w:rPr>
        <w:t>SEE NOTES TO CONSOLIDATED FINANCIAL STATEMENTS</w:t>
      </w:r>
    </w:p>
    <w:p>
      <w:pPr>
        <w:spacing w:after="0" w:line="133"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020"/>
          </w:cols>
          <w:pgMar w:left="320" w:top="459" w:right="5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ind w:right="-59"/>
        <w:spacing w:after="0" w:line="226" w:lineRule="auto"/>
        <w:rPr>
          <w:sz w:val="20"/>
          <w:szCs w:val="20"/>
          <w:color w:val="auto"/>
        </w:rPr>
      </w:pPr>
      <w:r>
        <w:rPr>
          <w:rFonts w:ascii="Arial" w:cs="Arial" w:eastAsia="Arial" w:hAnsi="Arial"/>
          <w:sz w:val="14"/>
          <w:szCs w:val="14"/>
          <w:b w:val="1"/>
          <w:bCs w:val="1"/>
          <w:color w:val="auto"/>
        </w:rPr>
        <w:t>CONSOLIDATED SCHEDULE OF INVESTMENTS – (Continued)</w:t>
      </w:r>
    </w:p>
    <w:p>
      <w:pPr>
        <w:jc w:val="center"/>
        <w:ind w:right="-59"/>
        <w:spacing w:after="0"/>
        <w:rPr>
          <w:sz w:val="20"/>
          <w:szCs w:val="20"/>
          <w:color w:val="auto"/>
        </w:rPr>
      </w:pPr>
      <w:r>
        <w:rPr>
          <w:rFonts w:ascii="Arial" w:cs="Arial" w:eastAsia="Arial" w:hAnsi="Arial"/>
          <w:sz w:val="14"/>
          <w:szCs w:val="14"/>
          <w:b w:val="1"/>
          <w:bCs w:val="1"/>
          <w:color w:val="auto"/>
        </w:rPr>
        <w:t>SEPTEMBER 30, 2014</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5"/>
              </w:rPr>
              <w:t>Basis Point</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w w:val="88"/>
              </w:rPr>
              <w:t>Spread</w:t>
            </w: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80" w:type="dxa"/>
            <w:vAlign w:val="bottom"/>
            <w:vMerge w:val="restart"/>
          </w:tcPr>
          <w:p>
            <w:pPr>
              <w:spacing w:after="0"/>
              <w:rPr>
                <w:sz w:val="20"/>
                <w:szCs w:val="20"/>
                <w:color w:val="auto"/>
              </w:rPr>
            </w:pPr>
            <w:r>
              <w:rPr>
                <w:rFonts w:ascii="Arial" w:cs="Arial" w:eastAsia="Arial" w:hAnsi="Arial"/>
                <w:sz w:val="12"/>
                <w:szCs w:val="12"/>
                <w:b w:val="1"/>
                <w:bCs w:val="1"/>
                <w:color w:val="auto"/>
              </w:rPr>
              <w:t>Issuer Name</w:t>
            </w:r>
          </w:p>
        </w:tc>
        <w:tc>
          <w:tcPr>
            <w:tcW w:w="8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Maturity /</w:t>
            </w:r>
          </w:p>
        </w:tc>
        <w:tc>
          <w:tcPr>
            <w:tcW w:w="2060" w:type="dxa"/>
            <w:vAlign w:val="bottom"/>
            <w:gridSpan w:val="2"/>
            <w:vMerge w:val="restart"/>
          </w:tcPr>
          <w:p>
            <w:pPr>
              <w:jc w:val="center"/>
              <w:ind w:right="100"/>
              <w:spacing w:after="0"/>
              <w:rPr>
                <w:sz w:val="20"/>
                <w:szCs w:val="20"/>
                <w:color w:val="auto"/>
              </w:rPr>
            </w:pPr>
            <w:r>
              <w:rPr>
                <w:rFonts w:ascii="Arial" w:cs="Arial" w:eastAsia="Arial" w:hAnsi="Arial"/>
                <w:sz w:val="12"/>
                <w:szCs w:val="12"/>
                <w:b w:val="1"/>
                <w:bCs w:val="1"/>
                <w:color w:val="auto"/>
                <w:w w:val="92"/>
              </w:rPr>
              <w:t>Industry</w:t>
            </w:r>
          </w:p>
        </w:tc>
        <w:tc>
          <w:tcPr>
            <w:tcW w:w="1140" w:type="dxa"/>
            <w:vAlign w:val="bottom"/>
            <w:gridSpan w:val="2"/>
          </w:tcPr>
          <w:p>
            <w:pPr>
              <w:jc w:val="right"/>
              <w:ind w:right="560"/>
              <w:spacing w:after="0" w:line="135" w:lineRule="exact"/>
              <w:rPr>
                <w:sz w:val="20"/>
                <w:szCs w:val="20"/>
                <w:color w:val="auto"/>
              </w:rPr>
            </w:pPr>
            <w:r>
              <w:rPr>
                <w:rFonts w:ascii="Arial" w:cs="Arial" w:eastAsia="Arial" w:hAnsi="Arial"/>
                <w:sz w:val="12"/>
                <w:szCs w:val="12"/>
                <w:b w:val="1"/>
                <w:bCs w:val="1"/>
                <w:color w:val="auto"/>
              </w:rPr>
              <w:t>Current</w:t>
            </w:r>
          </w:p>
        </w:tc>
        <w:tc>
          <w:tcPr>
            <w:tcW w:w="100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w w:val="87"/>
              </w:rPr>
              <w:t>Above</w:t>
            </w:r>
          </w:p>
        </w:tc>
        <w:tc>
          <w:tcPr>
            <w:tcW w:w="880" w:type="dxa"/>
            <w:vAlign w:val="bottom"/>
            <w:gridSpan w:val="2"/>
          </w:tcPr>
          <w:p>
            <w:pPr>
              <w:jc w:val="right"/>
              <w:ind w:right="420"/>
              <w:spacing w:after="0" w:line="135" w:lineRule="exact"/>
              <w:rPr>
                <w:sz w:val="20"/>
                <w:szCs w:val="20"/>
                <w:color w:val="auto"/>
              </w:rPr>
            </w:pPr>
            <w:r>
              <w:rPr>
                <w:rFonts w:ascii="Arial" w:cs="Arial" w:eastAsia="Arial" w:hAnsi="Arial"/>
                <w:sz w:val="12"/>
                <w:szCs w:val="12"/>
                <w:b w:val="1"/>
                <w:bCs w:val="1"/>
                <w:color w:val="auto"/>
              </w:rPr>
              <w:t>Par /</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3280" w:type="dxa"/>
            <w:vAlign w:val="bottom"/>
            <w:vMerge w:val="continue"/>
          </w:tcPr>
          <w:p>
            <w:pPr>
              <w:spacing w:after="0"/>
              <w:rPr>
                <w:sz w:val="12"/>
                <w:szCs w:val="12"/>
                <w:color w:val="auto"/>
              </w:rPr>
            </w:pP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Expiration</w:t>
            </w:r>
          </w:p>
        </w:tc>
        <w:tc>
          <w:tcPr>
            <w:tcW w:w="2060" w:type="dxa"/>
            <w:vAlign w:val="bottom"/>
            <w:gridSpan w:val="2"/>
            <w:vMerge w:val="continue"/>
          </w:tcPr>
          <w:p>
            <w:pPr>
              <w:spacing w:after="0"/>
              <w:rPr>
                <w:sz w:val="12"/>
                <w:szCs w:val="12"/>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2"/>
                <w:szCs w:val="12"/>
                <w:b w:val="1"/>
                <w:bCs w:val="1"/>
                <w:color w:val="auto"/>
              </w:rPr>
              <w:t>Coupon</w:t>
            </w:r>
          </w:p>
        </w:tc>
        <w:tc>
          <w:tcPr>
            <w:tcW w:w="10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6"/>
              </w:rPr>
              <w:t xml:space="preserve">Index </w:t>
            </w:r>
            <w:r>
              <w:rPr>
                <w:rFonts w:ascii="Arial" w:cs="Arial" w:eastAsia="Arial" w:hAnsi="Arial"/>
                <w:sz w:val="9"/>
                <w:szCs w:val="9"/>
                <w:b w:val="1"/>
                <w:bCs w:val="1"/>
                <w:color w:val="auto"/>
                <w:w w:val="96"/>
              </w:rPr>
              <w:t>(4)</w:t>
            </w:r>
          </w:p>
        </w:tc>
        <w:tc>
          <w:tcPr>
            <w:tcW w:w="880" w:type="dxa"/>
            <w:vAlign w:val="bottom"/>
            <w:gridSpan w:val="2"/>
          </w:tcPr>
          <w:p>
            <w:pPr>
              <w:jc w:val="right"/>
              <w:ind w:right="38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2"/>
                <w:szCs w:val="12"/>
                <w:color w:val="auto"/>
              </w:rPr>
            </w:pPr>
          </w:p>
        </w:tc>
        <w:tc>
          <w:tcPr>
            <w:tcW w:w="920" w:type="dxa"/>
            <w:vAlign w:val="bottom"/>
            <w:gridSpan w:val="2"/>
          </w:tcPr>
          <w:p>
            <w:pPr>
              <w:ind w:left="180"/>
              <w:spacing w:after="0"/>
              <w:rPr>
                <w:sz w:val="20"/>
                <w:szCs w:val="20"/>
                <w:color w:val="auto"/>
              </w:rPr>
            </w:pPr>
            <w:r>
              <w:rPr>
                <w:rFonts w:ascii="Arial" w:cs="Arial" w:eastAsia="Arial" w:hAnsi="Arial"/>
                <w:sz w:val="12"/>
                <w:szCs w:val="12"/>
                <w:b w:val="1"/>
                <w:bCs w:val="1"/>
                <w:color w:val="auto"/>
              </w:rPr>
              <w:t>Cost</w:t>
            </w:r>
          </w:p>
        </w:tc>
        <w:tc>
          <w:tcPr>
            <w:tcW w:w="840" w:type="dxa"/>
            <w:vAlign w:val="bottom"/>
            <w:gridSpan w:val="3"/>
          </w:tcPr>
          <w:p>
            <w:pPr>
              <w:jc w:val="right"/>
              <w:ind w:right="120"/>
              <w:spacing w:after="0"/>
              <w:rPr>
                <w:sz w:val="20"/>
                <w:szCs w:val="20"/>
                <w:color w:val="auto"/>
              </w:rPr>
            </w:pPr>
            <w:r>
              <w:rPr>
                <w:rFonts w:ascii="Arial" w:cs="Arial" w:eastAsia="Arial" w:hAnsi="Arial"/>
                <w:sz w:val="12"/>
                <w:szCs w:val="12"/>
                <w:b w:val="1"/>
                <w:bCs w:val="1"/>
                <w:color w:val="auto"/>
                <w:w w:val="97"/>
              </w:rPr>
              <w:t xml:space="preserve">Fair Value </w:t>
            </w:r>
            <w:r>
              <w:rPr>
                <w:rFonts w:ascii="Arial" w:cs="Arial" w:eastAsia="Arial" w:hAnsi="Arial"/>
                <w:sz w:val="9"/>
                <w:szCs w:val="9"/>
                <w:b w:val="1"/>
                <w:bCs w:val="1"/>
                <w:color w:val="auto"/>
                <w:w w:val="97"/>
              </w:rPr>
              <w:t>(3)</w:t>
            </w:r>
          </w:p>
        </w:tc>
        <w:tc>
          <w:tcPr>
            <w:tcW w:w="0" w:type="dxa"/>
            <w:vAlign w:val="bottom"/>
          </w:tcPr>
          <w:p>
            <w:pPr>
              <w:spacing w:after="0"/>
              <w:rPr>
                <w:sz w:val="1"/>
                <w:szCs w:val="1"/>
                <w:color w:val="auto"/>
              </w:rPr>
            </w:pPr>
          </w:p>
        </w:tc>
      </w:tr>
      <w:tr>
        <w:trPr>
          <w:trHeight w:val="128"/>
        </w:trPr>
        <w:tc>
          <w:tcPr>
            <w:tcW w:w="4100" w:type="dxa"/>
            <w:vAlign w:val="bottom"/>
            <w:tcBorders>
              <w:top w:val="single" w:sz="8" w:color="auto"/>
            </w:tcBorders>
            <w:gridSpan w:val="2"/>
            <w:shd w:val="clear" w:color="auto" w:fill="CCEEFF"/>
          </w:tcPr>
          <w:p>
            <w:pPr>
              <w:spacing w:after="0" w:line="129" w:lineRule="exact"/>
              <w:rPr>
                <w:sz w:val="20"/>
                <w:szCs w:val="20"/>
                <w:color w:val="auto"/>
              </w:rPr>
            </w:pPr>
            <w:r>
              <w:rPr>
                <w:rFonts w:ascii="Arial" w:cs="Arial" w:eastAsia="Arial" w:hAnsi="Arial"/>
                <w:sz w:val="12"/>
                <w:szCs w:val="12"/>
                <w:b w:val="1"/>
                <w:bCs w:val="1"/>
                <w:color w:val="auto"/>
                <w:w w:val="96"/>
              </w:rPr>
              <w:t xml:space="preserve">Investments in Non-Controlled, Affiliated Portfolio Companies—8.2% </w:t>
            </w:r>
            <w:r>
              <w:rPr>
                <w:rFonts w:ascii="Arial" w:cs="Arial" w:eastAsia="Arial" w:hAnsi="Arial"/>
                <w:sz w:val="9"/>
                <w:szCs w:val="9"/>
                <w:b w:val="1"/>
                <w:bCs w:val="1"/>
                <w:color w:val="auto"/>
                <w:w w:val="96"/>
              </w:rPr>
              <w:t>(1), (2)</w:t>
            </w:r>
          </w:p>
        </w:tc>
        <w:tc>
          <w:tcPr>
            <w:tcW w:w="19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80" w:type="dxa"/>
            <w:vAlign w:val="bottom"/>
          </w:tcPr>
          <w:p>
            <w:pPr>
              <w:spacing w:after="0" w:line="135" w:lineRule="exact"/>
              <w:rPr>
                <w:sz w:val="20"/>
                <w:szCs w:val="20"/>
                <w:color w:val="auto"/>
              </w:rPr>
            </w:pPr>
            <w:r>
              <w:rPr>
                <w:rFonts w:ascii="Arial" w:cs="Arial" w:eastAsia="Arial" w:hAnsi="Arial"/>
                <w:sz w:val="12"/>
                <w:szCs w:val="12"/>
                <w:b w:val="1"/>
                <w:bCs w:val="1"/>
                <w:color w:val="auto"/>
              </w:rPr>
              <w:t>Second Lien Secured Debt—1.1%</w:t>
            </w:r>
          </w:p>
        </w:tc>
        <w:tc>
          <w:tcPr>
            <w:tcW w:w="8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EnviroSolutions Real Property Holdings, Inc.</w:t>
            </w:r>
          </w:p>
        </w:tc>
        <w:tc>
          <w:tcPr>
            <w:tcW w:w="820" w:type="dxa"/>
            <w:vAlign w:val="bottom"/>
            <w:shd w:val="clear" w:color="auto" w:fill="CCEEFF"/>
          </w:tcPr>
          <w:p>
            <w:pPr>
              <w:jc w:val="center"/>
              <w:ind w:right="2"/>
              <w:spacing w:after="0" w:line="135" w:lineRule="exact"/>
              <w:rPr>
                <w:sz w:val="20"/>
                <w:szCs w:val="20"/>
                <w:color w:val="auto"/>
              </w:rPr>
            </w:pPr>
            <w:r>
              <w:rPr>
                <w:rFonts w:ascii="Arial" w:cs="Arial" w:eastAsia="Arial" w:hAnsi="Arial"/>
                <w:sz w:val="12"/>
                <w:szCs w:val="12"/>
                <w:color w:val="auto"/>
                <w:w w:val="86"/>
              </w:rPr>
              <w:t>12/26/2017</w:t>
            </w:r>
          </w:p>
        </w:tc>
        <w:tc>
          <w:tcPr>
            <w:tcW w:w="206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8"/>
              </w:rPr>
              <w:t>Environmental Services</w:t>
            </w:r>
          </w:p>
        </w:tc>
        <w:tc>
          <w:tcPr>
            <w:tcW w:w="114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9.00%</w:t>
            </w:r>
          </w:p>
        </w:tc>
        <w:tc>
          <w:tcPr>
            <w:tcW w:w="10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L+800</w:t>
            </w:r>
          </w:p>
        </w:tc>
        <w:tc>
          <w:tcPr>
            <w:tcW w:w="8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9,409,740</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9,171,387</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9,127,448</w:t>
            </w:r>
          </w:p>
        </w:tc>
        <w:tc>
          <w:tcPr>
            <w:tcW w:w="0" w:type="dxa"/>
            <w:vAlign w:val="bottom"/>
          </w:tcPr>
          <w:p>
            <w:pPr>
              <w:spacing w:after="0"/>
              <w:rPr>
                <w:sz w:val="1"/>
                <w:szCs w:val="1"/>
                <w:color w:val="auto"/>
              </w:rPr>
            </w:pPr>
          </w:p>
        </w:tc>
      </w:tr>
      <w:tr>
        <w:trPr>
          <w:trHeight w:val="142"/>
        </w:trPr>
        <w:tc>
          <w:tcPr>
            <w:tcW w:w="3280" w:type="dxa"/>
            <w:vAlign w:val="bottom"/>
          </w:tcPr>
          <w:p>
            <w:pPr>
              <w:spacing w:after="0"/>
              <w:rPr>
                <w:sz w:val="20"/>
                <w:szCs w:val="20"/>
                <w:color w:val="auto"/>
              </w:rPr>
            </w:pPr>
            <w:r>
              <w:rPr>
                <w:rFonts w:ascii="Arial" w:cs="Arial" w:eastAsia="Arial" w:hAnsi="Arial"/>
                <w:sz w:val="12"/>
                <w:szCs w:val="12"/>
                <w:b w:val="1"/>
                <w:bCs w:val="1"/>
                <w:color w:val="auto"/>
              </w:rPr>
              <w:t>Subordinated Debt/Corporate Notes—4.8%</w:t>
            </w:r>
          </w:p>
        </w:tc>
        <w:tc>
          <w:tcPr>
            <w:tcW w:w="8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28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DirectBuy Holdings, Inc.</w:t>
            </w:r>
          </w:p>
        </w:tc>
        <w:tc>
          <w:tcPr>
            <w:tcW w:w="820" w:type="dxa"/>
            <w:vAlign w:val="bottom"/>
            <w:shd w:val="clear" w:color="auto" w:fill="CCEEFF"/>
          </w:tcPr>
          <w:p>
            <w:pPr>
              <w:jc w:val="center"/>
              <w:ind w:right="2"/>
              <w:spacing w:after="0" w:line="129" w:lineRule="exact"/>
              <w:rPr>
                <w:sz w:val="20"/>
                <w:szCs w:val="20"/>
                <w:color w:val="auto"/>
              </w:rPr>
            </w:pPr>
            <w:r>
              <w:rPr>
                <w:rFonts w:ascii="Arial" w:cs="Arial" w:eastAsia="Arial" w:hAnsi="Arial"/>
                <w:sz w:val="12"/>
                <w:szCs w:val="12"/>
                <w:color w:val="auto"/>
                <w:w w:val="86"/>
              </w:rPr>
              <w:t>11/05/2019</w:t>
            </w:r>
          </w:p>
        </w:tc>
        <w:tc>
          <w:tcPr>
            <w:tcW w:w="2060" w:type="dxa"/>
            <w:vAlign w:val="bottom"/>
            <w:gridSpan w:val="2"/>
            <w:shd w:val="clear" w:color="auto" w:fill="CCEEFF"/>
          </w:tcPr>
          <w:p>
            <w:pPr>
              <w:jc w:val="center"/>
              <w:ind w:right="100"/>
              <w:spacing w:after="0" w:line="129" w:lineRule="exact"/>
              <w:rPr>
                <w:sz w:val="20"/>
                <w:szCs w:val="20"/>
                <w:color w:val="auto"/>
              </w:rPr>
            </w:pPr>
            <w:r>
              <w:rPr>
                <w:rFonts w:ascii="Arial" w:cs="Arial" w:eastAsia="Arial" w:hAnsi="Arial"/>
                <w:sz w:val="12"/>
                <w:szCs w:val="12"/>
                <w:color w:val="auto"/>
                <w:w w:val="86"/>
              </w:rPr>
              <w:t>Consumer Products</w:t>
            </w:r>
          </w:p>
        </w:tc>
        <w:tc>
          <w:tcPr>
            <w:tcW w:w="1140" w:type="dxa"/>
            <w:vAlign w:val="bottom"/>
            <w:gridSpan w:val="2"/>
            <w:shd w:val="clear" w:color="auto" w:fill="CCEEFF"/>
          </w:tcPr>
          <w:p>
            <w:pPr>
              <w:jc w:val="right"/>
              <w:ind w:right="380"/>
              <w:spacing w:after="0" w:line="129" w:lineRule="exact"/>
              <w:rPr>
                <w:sz w:val="20"/>
                <w:szCs w:val="20"/>
                <w:color w:val="auto"/>
              </w:rPr>
            </w:pPr>
            <w:r>
              <w:rPr>
                <w:rFonts w:ascii="Arial" w:cs="Arial" w:eastAsia="Arial" w:hAnsi="Arial"/>
                <w:sz w:val="12"/>
                <w:szCs w:val="12"/>
                <w:color w:val="auto"/>
              </w:rPr>
              <w:t>12.00</w:t>
            </w:r>
          </w:p>
        </w:tc>
        <w:tc>
          <w:tcPr>
            <w:tcW w:w="1000" w:type="dxa"/>
            <w:vAlign w:val="bottom"/>
            <w:gridSpan w:val="2"/>
            <w:shd w:val="clear" w:color="auto" w:fill="CCEEFF"/>
          </w:tcPr>
          <w:p>
            <w:pPr>
              <w:jc w:val="right"/>
              <w:ind w:right="200"/>
              <w:spacing w:after="0" w:line="129" w:lineRule="exact"/>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jc w:val="right"/>
              <w:ind w:right="200"/>
              <w:spacing w:after="0" w:line="129" w:lineRule="exact"/>
              <w:rPr>
                <w:sz w:val="20"/>
                <w:szCs w:val="20"/>
                <w:color w:val="auto"/>
              </w:rPr>
            </w:pPr>
            <w:r>
              <w:rPr>
                <w:rFonts w:ascii="Arial" w:cs="Arial" w:eastAsia="Arial" w:hAnsi="Arial"/>
                <w:sz w:val="12"/>
                <w:szCs w:val="12"/>
                <w:color w:val="auto"/>
              </w:rPr>
              <w:t>11,632,136</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240"/>
              <w:spacing w:after="0" w:line="129" w:lineRule="exact"/>
              <w:rPr>
                <w:sz w:val="20"/>
                <w:szCs w:val="20"/>
                <w:color w:val="auto"/>
              </w:rPr>
            </w:pPr>
            <w:r>
              <w:rPr>
                <w:rFonts w:ascii="Arial" w:cs="Arial" w:eastAsia="Arial" w:hAnsi="Arial"/>
                <w:sz w:val="12"/>
                <w:szCs w:val="12"/>
                <w:color w:val="auto"/>
              </w:rPr>
              <w:t>11,632,137</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2"/>
                <w:szCs w:val="12"/>
                <w:color w:val="auto"/>
              </w:rPr>
              <w:t>11,283,172</w:t>
            </w:r>
          </w:p>
        </w:tc>
        <w:tc>
          <w:tcPr>
            <w:tcW w:w="0" w:type="dxa"/>
            <w:vAlign w:val="bottom"/>
          </w:tcPr>
          <w:p>
            <w:pPr>
              <w:spacing w:after="0"/>
              <w:rPr>
                <w:sz w:val="1"/>
                <w:szCs w:val="1"/>
                <w:color w:val="auto"/>
              </w:rPr>
            </w:pPr>
          </w:p>
        </w:tc>
      </w:tr>
      <w:tr>
        <w:trPr>
          <w:trHeight w:val="155"/>
        </w:trPr>
        <w:tc>
          <w:tcPr>
            <w:tcW w:w="32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9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(PIK 12.00%)</w:t>
            </w:r>
          </w:p>
        </w:tc>
        <w:tc>
          <w:tcPr>
            <w:tcW w:w="8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280" w:type="dxa"/>
            <w:vAlign w:val="bottom"/>
          </w:tcPr>
          <w:p>
            <w:pPr>
              <w:spacing w:after="0" w:line="135" w:lineRule="exact"/>
              <w:rPr>
                <w:sz w:val="20"/>
                <w:szCs w:val="20"/>
                <w:color w:val="auto"/>
              </w:rPr>
            </w:pPr>
            <w:r>
              <w:rPr>
                <w:rFonts w:ascii="Arial" w:cs="Arial" w:eastAsia="Arial" w:hAnsi="Arial"/>
                <w:sz w:val="12"/>
                <w:szCs w:val="12"/>
                <w:color w:val="auto"/>
              </w:rPr>
              <w:t>Service Champ, Inc.</w:t>
            </w:r>
          </w:p>
        </w:tc>
        <w:tc>
          <w:tcPr>
            <w:tcW w:w="820" w:type="dxa"/>
            <w:vAlign w:val="bottom"/>
          </w:tcPr>
          <w:p>
            <w:pPr>
              <w:jc w:val="center"/>
              <w:ind w:right="2"/>
              <w:spacing w:after="0" w:line="135" w:lineRule="exact"/>
              <w:rPr>
                <w:sz w:val="20"/>
                <w:szCs w:val="20"/>
                <w:color w:val="auto"/>
              </w:rPr>
            </w:pPr>
            <w:r>
              <w:rPr>
                <w:rFonts w:ascii="Arial" w:cs="Arial" w:eastAsia="Arial" w:hAnsi="Arial"/>
                <w:sz w:val="12"/>
                <w:szCs w:val="12"/>
                <w:color w:val="auto"/>
                <w:w w:val="86"/>
              </w:rPr>
              <w:t>10/02/2017</w:t>
            </w:r>
          </w:p>
        </w:tc>
        <w:tc>
          <w:tcPr>
            <w:tcW w:w="206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9"/>
              </w:rPr>
              <w:t>Auto Sector</w:t>
            </w:r>
          </w:p>
        </w:tc>
        <w:tc>
          <w:tcPr>
            <w:tcW w:w="114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12.50%</w:t>
            </w:r>
          </w:p>
        </w:tc>
        <w:tc>
          <w:tcPr>
            <w:tcW w:w="100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28,000,000</w:t>
            </w: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2"/>
                <w:szCs w:val="12"/>
                <w:color w:val="auto"/>
              </w:rPr>
              <w:t>27,581,798</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28,257,554</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328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Subordinated Debt/Corporate Notes</w:t>
            </w:r>
          </w:p>
        </w:tc>
        <w:tc>
          <w:tcPr>
            <w:tcW w:w="82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39,213,935</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39,540,726</w:t>
            </w:r>
          </w:p>
        </w:tc>
        <w:tc>
          <w:tcPr>
            <w:tcW w:w="0" w:type="dxa"/>
            <w:vAlign w:val="bottom"/>
          </w:tcPr>
          <w:p>
            <w:pPr>
              <w:spacing w:after="0"/>
              <w:rPr>
                <w:sz w:val="1"/>
                <w:szCs w:val="1"/>
                <w:color w:val="auto"/>
              </w:rPr>
            </w:pPr>
          </w:p>
        </w:tc>
      </w:tr>
      <w:tr>
        <w:trPr>
          <w:trHeight w:val="142"/>
        </w:trPr>
        <w:tc>
          <w:tcPr>
            <w:tcW w:w="3280" w:type="dxa"/>
            <w:vAlign w:val="bottom"/>
          </w:tcPr>
          <w:p>
            <w:pPr>
              <w:spacing w:after="0"/>
              <w:rPr>
                <w:sz w:val="20"/>
                <w:szCs w:val="20"/>
                <w:color w:val="auto"/>
              </w:rPr>
            </w:pPr>
            <w:r>
              <w:rPr>
                <w:rFonts w:ascii="Arial" w:cs="Arial" w:eastAsia="Arial" w:hAnsi="Arial"/>
                <w:sz w:val="12"/>
                <w:szCs w:val="12"/>
                <w:b w:val="1"/>
                <w:bCs w:val="1"/>
                <w:color w:val="auto"/>
              </w:rPr>
              <w:t xml:space="preserve">Preferred Equity –0.2% </w:t>
            </w:r>
            <w:r>
              <w:rPr>
                <w:rFonts w:ascii="Arial" w:cs="Arial" w:eastAsia="Arial" w:hAnsi="Arial"/>
                <w:sz w:val="9"/>
                <w:szCs w:val="9"/>
                <w:b w:val="1"/>
                <w:bCs w:val="1"/>
                <w:color w:val="auto"/>
              </w:rPr>
              <w:t>(6)</w:t>
            </w:r>
          </w:p>
        </w:tc>
        <w:tc>
          <w:tcPr>
            <w:tcW w:w="8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28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PAS International Holdings, Inc.</w:t>
            </w:r>
          </w:p>
        </w:tc>
        <w:tc>
          <w:tcPr>
            <w:tcW w:w="820" w:type="dxa"/>
            <w:vAlign w:val="bottom"/>
            <w:shd w:val="clear" w:color="auto" w:fill="CCEEFF"/>
          </w:tcPr>
          <w:p>
            <w:pPr>
              <w:jc w:val="center"/>
              <w:ind w:right="2"/>
              <w:spacing w:after="0" w:line="129" w:lineRule="exact"/>
              <w:rPr>
                <w:sz w:val="20"/>
                <w:szCs w:val="20"/>
                <w:color w:val="auto"/>
              </w:rPr>
            </w:pPr>
            <w:r>
              <w:rPr>
                <w:rFonts w:ascii="Arial" w:cs="Arial" w:eastAsia="Arial" w:hAnsi="Arial"/>
                <w:sz w:val="12"/>
                <w:szCs w:val="12"/>
                <w:color w:val="auto"/>
                <w:w w:val="99"/>
              </w:rPr>
              <w:t>—</w:t>
            </w:r>
          </w:p>
        </w:tc>
        <w:tc>
          <w:tcPr>
            <w:tcW w:w="2060" w:type="dxa"/>
            <w:vAlign w:val="bottom"/>
            <w:gridSpan w:val="2"/>
            <w:shd w:val="clear" w:color="auto" w:fill="CCEEFF"/>
          </w:tcPr>
          <w:p>
            <w:pPr>
              <w:jc w:val="center"/>
              <w:ind w:right="100"/>
              <w:spacing w:after="0" w:line="129" w:lineRule="exact"/>
              <w:rPr>
                <w:sz w:val="20"/>
                <w:szCs w:val="20"/>
                <w:color w:val="auto"/>
              </w:rPr>
            </w:pPr>
            <w:r>
              <w:rPr>
                <w:rFonts w:ascii="Arial" w:cs="Arial" w:eastAsia="Arial" w:hAnsi="Arial"/>
                <w:sz w:val="12"/>
                <w:szCs w:val="12"/>
                <w:color w:val="auto"/>
                <w:w w:val="84"/>
              </w:rPr>
              <w:t>Aerospace and</w:t>
            </w:r>
          </w:p>
        </w:tc>
        <w:tc>
          <w:tcPr>
            <w:tcW w:w="1140" w:type="dxa"/>
            <w:vAlign w:val="bottom"/>
            <w:gridSpan w:val="2"/>
            <w:shd w:val="clear" w:color="auto" w:fill="CCEEFF"/>
          </w:tcPr>
          <w:p>
            <w:pPr>
              <w:jc w:val="right"/>
              <w:ind w:right="380"/>
              <w:spacing w:after="0" w:line="129" w:lineRule="exact"/>
              <w:rPr>
                <w:sz w:val="20"/>
                <w:szCs w:val="20"/>
                <w:color w:val="auto"/>
              </w:rPr>
            </w:pPr>
            <w:r>
              <w:rPr>
                <w:rFonts w:ascii="Arial" w:cs="Arial" w:eastAsia="Arial" w:hAnsi="Arial"/>
                <w:sz w:val="12"/>
                <w:szCs w:val="12"/>
                <w:color w:val="auto"/>
              </w:rPr>
              <w:t>—</w:t>
            </w:r>
          </w:p>
        </w:tc>
        <w:tc>
          <w:tcPr>
            <w:tcW w:w="1000" w:type="dxa"/>
            <w:vAlign w:val="bottom"/>
            <w:gridSpan w:val="2"/>
            <w:shd w:val="clear" w:color="auto" w:fill="CCEEFF"/>
          </w:tcPr>
          <w:p>
            <w:pPr>
              <w:jc w:val="right"/>
              <w:ind w:right="200"/>
              <w:spacing w:after="0" w:line="129" w:lineRule="exact"/>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jc w:val="right"/>
              <w:ind w:right="200"/>
              <w:spacing w:after="0" w:line="129" w:lineRule="exact"/>
              <w:rPr>
                <w:sz w:val="20"/>
                <w:szCs w:val="20"/>
                <w:color w:val="auto"/>
              </w:rPr>
            </w:pPr>
            <w:r>
              <w:rPr>
                <w:rFonts w:ascii="Arial" w:cs="Arial" w:eastAsia="Arial" w:hAnsi="Arial"/>
                <w:sz w:val="12"/>
                <w:szCs w:val="12"/>
                <w:color w:val="auto"/>
              </w:rPr>
              <w:t>53,071</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240"/>
              <w:spacing w:after="0" w:line="129" w:lineRule="exact"/>
              <w:rPr>
                <w:sz w:val="20"/>
                <w:szCs w:val="20"/>
                <w:color w:val="auto"/>
              </w:rPr>
            </w:pPr>
            <w:r>
              <w:rPr>
                <w:rFonts w:ascii="Arial" w:cs="Arial" w:eastAsia="Arial" w:hAnsi="Arial"/>
                <w:sz w:val="12"/>
                <w:szCs w:val="12"/>
                <w:color w:val="auto"/>
              </w:rPr>
              <w:t>20,059,340</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2"/>
                <w:szCs w:val="12"/>
                <w:color w:val="auto"/>
              </w:rPr>
              <w:t>1,650,729</w:t>
            </w:r>
          </w:p>
        </w:tc>
        <w:tc>
          <w:tcPr>
            <w:tcW w:w="0" w:type="dxa"/>
            <w:vAlign w:val="bottom"/>
          </w:tcPr>
          <w:p>
            <w:pPr>
              <w:spacing w:after="0"/>
              <w:rPr>
                <w:sz w:val="1"/>
                <w:szCs w:val="1"/>
                <w:color w:val="auto"/>
              </w:rPr>
            </w:pPr>
          </w:p>
        </w:tc>
      </w:tr>
      <w:tr>
        <w:trPr>
          <w:trHeight w:val="155"/>
        </w:trPr>
        <w:tc>
          <w:tcPr>
            <w:tcW w:w="32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60" w:type="dxa"/>
            <w:vAlign w:val="bottom"/>
            <w:gridSpan w:val="2"/>
            <w:shd w:val="clear" w:color="auto" w:fill="CCEEFF"/>
          </w:tcPr>
          <w:p>
            <w:pPr>
              <w:jc w:val="center"/>
              <w:ind w:right="120"/>
              <w:spacing w:after="0"/>
              <w:rPr>
                <w:sz w:val="20"/>
                <w:szCs w:val="20"/>
                <w:color w:val="auto"/>
              </w:rPr>
            </w:pPr>
            <w:r>
              <w:rPr>
                <w:rFonts w:ascii="Arial" w:cs="Arial" w:eastAsia="Arial" w:hAnsi="Arial"/>
                <w:sz w:val="12"/>
                <w:szCs w:val="12"/>
                <w:color w:val="auto"/>
                <w:w w:val="84"/>
              </w:rPr>
              <w:t>Defense</w:t>
            </w:r>
          </w:p>
        </w:tc>
        <w:tc>
          <w:tcPr>
            <w:tcW w:w="7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280" w:type="dxa"/>
            <w:vAlign w:val="bottom"/>
          </w:tcPr>
          <w:p>
            <w:pPr>
              <w:spacing w:after="0"/>
              <w:rPr>
                <w:sz w:val="20"/>
                <w:szCs w:val="20"/>
                <w:color w:val="auto"/>
              </w:rPr>
            </w:pPr>
            <w:r>
              <w:rPr>
                <w:rFonts w:ascii="Arial" w:cs="Arial" w:eastAsia="Arial" w:hAnsi="Arial"/>
                <w:sz w:val="12"/>
                <w:szCs w:val="12"/>
                <w:b w:val="1"/>
                <w:bCs w:val="1"/>
                <w:color w:val="auto"/>
              </w:rPr>
              <w:t xml:space="preserve">Common Equity/Partnership Interests/Warrants—2.1% </w:t>
            </w:r>
            <w:r>
              <w:rPr>
                <w:rFonts w:ascii="Arial" w:cs="Arial" w:eastAsia="Arial" w:hAnsi="Arial"/>
                <w:sz w:val="9"/>
                <w:szCs w:val="9"/>
                <w:b w:val="1"/>
                <w:bCs w:val="1"/>
                <w:color w:val="auto"/>
              </w:rPr>
              <w:t>(6)</w:t>
            </w:r>
          </w:p>
        </w:tc>
        <w:tc>
          <w:tcPr>
            <w:tcW w:w="8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DirectBuy Holdings, Inc.</w:t>
            </w:r>
          </w:p>
        </w:tc>
        <w:tc>
          <w:tcPr>
            <w:tcW w:w="820" w:type="dxa"/>
            <w:vAlign w:val="bottom"/>
            <w:shd w:val="clear" w:color="auto" w:fill="CCEEFF"/>
          </w:tcPr>
          <w:p>
            <w:pPr>
              <w:jc w:val="center"/>
              <w:ind w:right="2"/>
              <w:spacing w:after="0" w:line="135" w:lineRule="exact"/>
              <w:rPr>
                <w:sz w:val="20"/>
                <w:szCs w:val="20"/>
                <w:color w:val="auto"/>
              </w:rPr>
            </w:pPr>
            <w:r>
              <w:rPr>
                <w:rFonts w:ascii="Arial" w:cs="Arial" w:eastAsia="Arial" w:hAnsi="Arial"/>
                <w:sz w:val="12"/>
                <w:szCs w:val="12"/>
                <w:color w:val="auto"/>
                <w:w w:val="99"/>
              </w:rPr>
              <w:t>—</w:t>
            </w:r>
          </w:p>
        </w:tc>
        <w:tc>
          <w:tcPr>
            <w:tcW w:w="206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6"/>
              </w:rPr>
              <w:t>Consumer Products</w:t>
            </w:r>
          </w:p>
        </w:tc>
        <w:tc>
          <w:tcPr>
            <w:tcW w:w="1140" w:type="dxa"/>
            <w:vAlign w:val="bottom"/>
            <w:gridSpan w:val="2"/>
            <w:shd w:val="clear" w:color="auto" w:fill="CCEEFF"/>
          </w:tcPr>
          <w:p>
            <w:pPr>
              <w:jc w:val="right"/>
              <w:ind w:right="380"/>
              <w:spacing w:after="0" w:line="135" w:lineRule="exact"/>
              <w:rPr>
                <w:sz w:val="20"/>
                <w:szCs w:val="20"/>
                <w:color w:val="auto"/>
              </w:rPr>
            </w:pPr>
            <w:r>
              <w:rPr>
                <w:rFonts w:ascii="Arial" w:cs="Arial" w:eastAsia="Arial" w:hAnsi="Arial"/>
                <w:sz w:val="12"/>
                <w:szCs w:val="12"/>
                <w:color w:val="auto"/>
              </w:rPr>
              <w:t>—</w:t>
            </w:r>
          </w:p>
        </w:tc>
        <w:tc>
          <w:tcPr>
            <w:tcW w:w="10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104,719</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21,492,822</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3280" w:type="dxa"/>
            <w:vAlign w:val="bottom"/>
          </w:tcPr>
          <w:p>
            <w:pPr>
              <w:spacing w:after="0" w:line="135" w:lineRule="exact"/>
              <w:rPr>
                <w:sz w:val="20"/>
                <w:szCs w:val="20"/>
                <w:color w:val="auto"/>
              </w:rPr>
            </w:pPr>
            <w:r>
              <w:rPr>
                <w:rFonts w:ascii="Arial" w:cs="Arial" w:eastAsia="Arial" w:hAnsi="Arial"/>
                <w:sz w:val="12"/>
                <w:szCs w:val="12"/>
                <w:color w:val="auto"/>
              </w:rPr>
              <w:t>DirectBuy Holdings, Inc. (Warrants)</w:t>
            </w:r>
          </w:p>
        </w:tc>
        <w:tc>
          <w:tcPr>
            <w:tcW w:w="820" w:type="dxa"/>
            <w:vAlign w:val="bottom"/>
          </w:tcPr>
          <w:p>
            <w:pPr>
              <w:jc w:val="center"/>
              <w:ind w:right="2"/>
              <w:spacing w:after="0" w:line="135" w:lineRule="exact"/>
              <w:rPr>
                <w:sz w:val="20"/>
                <w:szCs w:val="20"/>
                <w:color w:val="auto"/>
              </w:rPr>
            </w:pPr>
            <w:r>
              <w:rPr>
                <w:rFonts w:ascii="Arial" w:cs="Arial" w:eastAsia="Arial" w:hAnsi="Arial"/>
                <w:sz w:val="12"/>
                <w:szCs w:val="12"/>
                <w:color w:val="auto"/>
                <w:w w:val="86"/>
              </w:rPr>
              <w:t>11/05/2022</w:t>
            </w:r>
          </w:p>
        </w:tc>
        <w:tc>
          <w:tcPr>
            <w:tcW w:w="206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6"/>
              </w:rPr>
              <w:t>Consumer Products</w:t>
            </w:r>
          </w:p>
        </w:tc>
        <w:tc>
          <w:tcPr>
            <w:tcW w:w="1140" w:type="dxa"/>
            <w:vAlign w:val="bottom"/>
            <w:gridSpan w:val="2"/>
          </w:tcPr>
          <w:p>
            <w:pPr>
              <w:jc w:val="right"/>
              <w:ind w:right="380"/>
              <w:spacing w:after="0" w:line="135" w:lineRule="exact"/>
              <w:rPr>
                <w:sz w:val="20"/>
                <w:szCs w:val="20"/>
                <w:color w:val="auto"/>
              </w:rPr>
            </w:pPr>
            <w:r>
              <w:rPr>
                <w:rFonts w:ascii="Arial" w:cs="Arial" w:eastAsia="Arial" w:hAnsi="Arial"/>
                <w:sz w:val="12"/>
                <w:szCs w:val="12"/>
                <w:color w:val="auto"/>
              </w:rPr>
              <w:t>—</w:t>
            </w:r>
          </w:p>
        </w:tc>
        <w:tc>
          <w:tcPr>
            <w:tcW w:w="100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15,486</w:t>
            </w:r>
          </w:p>
        </w:tc>
        <w:tc>
          <w:tcPr>
            <w:tcW w:w="80" w:type="dxa"/>
            <w:vAlign w:val="bottom"/>
          </w:tcPr>
          <w:p>
            <w:pPr>
              <w:spacing w:after="0"/>
              <w:rPr>
                <w:sz w:val="11"/>
                <w:szCs w:val="11"/>
                <w:color w:val="auto"/>
              </w:rPr>
            </w:pP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76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9"/>
        </w:trPr>
        <w:tc>
          <w:tcPr>
            <w:tcW w:w="328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EnviroSolutions Holdings, Inc.</w:t>
            </w:r>
          </w:p>
        </w:tc>
        <w:tc>
          <w:tcPr>
            <w:tcW w:w="820" w:type="dxa"/>
            <w:vAlign w:val="bottom"/>
            <w:shd w:val="clear" w:color="auto" w:fill="CCEEFF"/>
          </w:tcPr>
          <w:p>
            <w:pPr>
              <w:jc w:val="center"/>
              <w:ind w:right="2"/>
              <w:spacing w:after="0" w:line="129" w:lineRule="exact"/>
              <w:rPr>
                <w:sz w:val="20"/>
                <w:szCs w:val="20"/>
                <w:color w:val="auto"/>
              </w:rPr>
            </w:pPr>
            <w:r>
              <w:rPr>
                <w:rFonts w:ascii="Arial" w:cs="Arial" w:eastAsia="Arial" w:hAnsi="Arial"/>
                <w:sz w:val="12"/>
                <w:szCs w:val="12"/>
                <w:color w:val="auto"/>
                <w:w w:val="99"/>
              </w:rPr>
              <w:t>—</w:t>
            </w:r>
          </w:p>
        </w:tc>
        <w:tc>
          <w:tcPr>
            <w:tcW w:w="2060" w:type="dxa"/>
            <w:vAlign w:val="bottom"/>
            <w:gridSpan w:val="2"/>
            <w:shd w:val="clear" w:color="auto" w:fill="CCEEFF"/>
          </w:tcPr>
          <w:p>
            <w:pPr>
              <w:jc w:val="center"/>
              <w:ind w:right="100"/>
              <w:spacing w:after="0" w:line="129" w:lineRule="exact"/>
              <w:rPr>
                <w:sz w:val="20"/>
                <w:szCs w:val="20"/>
                <w:color w:val="auto"/>
              </w:rPr>
            </w:pPr>
            <w:r>
              <w:rPr>
                <w:rFonts w:ascii="Arial" w:cs="Arial" w:eastAsia="Arial" w:hAnsi="Arial"/>
                <w:sz w:val="12"/>
                <w:szCs w:val="12"/>
                <w:color w:val="auto"/>
                <w:w w:val="88"/>
              </w:rPr>
              <w:t>Environmental Services</w:t>
            </w:r>
          </w:p>
        </w:tc>
        <w:tc>
          <w:tcPr>
            <w:tcW w:w="1140" w:type="dxa"/>
            <w:vAlign w:val="bottom"/>
            <w:gridSpan w:val="2"/>
            <w:shd w:val="clear" w:color="auto" w:fill="CCEEFF"/>
          </w:tcPr>
          <w:p>
            <w:pPr>
              <w:jc w:val="right"/>
              <w:ind w:right="380"/>
              <w:spacing w:after="0" w:line="129" w:lineRule="exact"/>
              <w:rPr>
                <w:sz w:val="20"/>
                <w:szCs w:val="20"/>
                <w:color w:val="auto"/>
              </w:rPr>
            </w:pPr>
            <w:r>
              <w:rPr>
                <w:rFonts w:ascii="Arial" w:cs="Arial" w:eastAsia="Arial" w:hAnsi="Arial"/>
                <w:sz w:val="12"/>
                <w:szCs w:val="12"/>
                <w:color w:val="auto"/>
              </w:rPr>
              <w:t>—</w:t>
            </w:r>
          </w:p>
        </w:tc>
        <w:tc>
          <w:tcPr>
            <w:tcW w:w="1000" w:type="dxa"/>
            <w:vAlign w:val="bottom"/>
            <w:gridSpan w:val="2"/>
            <w:shd w:val="clear" w:color="auto" w:fill="CCEEFF"/>
          </w:tcPr>
          <w:p>
            <w:pPr>
              <w:jc w:val="right"/>
              <w:ind w:right="200"/>
              <w:spacing w:after="0" w:line="129" w:lineRule="exact"/>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jc w:val="right"/>
              <w:ind w:right="200"/>
              <w:spacing w:after="0" w:line="129" w:lineRule="exact"/>
              <w:rPr>
                <w:sz w:val="20"/>
                <w:szCs w:val="20"/>
                <w:color w:val="auto"/>
              </w:rPr>
            </w:pPr>
            <w:r>
              <w:rPr>
                <w:rFonts w:ascii="Arial" w:cs="Arial" w:eastAsia="Arial" w:hAnsi="Arial"/>
                <w:sz w:val="12"/>
                <w:szCs w:val="12"/>
                <w:color w:val="auto"/>
              </w:rPr>
              <w:t>143,668</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240"/>
              <w:spacing w:after="0" w:line="129" w:lineRule="exact"/>
              <w:rPr>
                <w:sz w:val="20"/>
                <w:szCs w:val="20"/>
                <w:color w:val="auto"/>
              </w:rPr>
            </w:pPr>
            <w:r>
              <w:rPr>
                <w:rFonts w:ascii="Arial" w:cs="Arial" w:eastAsia="Arial" w:hAnsi="Arial"/>
                <w:sz w:val="12"/>
                <w:szCs w:val="12"/>
                <w:color w:val="auto"/>
              </w:rPr>
              <w:t>11,960,702</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2"/>
                <w:szCs w:val="12"/>
                <w:color w:val="auto"/>
              </w:rPr>
              <w:t>12,140,931</w:t>
            </w:r>
          </w:p>
        </w:tc>
        <w:tc>
          <w:tcPr>
            <w:tcW w:w="0" w:type="dxa"/>
            <w:vAlign w:val="bottom"/>
          </w:tcPr>
          <w:p>
            <w:pPr>
              <w:spacing w:after="0"/>
              <w:rPr>
                <w:sz w:val="1"/>
                <w:szCs w:val="1"/>
                <w:color w:val="auto"/>
              </w:rPr>
            </w:pPr>
          </w:p>
        </w:tc>
      </w:tr>
      <w:tr>
        <w:trPr>
          <w:trHeight w:val="141"/>
        </w:trPr>
        <w:tc>
          <w:tcPr>
            <w:tcW w:w="32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(EnviroSolutions Real Property Holdings, Inc.)</w:t>
            </w:r>
          </w:p>
        </w:tc>
        <w:tc>
          <w:tcPr>
            <w:tcW w:w="82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280" w:type="dxa"/>
            <w:vAlign w:val="bottom"/>
          </w:tcPr>
          <w:p>
            <w:pPr>
              <w:spacing w:after="0" w:line="129" w:lineRule="exact"/>
              <w:rPr>
                <w:sz w:val="20"/>
                <w:szCs w:val="20"/>
                <w:color w:val="auto"/>
              </w:rPr>
            </w:pPr>
            <w:r>
              <w:rPr>
                <w:rFonts w:ascii="Arial" w:cs="Arial" w:eastAsia="Arial" w:hAnsi="Arial"/>
                <w:sz w:val="12"/>
                <w:szCs w:val="12"/>
                <w:color w:val="auto"/>
              </w:rPr>
              <w:t>NCP-Performance, L.P.</w:t>
            </w:r>
          </w:p>
        </w:tc>
        <w:tc>
          <w:tcPr>
            <w:tcW w:w="820" w:type="dxa"/>
            <w:vAlign w:val="bottom"/>
          </w:tcPr>
          <w:p>
            <w:pPr>
              <w:jc w:val="center"/>
              <w:ind w:right="2"/>
              <w:spacing w:after="0" w:line="129" w:lineRule="exact"/>
              <w:rPr>
                <w:sz w:val="20"/>
                <w:szCs w:val="20"/>
                <w:color w:val="auto"/>
              </w:rPr>
            </w:pPr>
            <w:r>
              <w:rPr>
                <w:rFonts w:ascii="Arial" w:cs="Arial" w:eastAsia="Arial" w:hAnsi="Arial"/>
                <w:sz w:val="12"/>
                <w:szCs w:val="12"/>
                <w:color w:val="auto"/>
                <w:w w:val="99"/>
              </w:rPr>
              <w:t>—</w:t>
            </w:r>
          </w:p>
        </w:tc>
        <w:tc>
          <w:tcPr>
            <w:tcW w:w="2060" w:type="dxa"/>
            <w:vAlign w:val="bottom"/>
            <w:gridSpan w:val="2"/>
          </w:tcPr>
          <w:p>
            <w:pPr>
              <w:jc w:val="center"/>
              <w:ind w:right="100"/>
              <w:spacing w:after="0" w:line="129" w:lineRule="exact"/>
              <w:rPr>
                <w:sz w:val="20"/>
                <w:szCs w:val="20"/>
                <w:color w:val="auto"/>
              </w:rPr>
            </w:pPr>
            <w:r>
              <w:rPr>
                <w:rFonts w:ascii="Arial" w:cs="Arial" w:eastAsia="Arial" w:hAnsi="Arial"/>
                <w:sz w:val="12"/>
                <w:szCs w:val="12"/>
                <w:color w:val="auto"/>
                <w:w w:val="88"/>
              </w:rPr>
              <w:t>Leisure, Amusement,</w:t>
            </w:r>
          </w:p>
        </w:tc>
        <w:tc>
          <w:tcPr>
            <w:tcW w:w="1140" w:type="dxa"/>
            <w:vAlign w:val="bottom"/>
            <w:gridSpan w:val="2"/>
          </w:tcPr>
          <w:p>
            <w:pPr>
              <w:jc w:val="right"/>
              <w:ind w:right="380"/>
              <w:spacing w:after="0" w:line="129" w:lineRule="exact"/>
              <w:rPr>
                <w:sz w:val="20"/>
                <w:szCs w:val="20"/>
                <w:color w:val="auto"/>
              </w:rPr>
            </w:pPr>
            <w:r>
              <w:rPr>
                <w:rFonts w:ascii="Arial" w:cs="Arial" w:eastAsia="Arial" w:hAnsi="Arial"/>
                <w:sz w:val="12"/>
                <w:szCs w:val="12"/>
                <w:color w:val="auto"/>
              </w:rPr>
              <w:t>—</w:t>
            </w:r>
          </w:p>
        </w:tc>
        <w:tc>
          <w:tcPr>
            <w:tcW w:w="1000" w:type="dxa"/>
            <w:vAlign w:val="bottom"/>
            <w:gridSpan w:val="2"/>
          </w:tcPr>
          <w:p>
            <w:pPr>
              <w:jc w:val="right"/>
              <w:ind w:right="200"/>
              <w:spacing w:after="0" w:line="129" w:lineRule="exact"/>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200"/>
              <w:spacing w:after="0" w:line="129" w:lineRule="exact"/>
              <w:rPr>
                <w:sz w:val="20"/>
                <w:szCs w:val="20"/>
                <w:color w:val="auto"/>
              </w:rPr>
            </w:pPr>
            <w:r>
              <w:rPr>
                <w:rFonts w:ascii="Arial" w:cs="Arial" w:eastAsia="Arial" w:hAnsi="Arial"/>
                <w:sz w:val="12"/>
                <w:szCs w:val="12"/>
                <w:color w:val="auto"/>
              </w:rPr>
              <w:t>375,000</w:t>
            </w:r>
          </w:p>
        </w:tc>
        <w:tc>
          <w:tcPr>
            <w:tcW w:w="80" w:type="dxa"/>
            <w:vAlign w:val="bottom"/>
          </w:tcPr>
          <w:p>
            <w:pPr>
              <w:spacing w:after="0"/>
              <w:rPr>
                <w:sz w:val="11"/>
                <w:szCs w:val="11"/>
                <w:color w:val="auto"/>
              </w:rPr>
            </w:pPr>
          </w:p>
        </w:tc>
        <w:tc>
          <w:tcPr>
            <w:tcW w:w="920" w:type="dxa"/>
            <w:vAlign w:val="bottom"/>
            <w:gridSpan w:val="2"/>
          </w:tcPr>
          <w:p>
            <w:pPr>
              <w:jc w:val="right"/>
              <w:ind w:right="240"/>
              <w:spacing w:after="0" w:line="129" w:lineRule="exact"/>
              <w:rPr>
                <w:sz w:val="20"/>
                <w:szCs w:val="20"/>
                <w:color w:val="auto"/>
              </w:rPr>
            </w:pPr>
            <w:r>
              <w:rPr>
                <w:rFonts w:ascii="Arial" w:cs="Arial" w:eastAsia="Arial" w:hAnsi="Arial"/>
                <w:sz w:val="12"/>
                <w:szCs w:val="12"/>
                <w:color w:val="auto"/>
              </w:rPr>
              <w:t>3,750,000</w:t>
            </w:r>
          </w:p>
        </w:tc>
        <w:tc>
          <w:tcPr>
            <w:tcW w:w="80" w:type="dxa"/>
            <w:vAlign w:val="bottom"/>
          </w:tcPr>
          <w:p>
            <w:pPr>
              <w:spacing w:after="0"/>
              <w:rPr>
                <w:sz w:val="11"/>
                <w:szCs w:val="11"/>
                <w:color w:val="auto"/>
              </w:rPr>
            </w:pPr>
          </w:p>
        </w:tc>
        <w:tc>
          <w:tcPr>
            <w:tcW w:w="760" w:type="dxa"/>
            <w:vAlign w:val="bottom"/>
            <w:gridSpan w:val="2"/>
          </w:tcPr>
          <w:p>
            <w:pPr>
              <w:jc w:val="right"/>
              <w:ind w:right="100"/>
              <w:spacing w:after="0" w:line="129"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1"/>
        </w:trPr>
        <w:tc>
          <w:tcPr>
            <w:tcW w:w="3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60" w:type="dxa"/>
            <w:vAlign w:val="bottom"/>
            <w:gridSpan w:val="2"/>
          </w:tcPr>
          <w:p>
            <w:pPr>
              <w:jc w:val="center"/>
              <w:ind w:right="100"/>
              <w:spacing w:after="0"/>
              <w:rPr>
                <w:sz w:val="20"/>
                <w:szCs w:val="20"/>
                <w:color w:val="auto"/>
              </w:rPr>
            </w:pPr>
            <w:r>
              <w:rPr>
                <w:rFonts w:ascii="Arial" w:cs="Arial" w:eastAsia="Arial" w:hAnsi="Arial"/>
                <w:sz w:val="12"/>
                <w:szCs w:val="12"/>
                <w:color w:val="auto"/>
                <w:w w:val="89"/>
              </w:rPr>
              <w:t>Motion Pictures and Entertainment</w:t>
            </w:r>
          </w:p>
        </w:tc>
        <w:tc>
          <w:tcPr>
            <w:tcW w:w="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3280" w:type="dxa"/>
            <w:vAlign w:val="bottom"/>
            <w:shd w:val="clear" w:color="auto" w:fill="CCEEFF"/>
          </w:tcPr>
          <w:p>
            <w:pPr>
              <w:spacing w:after="0" w:line="132" w:lineRule="exact"/>
              <w:rPr>
                <w:sz w:val="20"/>
                <w:szCs w:val="20"/>
                <w:color w:val="auto"/>
              </w:rPr>
            </w:pPr>
            <w:r>
              <w:rPr>
                <w:rFonts w:ascii="Arial" w:cs="Arial" w:eastAsia="Arial" w:hAnsi="Arial"/>
                <w:sz w:val="12"/>
                <w:szCs w:val="12"/>
                <w:color w:val="auto"/>
              </w:rPr>
              <w:t>New Service Champ Holdings, Inc.</w:t>
            </w:r>
          </w:p>
        </w:tc>
        <w:tc>
          <w:tcPr>
            <w:tcW w:w="820" w:type="dxa"/>
            <w:vAlign w:val="bottom"/>
            <w:shd w:val="clear" w:color="auto" w:fill="CCEEFF"/>
          </w:tcPr>
          <w:p>
            <w:pPr>
              <w:jc w:val="center"/>
              <w:ind w:right="2"/>
              <w:spacing w:after="0" w:line="132" w:lineRule="exact"/>
              <w:rPr>
                <w:sz w:val="20"/>
                <w:szCs w:val="20"/>
                <w:color w:val="auto"/>
              </w:rPr>
            </w:pPr>
            <w:r>
              <w:rPr>
                <w:rFonts w:ascii="Arial" w:cs="Arial" w:eastAsia="Arial" w:hAnsi="Arial"/>
                <w:sz w:val="12"/>
                <w:szCs w:val="12"/>
                <w:color w:val="auto"/>
                <w:w w:val="99"/>
              </w:rPr>
              <w:t>—</w:t>
            </w:r>
          </w:p>
        </w:tc>
        <w:tc>
          <w:tcPr>
            <w:tcW w:w="2060" w:type="dxa"/>
            <w:vAlign w:val="bottom"/>
            <w:gridSpan w:val="2"/>
            <w:shd w:val="clear" w:color="auto" w:fill="CCEEFF"/>
          </w:tcPr>
          <w:p>
            <w:pPr>
              <w:jc w:val="center"/>
              <w:ind w:right="100"/>
              <w:spacing w:after="0" w:line="132" w:lineRule="exact"/>
              <w:rPr>
                <w:sz w:val="20"/>
                <w:szCs w:val="20"/>
                <w:color w:val="auto"/>
              </w:rPr>
            </w:pPr>
            <w:r>
              <w:rPr>
                <w:rFonts w:ascii="Arial" w:cs="Arial" w:eastAsia="Arial" w:hAnsi="Arial"/>
                <w:sz w:val="12"/>
                <w:szCs w:val="12"/>
                <w:color w:val="auto"/>
                <w:w w:val="89"/>
              </w:rPr>
              <w:t>Auto Sector</w:t>
            </w:r>
          </w:p>
        </w:tc>
        <w:tc>
          <w:tcPr>
            <w:tcW w:w="1140" w:type="dxa"/>
            <w:vAlign w:val="bottom"/>
            <w:gridSpan w:val="2"/>
            <w:shd w:val="clear" w:color="auto" w:fill="CCEEFF"/>
          </w:tcPr>
          <w:p>
            <w:pPr>
              <w:jc w:val="right"/>
              <w:ind w:right="380"/>
              <w:spacing w:after="0" w:line="132" w:lineRule="exact"/>
              <w:rPr>
                <w:sz w:val="20"/>
                <w:szCs w:val="20"/>
                <w:color w:val="auto"/>
              </w:rPr>
            </w:pPr>
            <w:r>
              <w:rPr>
                <w:rFonts w:ascii="Arial" w:cs="Arial" w:eastAsia="Arial" w:hAnsi="Arial"/>
                <w:sz w:val="12"/>
                <w:szCs w:val="12"/>
                <w:color w:val="auto"/>
              </w:rPr>
              <w:t>—</w:t>
            </w:r>
          </w:p>
        </w:tc>
        <w:tc>
          <w:tcPr>
            <w:tcW w:w="1000" w:type="dxa"/>
            <w:vAlign w:val="bottom"/>
            <w:gridSpan w:val="2"/>
            <w:shd w:val="clear" w:color="auto" w:fill="CCEEFF"/>
          </w:tcPr>
          <w:p>
            <w:pPr>
              <w:jc w:val="right"/>
              <w:ind w:right="200"/>
              <w:spacing w:after="0" w:line="132" w:lineRule="exact"/>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jc w:val="right"/>
              <w:ind w:right="200"/>
              <w:spacing w:after="0" w:line="132" w:lineRule="exact"/>
              <w:rPr>
                <w:sz w:val="20"/>
                <w:szCs w:val="20"/>
                <w:color w:val="auto"/>
              </w:rPr>
            </w:pPr>
            <w:r>
              <w:rPr>
                <w:rFonts w:ascii="Arial" w:cs="Arial" w:eastAsia="Arial" w:hAnsi="Arial"/>
                <w:sz w:val="12"/>
                <w:szCs w:val="12"/>
                <w:color w:val="auto"/>
              </w:rPr>
              <w:t>16,800</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240"/>
              <w:spacing w:after="0" w:line="132" w:lineRule="exact"/>
              <w:rPr>
                <w:sz w:val="20"/>
                <w:szCs w:val="20"/>
                <w:color w:val="auto"/>
              </w:rPr>
            </w:pPr>
            <w:r>
              <w:rPr>
                <w:rFonts w:ascii="Arial" w:cs="Arial" w:eastAsia="Arial" w:hAnsi="Arial"/>
                <w:sz w:val="12"/>
                <w:szCs w:val="12"/>
                <w:color w:val="auto"/>
              </w:rPr>
              <w:t>2,721,600</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00"/>
              <w:spacing w:after="0" w:line="132" w:lineRule="exact"/>
              <w:rPr>
                <w:sz w:val="20"/>
                <w:szCs w:val="20"/>
                <w:color w:val="auto"/>
              </w:rPr>
            </w:pPr>
            <w:r>
              <w:rPr>
                <w:rFonts w:ascii="Arial" w:cs="Arial" w:eastAsia="Arial" w:hAnsi="Arial"/>
                <w:sz w:val="12"/>
                <w:szCs w:val="12"/>
                <w:color w:val="auto"/>
              </w:rPr>
              <w:t>5,387,687</w:t>
            </w:r>
          </w:p>
        </w:tc>
        <w:tc>
          <w:tcPr>
            <w:tcW w:w="0" w:type="dxa"/>
            <w:vAlign w:val="bottom"/>
          </w:tcPr>
          <w:p>
            <w:pPr>
              <w:spacing w:after="0"/>
              <w:rPr>
                <w:sz w:val="1"/>
                <w:szCs w:val="1"/>
                <w:color w:val="auto"/>
              </w:rPr>
            </w:pPr>
          </w:p>
        </w:tc>
      </w:tr>
      <w:tr>
        <w:trPr>
          <w:trHeight w:val="141"/>
        </w:trPr>
        <w:tc>
          <w:tcPr>
            <w:tcW w:w="32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(Service Champ, Inc.)</w:t>
            </w:r>
          </w:p>
        </w:tc>
        <w:tc>
          <w:tcPr>
            <w:tcW w:w="82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80" w:type="dxa"/>
            <w:vAlign w:val="bottom"/>
          </w:tcPr>
          <w:p>
            <w:pPr>
              <w:spacing w:after="0" w:line="135" w:lineRule="exact"/>
              <w:rPr>
                <w:sz w:val="20"/>
                <w:szCs w:val="20"/>
                <w:color w:val="auto"/>
              </w:rPr>
            </w:pPr>
            <w:r>
              <w:rPr>
                <w:rFonts w:ascii="Arial" w:cs="Arial" w:eastAsia="Arial" w:hAnsi="Arial"/>
                <w:sz w:val="12"/>
                <w:szCs w:val="12"/>
                <w:color w:val="auto"/>
              </w:rPr>
              <w:t>PAS International Holdings, Inc.</w:t>
            </w:r>
          </w:p>
        </w:tc>
        <w:tc>
          <w:tcPr>
            <w:tcW w:w="820" w:type="dxa"/>
            <w:vAlign w:val="bottom"/>
          </w:tcPr>
          <w:p>
            <w:pPr>
              <w:jc w:val="center"/>
              <w:ind w:right="2"/>
              <w:spacing w:after="0" w:line="135" w:lineRule="exact"/>
              <w:rPr>
                <w:sz w:val="20"/>
                <w:szCs w:val="20"/>
                <w:color w:val="auto"/>
              </w:rPr>
            </w:pPr>
            <w:r>
              <w:rPr>
                <w:rFonts w:ascii="Arial" w:cs="Arial" w:eastAsia="Arial" w:hAnsi="Arial"/>
                <w:sz w:val="12"/>
                <w:szCs w:val="12"/>
                <w:color w:val="auto"/>
                <w:w w:val="99"/>
              </w:rPr>
              <w:t>—</w:t>
            </w:r>
          </w:p>
        </w:tc>
        <w:tc>
          <w:tcPr>
            <w:tcW w:w="206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5"/>
              </w:rPr>
              <w:t>Aerospace and Defense</w:t>
            </w:r>
          </w:p>
        </w:tc>
        <w:tc>
          <w:tcPr>
            <w:tcW w:w="1140" w:type="dxa"/>
            <w:vAlign w:val="bottom"/>
            <w:gridSpan w:val="2"/>
          </w:tcPr>
          <w:p>
            <w:pPr>
              <w:jc w:val="right"/>
              <w:ind w:right="380"/>
              <w:spacing w:after="0" w:line="135" w:lineRule="exact"/>
              <w:rPr>
                <w:sz w:val="20"/>
                <w:szCs w:val="20"/>
                <w:color w:val="auto"/>
              </w:rPr>
            </w:pPr>
            <w:r>
              <w:rPr>
                <w:rFonts w:ascii="Arial" w:cs="Arial" w:eastAsia="Arial" w:hAnsi="Arial"/>
                <w:sz w:val="12"/>
                <w:szCs w:val="12"/>
                <w:color w:val="auto"/>
              </w:rPr>
              <w:t>—</w:t>
            </w:r>
          </w:p>
        </w:tc>
        <w:tc>
          <w:tcPr>
            <w:tcW w:w="100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53,071</w:t>
            </w: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2"/>
                <w:szCs w:val="12"/>
                <w:color w:val="auto"/>
              </w:rPr>
              <w:t>202,620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328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Common Equity/Partnership Interests/Warrants</w:t>
            </w:r>
          </w:p>
        </w:tc>
        <w:tc>
          <w:tcPr>
            <w:tcW w:w="82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40,127,744</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17,528,618</w:t>
            </w:r>
          </w:p>
        </w:tc>
        <w:tc>
          <w:tcPr>
            <w:tcW w:w="0" w:type="dxa"/>
            <w:vAlign w:val="bottom"/>
          </w:tcPr>
          <w:p>
            <w:pPr>
              <w:spacing w:after="0"/>
              <w:rPr>
                <w:sz w:val="1"/>
                <w:szCs w:val="1"/>
                <w:color w:val="auto"/>
              </w:rPr>
            </w:pPr>
          </w:p>
        </w:tc>
      </w:tr>
      <w:tr>
        <w:trPr>
          <w:trHeight w:val="20"/>
        </w:trPr>
        <w:tc>
          <w:tcPr>
            <w:tcW w:w="41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Total Investments in Non-Controlled, Affiliated Portfolio Companies</w:t>
            </w:r>
          </w:p>
        </w:tc>
        <w:tc>
          <w:tcPr>
            <w:tcW w:w="1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100" w:type="dxa"/>
            <w:vAlign w:val="bottom"/>
            <w:gridSpan w:val="2"/>
            <w:vMerge w:val="continue"/>
          </w:tcPr>
          <w:p>
            <w:pPr>
              <w:spacing w:after="0"/>
              <w:rPr>
                <w:sz w:val="12"/>
                <w:szCs w:val="12"/>
                <w:color w:val="auto"/>
              </w:rPr>
            </w:pPr>
          </w:p>
        </w:tc>
        <w:tc>
          <w:tcPr>
            <w:tcW w:w="1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w w:val="98"/>
              </w:rPr>
              <w:t>108,572,406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2"/>
                <w:szCs w:val="12"/>
                <w:color w:val="auto"/>
              </w:rPr>
              <w:t>67,847,521</w:t>
            </w:r>
          </w:p>
        </w:tc>
        <w:tc>
          <w:tcPr>
            <w:tcW w:w="0" w:type="dxa"/>
            <w:vAlign w:val="bottom"/>
          </w:tcPr>
          <w:p>
            <w:pPr>
              <w:spacing w:after="0"/>
              <w:rPr>
                <w:sz w:val="1"/>
                <w:szCs w:val="1"/>
                <w:color w:val="auto"/>
              </w:rPr>
            </w:pPr>
          </w:p>
        </w:tc>
      </w:tr>
      <w:tr>
        <w:trPr>
          <w:trHeight w:val="135"/>
        </w:trPr>
        <w:tc>
          <w:tcPr>
            <w:tcW w:w="410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 xml:space="preserve">Investments in Controlled, Affiliated Portfolio Companies—4.6% </w:t>
            </w:r>
            <w:r>
              <w:rPr>
                <w:rFonts w:ascii="Arial" w:cs="Arial" w:eastAsia="Arial" w:hAnsi="Arial"/>
                <w:sz w:val="9"/>
                <w:szCs w:val="9"/>
                <w:b w:val="1"/>
                <w:bCs w:val="1"/>
                <w:color w:val="auto"/>
              </w:rPr>
              <w:t>(1), (2)</w:t>
            </w:r>
          </w:p>
        </w:tc>
        <w:tc>
          <w:tcPr>
            <w:tcW w:w="1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80" w:type="dxa"/>
            <w:vAlign w:val="bottom"/>
          </w:tcPr>
          <w:p>
            <w:pPr>
              <w:spacing w:after="0" w:line="135" w:lineRule="exact"/>
              <w:rPr>
                <w:sz w:val="20"/>
                <w:szCs w:val="20"/>
                <w:color w:val="auto"/>
              </w:rPr>
            </w:pPr>
            <w:r>
              <w:rPr>
                <w:rFonts w:ascii="Arial" w:cs="Arial" w:eastAsia="Arial" w:hAnsi="Arial"/>
                <w:sz w:val="12"/>
                <w:szCs w:val="12"/>
                <w:b w:val="1"/>
                <w:bCs w:val="1"/>
                <w:color w:val="auto"/>
              </w:rPr>
              <w:t>First Lien Secured Debt—3.8%</w:t>
            </w:r>
          </w:p>
        </w:tc>
        <w:tc>
          <w:tcPr>
            <w:tcW w:w="8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Superior Digital Displays, LLC</w:t>
            </w:r>
          </w:p>
        </w:tc>
        <w:tc>
          <w:tcPr>
            <w:tcW w:w="820" w:type="dxa"/>
            <w:vAlign w:val="bottom"/>
            <w:shd w:val="clear" w:color="auto" w:fill="CCEEFF"/>
          </w:tcPr>
          <w:p>
            <w:pPr>
              <w:jc w:val="center"/>
              <w:ind w:right="2"/>
              <w:spacing w:after="0" w:line="135" w:lineRule="exact"/>
              <w:rPr>
                <w:sz w:val="20"/>
                <w:szCs w:val="20"/>
                <w:color w:val="auto"/>
              </w:rPr>
            </w:pPr>
            <w:r>
              <w:rPr>
                <w:rFonts w:ascii="Arial" w:cs="Arial" w:eastAsia="Arial" w:hAnsi="Arial"/>
                <w:sz w:val="12"/>
                <w:szCs w:val="12"/>
                <w:color w:val="auto"/>
                <w:w w:val="86"/>
              </w:rPr>
              <w:t>12/31/2018</w:t>
            </w:r>
          </w:p>
        </w:tc>
        <w:tc>
          <w:tcPr>
            <w:tcW w:w="206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91"/>
              </w:rPr>
              <w:t>Media</w:t>
            </w:r>
          </w:p>
        </w:tc>
        <w:tc>
          <w:tcPr>
            <w:tcW w:w="114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13.50%</w:t>
            </w:r>
          </w:p>
        </w:tc>
        <w:tc>
          <w:tcPr>
            <w:tcW w:w="10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L+1,250</w:t>
            </w:r>
          </w:p>
        </w:tc>
        <w:tc>
          <w:tcPr>
            <w:tcW w:w="8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22,150,000</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19,924,736</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19,282,328</w:t>
            </w:r>
          </w:p>
        </w:tc>
        <w:tc>
          <w:tcPr>
            <w:tcW w:w="0" w:type="dxa"/>
            <w:vAlign w:val="bottom"/>
          </w:tcPr>
          <w:p>
            <w:pPr>
              <w:spacing w:after="0"/>
              <w:rPr>
                <w:sz w:val="1"/>
                <w:szCs w:val="1"/>
                <w:color w:val="auto"/>
              </w:rPr>
            </w:pPr>
          </w:p>
        </w:tc>
      </w:tr>
      <w:tr>
        <w:trPr>
          <w:trHeight w:val="135"/>
        </w:trPr>
        <w:tc>
          <w:tcPr>
            <w:tcW w:w="3280" w:type="dxa"/>
            <w:vAlign w:val="bottom"/>
          </w:tcPr>
          <w:p>
            <w:pPr>
              <w:spacing w:after="0" w:line="135" w:lineRule="exact"/>
              <w:rPr>
                <w:sz w:val="20"/>
                <w:szCs w:val="20"/>
                <w:color w:val="auto"/>
              </w:rPr>
            </w:pPr>
            <w:r>
              <w:rPr>
                <w:rFonts w:ascii="Arial" w:cs="Arial" w:eastAsia="Arial" w:hAnsi="Arial"/>
                <w:sz w:val="12"/>
                <w:szCs w:val="12"/>
                <w:color w:val="auto"/>
              </w:rPr>
              <w:t xml:space="preserve">Superior Digital Displays, LLC </w:t>
            </w:r>
            <w:r>
              <w:rPr>
                <w:rFonts w:ascii="Arial" w:cs="Arial" w:eastAsia="Arial" w:hAnsi="Arial"/>
                <w:sz w:val="9"/>
                <w:szCs w:val="9"/>
                <w:color w:val="auto"/>
              </w:rPr>
              <w:t>(9)</w:t>
            </w:r>
          </w:p>
        </w:tc>
        <w:tc>
          <w:tcPr>
            <w:tcW w:w="820" w:type="dxa"/>
            <w:vAlign w:val="bottom"/>
          </w:tcPr>
          <w:p>
            <w:pPr>
              <w:jc w:val="center"/>
              <w:ind w:right="2"/>
              <w:spacing w:after="0" w:line="135" w:lineRule="exact"/>
              <w:rPr>
                <w:sz w:val="20"/>
                <w:szCs w:val="20"/>
                <w:color w:val="auto"/>
              </w:rPr>
            </w:pPr>
            <w:r>
              <w:rPr>
                <w:rFonts w:ascii="Arial" w:cs="Arial" w:eastAsia="Arial" w:hAnsi="Arial"/>
                <w:sz w:val="12"/>
                <w:szCs w:val="12"/>
                <w:color w:val="auto"/>
                <w:w w:val="86"/>
              </w:rPr>
              <w:t>12/31/2018</w:t>
            </w:r>
          </w:p>
        </w:tc>
        <w:tc>
          <w:tcPr>
            <w:tcW w:w="206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91"/>
              </w:rPr>
              <w:t>Media</w:t>
            </w:r>
          </w:p>
        </w:tc>
        <w:tc>
          <w:tcPr>
            <w:tcW w:w="1140" w:type="dxa"/>
            <w:vAlign w:val="bottom"/>
            <w:gridSpan w:val="2"/>
          </w:tcPr>
          <w:p>
            <w:pPr>
              <w:jc w:val="right"/>
              <w:ind w:right="380"/>
              <w:spacing w:after="0" w:line="135" w:lineRule="exact"/>
              <w:rPr>
                <w:sz w:val="20"/>
                <w:szCs w:val="20"/>
                <w:color w:val="auto"/>
              </w:rPr>
            </w:pPr>
            <w:r>
              <w:rPr>
                <w:rFonts w:ascii="Arial" w:cs="Arial" w:eastAsia="Arial" w:hAnsi="Arial"/>
                <w:sz w:val="12"/>
                <w:szCs w:val="12"/>
                <w:color w:val="auto"/>
              </w:rPr>
              <w:t>—</w:t>
            </w:r>
          </w:p>
        </w:tc>
        <w:tc>
          <w:tcPr>
            <w:tcW w:w="100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2,850,000</w:t>
            </w:r>
          </w:p>
        </w:tc>
        <w:tc>
          <w:tcPr>
            <w:tcW w:w="80" w:type="dxa"/>
            <w:vAlign w:val="bottom"/>
          </w:tcPr>
          <w:p>
            <w:pPr>
              <w:spacing w:after="0"/>
              <w:rPr>
                <w:sz w:val="11"/>
                <w:szCs w:val="11"/>
                <w:color w:val="auto"/>
              </w:rPr>
            </w:pP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2,572,719</w:t>
            </w:r>
          </w:p>
        </w:tc>
        <w:tc>
          <w:tcPr>
            <w:tcW w:w="80" w:type="dxa"/>
            <w:vAlign w:val="bottom"/>
          </w:tcPr>
          <w:p>
            <w:pPr>
              <w:spacing w:after="0"/>
              <w:rPr>
                <w:sz w:val="11"/>
                <w:szCs w:val="11"/>
                <w:color w:val="auto"/>
              </w:rPr>
            </w:pPr>
          </w:p>
        </w:tc>
        <w:tc>
          <w:tcPr>
            <w:tcW w:w="76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2,481,022</w:t>
            </w:r>
          </w:p>
        </w:tc>
        <w:tc>
          <w:tcPr>
            <w:tcW w:w="0" w:type="dxa"/>
            <w:vAlign w:val="bottom"/>
          </w:tcPr>
          <w:p>
            <w:pPr>
              <w:spacing w:after="0"/>
              <w:rPr>
                <w:sz w:val="1"/>
                <w:szCs w:val="1"/>
                <w:color w:val="auto"/>
              </w:rPr>
            </w:pPr>
          </w:p>
        </w:tc>
      </w:tr>
      <w:tr>
        <w:trPr>
          <w:trHeight w:val="135"/>
        </w:trPr>
        <w:tc>
          <w:tcPr>
            <w:tcW w:w="32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SuttonPark Holdings, Inc.</w:t>
            </w:r>
          </w:p>
        </w:tc>
        <w:tc>
          <w:tcPr>
            <w:tcW w:w="820" w:type="dxa"/>
            <w:vAlign w:val="bottom"/>
            <w:shd w:val="clear" w:color="auto" w:fill="CCEEFF"/>
          </w:tcPr>
          <w:p>
            <w:pPr>
              <w:jc w:val="center"/>
              <w:ind w:right="2"/>
              <w:spacing w:after="0" w:line="135" w:lineRule="exact"/>
              <w:rPr>
                <w:sz w:val="20"/>
                <w:szCs w:val="20"/>
                <w:color w:val="auto"/>
              </w:rPr>
            </w:pPr>
            <w:r>
              <w:rPr>
                <w:rFonts w:ascii="Arial" w:cs="Arial" w:eastAsia="Arial" w:hAnsi="Arial"/>
                <w:sz w:val="12"/>
                <w:szCs w:val="12"/>
                <w:color w:val="auto"/>
                <w:w w:val="86"/>
              </w:rPr>
              <w:t>06/30/2020</w:t>
            </w:r>
          </w:p>
        </w:tc>
        <w:tc>
          <w:tcPr>
            <w:tcW w:w="206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5"/>
              </w:rPr>
              <w:t>Business Services</w:t>
            </w:r>
          </w:p>
        </w:tc>
        <w:tc>
          <w:tcPr>
            <w:tcW w:w="11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14.00%</w:t>
            </w:r>
            <w:r>
              <w:rPr>
                <w:rFonts w:ascii="Arial" w:cs="Arial" w:eastAsia="Arial" w:hAnsi="Arial"/>
                <w:sz w:val="9"/>
                <w:szCs w:val="9"/>
                <w:color w:val="auto"/>
              </w:rPr>
              <w:t>(7)</w:t>
            </w:r>
          </w:p>
        </w:tc>
        <w:tc>
          <w:tcPr>
            <w:tcW w:w="10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9,250,000</w:t>
            </w: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9,250,000</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9,526,144</w:t>
            </w:r>
          </w:p>
        </w:tc>
        <w:tc>
          <w:tcPr>
            <w:tcW w:w="0" w:type="dxa"/>
            <w:vAlign w:val="bottom"/>
          </w:tcPr>
          <w:p>
            <w:pPr>
              <w:spacing w:after="0"/>
              <w:rPr>
                <w:sz w:val="1"/>
                <w:szCs w:val="1"/>
                <w:color w:val="auto"/>
              </w:rPr>
            </w:pPr>
          </w:p>
        </w:tc>
      </w:tr>
      <w:tr>
        <w:trPr>
          <w:trHeight w:val="20"/>
        </w:trPr>
        <w:tc>
          <w:tcPr>
            <w:tcW w:w="3280" w:type="dxa"/>
            <w:vAlign w:val="bottom"/>
            <w:vMerge w:val="restart"/>
          </w:tcPr>
          <w:p>
            <w:pPr>
              <w:spacing w:after="0"/>
              <w:rPr>
                <w:sz w:val="20"/>
                <w:szCs w:val="20"/>
                <w:color w:val="auto"/>
              </w:rPr>
            </w:pPr>
            <w:r>
              <w:rPr>
                <w:rFonts w:ascii="Arial" w:cs="Arial" w:eastAsia="Arial" w:hAnsi="Arial"/>
                <w:sz w:val="12"/>
                <w:szCs w:val="12"/>
                <w:b w:val="1"/>
                <w:bCs w:val="1"/>
                <w:color w:val="auto"/>
              </w:rPr>
              <w:t>Total First Lien Secured Debt</w:t>
            </w:r>
          </w:p>
        </w:tc>
        <w:tc>
          <w:tcPr>
            <w:tcW w:w="8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280" w:type="dxa"/>
            <w:vAlign w:val="bottom"/>
            <w:vMerge w:val="continue"/>
          </w:tcPr>
          <w:p>
            <w:pPr>
              <w:spacing w:after="0"/>
              <w:rPr>
                <w:sz w:val="12"/>
                <w:szCs w:val="12"/>
                <w:color w:val="auto"/>
              </w:rPr>
            </w:pPr>
          </w:p>
        </w:tc>
        <w:tc>
          <w:tcPr>
            <w:tcW w:w="8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31,747,455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2"/>
                <w:szCs w:val="12"/>
                <w:color w:val="auto"/>
              </w:rPr>
              <w:t>31,289,494</w:t>
            </w:r>
          </w:p>
        </w:tc>
        <w:tc>
          <w:tcPr>
            <w:tcW w:w="0" w:type="dxa"/>
            <w:vAlign w:val="bottom"/>
          </w:tcPr>
          <w:p>
            <w:pPr>
              <w:spacing w:after="0"/>
              <w:rPr>
                <w:sz w:val="1"/>
                <w:szCs w:val="1"/>
                <w:color w:val="auto"/>
              </w:rPr>
            </w:pPr>
          </w:p>
        </w:tc>
      </w:tr>
      <w:tr>
        <w:trPr>
          <w:trHeight w:val="135"/>
        </w:trPr>
        <w:tc>
          <w:tcPr>
            <w:tcW w:w="328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Subordinated Debt/Corporate Notes—0.3%</w:t>
            </w:r>
          </w:p>
        </w:tc>
        <w:tc>
          <w:tcPr>
            <w:tcW w:w="82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280" w:type="dxa"/>
            <w:vAlign w:val="bottom"/>
          </w:tcPr>
          <w:p>
            <w:pPr>
              <w:spacing w:after="0" w:line="135" w:lineRule="exact"/>
              <w:rPr>
                <w:sz w:val="20"/>
                <w:szCs w:val="20"/>
                <w:color w:val="auto"/>
              </w:rPr>
            </w:pPr>
            <w:r>
              <w:rPr>
                <w:rFonts w:ascii="Arial" w:cs="Arial" w:eastAsia="Arial" w:hAnsi="Arial"/>
                <w:sz w:val="12"/>
                <w:szCs w:val="12"/>
                <w:color w:val="auto"/>
              </w:rPr>
              <w:t>SuttonPark Holdings, Inc.</w:t>
            </w:r>
          </w:p>
        </w:tc>
        <w:tc>
          <w:tcPr>
            <w:tcW w:w="820" w:type="dxa"/>
            <w:vAlign w:val="bottom"/>
          </w:tcPr>
          <w:p>
            <w:pPr>
              <w:jc w:val="center"/>
              <w:ind w:right="2"/>
              <w:spacing w:after="0" w:line="135" w:lineRule="exact"/>
              <w:rPr>
                <w:sz w:val="20"/>
                <w:szCs w:val="20"/>
                <w:color w:val="auto"/>
              </w:rPr>
            </w:pPr>
            <w:r>
              <w:rPr>
                <w:rFonts w:ascii="Arial" w:cs="Arial" w:eastAsia="Arial" w:hAnsi="Arial"/>
                <w:sz w:val="12"/>
                <w:szCs w:val="12"/>
                <w:color w:val="auto"/>
                <w:w w:val="89"/>
              </w:rPr>
              <w:t>6/30/2020</w:t>
            </w:r>
          </w:p>
        </w:tc>
        <w:tc>
          <w:tcPr>
            <w:tcW w:w="206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5"/>
              </w:rPr>
              <w:t>Business Services</w:t>
            </w:r>
          </w:p>
        </w:tc>
        <w:tc>
          <w:tcPr>
            <w:tcW w:w="114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14.00%</w:t>
            </w:r>
            <w:r>
              <w:rPr>
                <w:rFonts w:ascii="Arial" w:cs="Arial" w:eastAsia="Arial" w:hAnsi="Arial"/>
                <w:sz w:val="9"/>
                <w:szCs w:val="9"/>
                <w:color w:val="auto"/>
              </w:rPr>
              <w:t>(7)</w:t>
            </w:r>
          </w:p>
        </w:tc>
        <w:tc>
          <w:tcPr>
            <w:tcW w:w="100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2,250,000</w:t>
            </w:r>
          </w:p>
        </w:tc>
        <w:tc>
          <w:tcPr>
            <w:tcW w:w="80" w:type="dxa"/>
            <w:vAlign w:val="bottom"/>
          </w:tcPr>
          <w:p>
            <w:pPr>
              <w:spacing w:after="0"/>
              <w:rPr>
                <w:sz w:val="12"/>
                <w:szCs w:val="12"/>
                <w:color w:val="auto"/>
              </w:rPr>
            </w:pP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2,250,000</w:t>
            </w:r>
          </w:p>
        </w:tc>
        <w:tc>
          <w:tcPr>
            <w:tcW w:w="80" w:type="dxa"/>
            <w:vAlign w:val="bottom"/>
          </w:tcPr>
          <w:p>
            <w:pPr>
              <w:spacing w:after="0"/>
              <w:rPr>
                <w:sz w:val="12"/>
                <w:szCs w:val="12"/>
                <w:color w:val="auto"/>
              </w:rPr>
            </w:pPr>
          </w:p>
        </w:tc>
        <w:tc>
          <w:tcPr>
            <w:tcW w:w="76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1,986,611</w:t>
            </w:r>
          </w:p>
        </w:tc>
        <w:tc>
          <w:tcPr>
            <w:tcW w:w="0" w:type="dxa"/>
            <w:vAlign w:val="bottom"/>
          </w:tcPr>
          <w:p>
            <w:pPr>
              <w:spacing w:after="0"/>
              <w:rPr>
                <w:sz w:val="1"/>
                <w:szCs w:val="1"/>
                <w:color w:val="auto"/>
              </w:rPr>
            </w:pPr>
          </w:p>
        </w:tc>
      </w:tr>
      <w:tr>
        <w:trPr>
          <w:trHeight w:val="135"/>
        </w:trPr>
        <w:tc>
          <w:tcPr>
            <w:tcW w:w="328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 xml:space="preserve">Preferred Equity—0.3% </w:t>
            </w:r>
            <w:r>
              <w:rPr>
                <w:rFonts w:ascii="Arial" w:cs="Arial" w:eastAsia="Arial" w:hAnsi="Arial"/>
                <w:sz w:val="9"/>
                <w:szCs w:val="9"/>
                <w:b w:val="1"/>
                <w:bCs w:val="1"/>
                <w:color w:val="auto"/>
              </w:rPr>
              <w:t>(6)</w:t>
            </w:r>
          </w:p>
        </w:tc>
        <w:tc>
          <w:tcPr>
            <w:tcW w:w="82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280" w:type="dxa"/>
            <w:vAlign w:val="bottom"/>
          </w:tcPr>
          <w:p>
            <w:pPr>
              <w:spacing w:after="0" w:line="135" w:lineRule="exact"/>
              <w:rPr>
                <w:sz w:val="20"/>
                <w:szCs w:val="20"/>
                <w:color w:val="auto"/>
              </w:rPr>
            </w:pPr>
            <w:r>
              <w:rPr>
                <w:rFonts w:ascii="Arial" w:cs="Arial" w:eastAsia="Arial" w:hAnsi="Arial"/>
                <w:sz w:val="12"/>
                <w:szCs w:val="12"/>
                <w:color w:val="auto"/>
              </w:rPr>
              <w:t>SuttonPark Holdings, Inc.</w:t>
            </w:r>
          </w:p>
        </w:tc>
        <w:tc>
          <w:tcPr>
            <w:tcW w:w="820" w:type="dxa"/>
            <w:vAlign w:val="bottom"/>
          </w:tcPr>
          <w:p>
            <w:pPr>
              <w:jc w:val="center"/>
              <w:ind w:right="2"/>
              <w:spacing w:after="0" w:line="135" w:lineRule="exact"/>
              <w:rPr>
                <w:sz w:val="20"/>
                <w:szCs w:val="20"/>
                <w:color w:val="auto"/>
              </w:rPr>
            </w:pPr>
            <w:r>
              <w:rPr>
                <w:rFonts w:ascii="Arial" w:cs="Arial" w:eastAsia="Arial" w:hAnsi="Arial"/>
                <w:sz w:val="12"/>
                <w:szCs w:val="12"/>
                <w:color w:val="auto"/>
                <w:w w:val="99"/>
              </w:rPr>
              <w:t>—</w:t>
            </w:r>
          </w:p>
        </w:tc>
        <w:tc>
          <w:tcPr>
            <w:tcW w:w="206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5"/>
              </w:rPr>
              <w:t>Business Services</w:t>
            </w:r>
          </w:p>
        </w:tc>
        <w:tc>
          <w:tcPr>
            <w:tcW w:w="1140" w:type="dxa"/>
            <w:vAlign w:val="bottom"/>
            <w:gridSpan w:val="2"/>
          </w:tcPr>
          <w:p>
            <w:pPr>
              <w:jc w:val="right"/>
              <w:ind w:right="280"/>
              <w:spacing w:after="0" w:line="135" w:lineRule="exact"/>
              <w:rPr>
                <w:sz w:val="20"/>
                <w:szCs w:val="20"/>
                <w:color w:val="auto"/>
              </w:rPr>
            </w:pPr>
            <w:r>
              <w:rPr>
                <w:rFonts w:ascii="Arial" w:cs="Arial" w:eastAsia="Arial" w:hAnsi="Arial"/>
                <w:sz w:val="12"/>
                <w:szCs w:val="12"/>
                <w:color w:val="auto"/>
              </w:rPr>
              <w:t>14.00%</w:t>
            </w:r>
          </w:p>
        </w:tc>
        <w:tc>
          <w:tcPr>
            <w:tcW w:w="100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2,500</w:t>
            </w:r>
          </w:p>
        </w:tc>
        <w:tc>
          <w:tcPr>
            <w:tcW w:w="80" w:type="dxa"/>
            <w:vAlign w:val="bottom"/>
          </w:tcPr>
          <w:p>
            <w:pPr>
              <w:spacing w:after="0"/>
              <w:rPr>
                <w:sz w:val="12"/>
                <w:szCs w:val="12"/>
                <w:color w:val="auto"/>
              </w:rPr>
            </w:pP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2,500,000</w:t>
            </w:r>
          </w:p>
        </w:tc>
        <w:tc>
          <w:tcPr>
            <w:tcW w:w="80" w:type="dxa"/>
            <w:vAlign w:val="bottom"/>
          </w:tcPr>
          <w:p>
            <w:pPr>
              <w:spacing w:after="0"/>
              <w:rPr>
                <w:sz w:val="12"/>
                <w:szCs w:val="12"/>
                <w:color w:val="auto"/>
              </w:rPr>
            </w:pPr>
          </w:p>
        </w:tc>
        <w:tc>
          <w:tcPr>
            <w:tcW w:w="76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2,487,245</w:t>
            </w:r>
          </w:p>
        </w:tc>
        <w:tc>
          <w:tcPr>
            <w:tcW w:w="0" w:type="dxa"/>
            <w:vAlign w:val="bottom"/>
          </w:tcPr>
          <w:p>
            <w:pPr>
              <w:spacing w:after="0"/>
              <w:rPr>
                <w:sz w:val="1"/>
                <w:szCs w:val="1"/>
                <w:color w:val="auto"/>
              </w:rPr>
            </w:pPr>
          </w:p>
        </w:tc>
      </w:tr>
      <w:tr>
        <w:trPr>
          <w:trHeight w:val="135"/>
        </w:trPr>
        <w:tc>
          <w:tcPr>
            <w:tcW w:w="328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 xml:space="preserve">Common Equity—0.2% </w:t>
            </w:r>
            <w:r>
              <w:rPr>
                <w:rFonts w:ascii="Arial" w:cs="Arial" w:eastAsia="Arial" w:hAnsi="Arial"/>
                <w:sz w:val="9"/>
                <w:szCs w:val="9"/>
                <w:b w:val="1"/>
                <w:bCs w:val="1"/>
                <w:color w:val="auto"/>
              </w:rPr>
              <w:t>(6)</w:t>
            </w:r>
          </w:p>
        </w:tc>
        <w:tc>
          <w:tcPr>
            <w:tcW w:w="82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280" w:type="dxa"/>
            <w:vAlign w:val="bottom"/>
          </w:tcPr>
          <w:p>
            <w:pPr>
              <w:spacing w:after="0" w:line="129" w:lineRule="exact"/>
              <w:rPr>
                <w:sz w:val="20"/>
                <w:szCs w:val="20"/>
                <w:color w:val="auto"/>
              </w:rPr>
            </w:pPr>
            <w:r>
              <w:rPr>
                <w:rFonts w:ascii="Arial" w:cs="Arial" w:eastAsia="Arial" w:hAnsi="Arial"/>
                <w:sz w:val="12"/>
                <w:szCs w:val="12"/>
                <w:color w:val="auto"/>
              </w:rPr>
              <w:t>Superior Digital Displays Holdings, Inc.</w:t>
            </w:r>
          </w:p>
        </w:tc>
        <w:tc>
          <w:tcPr>
            <w:tcW w:w="820" w:type="dxa"/>
            <w:vAlign w:val="bottom"/>
          </w:tcPr>
          <w:p>
            <w:pPr>
              <w:jc w:val="center"/>
              <w:ind w:right="2"/>
              <w:spacing w:after="0" w:line="129" w:lineRule="exact"/>
              <w:rPr>
                <w:sz w:val="20"/>
                <w:szCs w:val="20"/>
                <w:color w:val="auto"/>
              </w:rPr>
            </w:pPr>
            <w:r>
              <w:rPr>
                <w:rFonts w:ascii="Arial" w:cs="Arial" w:eastAsia="Arial" w:hAnsi="Arial"/>
                <w:sz w:val="12"/>
                <w:szCs w:val="12"/>
                <w:color w:val="auto"/>
                <w:w w:val="99"/>
              </w:rPr>
              <w:t>—</w:t>
            </w:r>
          </w:p>
        </w:tc>
        <w:tc>
          <w:tcPr>
            <w:tcW w:w="2060" w:type="dxa"/>
            <w:vAlign w:val="bottom"/>
            <w:gridSpan w:val="2"/>
          </w:tcPr>
          <w:p>
            <w:pPr>
              <w:jc w:val="center"/>
              <w:ind w:right="120"/>
              <w:spacing w:after="0" w:line="129" w:lineRule="exact"/>
              <w:rPr>
                <w:sz w:val="20"/>
                <w:szCs w:val="20"/>
                <w:color w:val="auto"/>
              </w:rPr>
            </w:pPr>
            <w:r>
              <w:rPr>
                <w:rFonts w:ascii="Arial" w:cs="Arial" w:eastAsia="Arial" w:hAnsi="Arial"/>
                <w:sz w:val="12"/>
                <w:szCs w:val="12"/>
                <w:color w:val="auto"/>
                <w:w w:val="91"/>
              </w:rPr>
              <w:t>Media</w:t>
            </w:r>
          </w:p>
        </w:tc>
        <w:tc>
          <w:tcPr>
            <w:tcW w:w="1140" w:type="dxa"/>
            <w:vAlign w:val="bottom"/>
            <w:gridSpan w:val="2"/>
          </w:tcPr>
          <w:p>
            <w:pPr>
              <w:jc w:val="right"/>
              <w:ind w:right="380"/>
              <w:spacing w:after="0" w:line="129" w:lineRule="exact"/>
              <w:rPr>
                <w:sz w:val="20"/>
                <w:szCs w:val="20"/>
                <w:color w:val="auto"/>
              </w:rPr>
            </w:pPr>
            <w:r>
              <w:rPr>
                <w:rFonts w:ascii="Arial" w:cs="Arial" w:eastAsia="Arial" w:hAnsi="Arial"/>
                <w:sz w:val="12"/>
                <w:szCs w:val="12"/>
                <w:color w:val="auto"/>
              </w:rPr>
              <w:t>—</w:t>
            </w:r>
          </w:p>
        </w:tc>
        <w:tc>
          <w:tcPr>
            <w:tcW w:w="1000" w:type="dxa"/>
            <w:vAlign w:val="bottom"/>
            <w:gridSpan w:val="2"/>
          </w:tcPr>
          <w:p>
            <w:pPr>
              <w:jc w:val="right"/>
              <w:ind w:right="200"/>
              <w:spacing w:after="0" w:line="129" w:lineRule="exact"/>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200"/>
              <w:spacing w:after="0" w:line="129" w:lineRule="exact"/>
              <w:rPr>
                <w:sz w:val="20"/>
                <w:szCs w:val="20"/>
                <w:color w:val="auto"/>
              </w:rPr>
            </w:pPr>
            <w:r>
              <w:rPr>
                <w:rFonts w:ascii="Arial" w:cs="Arial" w:eastAsia="Arial" w:hAnsi="Arial"/>
                <w:sz w:val="12"/>
                <w:szCs w:val="12"/>
                <w:color w:val="auto"/>
              </w:rPr>
              <w:t>4,750</w:t>
            </w:r>
          </w:p>
        </w:tc>
        <w:tc>
          <w:tcPr>
            <w:tcW w:w="80" w:type="dxa"/>
            <w:vAlign w:val="bottom"/>
          </w:tcPr>
          <w:p>
            <w:pPr>
              <w:spacing w:after="0"/>
              <w:rPr>
                <w:sz w:val="11"/>
                <w:szCs w:val="11"/>
                <w:color w:val="auto"/>
              </w:rPr>
            </w:pPr>
          </w:p>
        </w:tc>
        <w:tc>
          <w:tcPr>
            <w:tcW w:w="920" w:type="dxa"/>
            <w:vAlign w:val="bottom"/>
            <w:gridSpan w:val="2"/>
          </w:tcPr>
          <w:p>
            <w:pPr>
              <w:jc w:val="right"/>
              <w:ind w:right="240"/>
              <w:spacing w:after="0" w:line="129" w:lineRule="exact"/>
              <w:rPr>
                <w:sz w:val="20"/>
                <w:szCs w:val="20"/>
                <w:color w:val="auto"/>
              </w:rPr>
            </w:pPr>
            <w:r>
              <w:rPr>
                <w:rFonts w:ascii="Arial" w:cs="Arial" w:eastAsia="Arial" w:hAnsi="Arial"/>
                <w:sz w:val="12"/>
                <w:szCs w:val="12"/>
                <w:color w:val="auto"/>
              </w:rPr>
              <w:t>2,211,000</w:t>
            </w:r>
          </w:p>
        </w:tc>
        <w:tc>
          <w:tcPr>
            <w:tcW w:w="80" w:type="dxa"/>
            <w:vAlign w:val="bottom"/>
          </w:tcPr>
          <w:p>
            <w:pPr>
              <w:spacing w:after="0"/>
              <w:rPr>
                <w:sz w:val="11"/>
                <w:szCs w:val="11"/>
                <w:color w:val="auto"/>
              </w:rPr>
            </w:pPr>
          </w:p>
        </w:tc>
        <w:tc>
          <w:tcPr>
            <w:tcW w:w="760" w:type="dxa"/>
            <w:vAlign w:val="bottom"/>
            <w:gridSpan w:val="2"/>
          </w:tcPr>
          <w:p>
            <w:pPr>
              <w:jc w:val="right"/>
              <w:ind w:right="100"/>
              <w:spacing w:after="0" w:line="129" w:lineRule="exact"/>
              <w:rPr>
                <w:sz w:val="20"/>
                <w:szCs w:val="20"/>
                <w:color w:val="auto"/>
              </w:rPr>
            </w:pPr>
            <w:r>
              <w:rPr>
                <w:rFonts w:ascii="Arial" w:cs="Arial" w:eastAsia="Arial" w:hAnsi="Arial"/>
                <w:sz w:val="12"/>
                <w:szCs w:val="12"/>
                <w:color w:val="auto"/>
              </w:rPr>
              <w:t>1,928,495</w:t>
            </w:r>
          </w:p>
        </w:tc>
        <w:tc>
          <w:tcPr>
            <w:tcW w:w="0" w:type="dxa"/>
            <w:vAlign w:val="bottom"/>
          </w:tcPr>
          <w:p>
            <w:pPr>
              <w:spacing w:after="0"/>
              <w:rPr>
                <w:sz w:val="1"/>
                <w:szCs w:val="1"/>
                <w:color w:val="auto"/>
              </w:rPr>
            </w:pPr>
          </w:p>
        </w:tc>
      </w:tr>
      <w:tr>
        <w:trPr>
          <w:trHeight w:val="141"/>
        </w:trPr>
        <w:tc>
          <w:tcPr>
            <w:tcW w:w="3280" w:type="dxa"/>
            <w:vAlign w:val="bottom"/>
          </w:tcPr>
          <w:p>
            <w:pPr>
              <w:ind w:left="120"/>
              <w:spacing w:after="0"/>
              <w:rPr>
                <w:sz w:val="20"/>
                <w:szCs w:val="20"/>
                <w:color w:val="auto"/>
              </w:rPr>
            </w:pPr>
            <w:r>
              <w:rPr>
                <w:rFonts w:ascii="Arial" w:cs="Arial" w:eastAsia="Arial" w:hAnsi="Arial"/>
                <w:sz w:val="12"/>
                <w:szCs w:val="12"/>
                <w:color w:val="auto"/>
              </w:rPr>
              <w:t>(Superior Digital Displays, LLC)</w:t>
            </w:r>
          </w:p>
        </w:tc>
        <w:tc>
          <w:tcPr>
            <w:tcW w:w="8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SuttonPark Holdings, Inc.</w:t>
            </w:r>
          </w:p>
        </w:tc>
        <w:tc>
          <w:tcPr>
            <w:tcW w:w="820" w:type="dxa"/>
            <w:vAlign w:val="bottom"/>
            <w:shd w:val="clear" w:color="auto" w:fill="CCEEFF"/>
          </w:tcPr>
          <w:p>
            <w:pPr>
              <w:jc w:val="center"/>
              <w:ind w:right="2"/>
              <w:spacing w:after="0" w:line="135" w:lineRule="exact"/>
              <w:rPr>
                <w:sz w:val="20"/>
                <w:szCs w:val="20"/>
                <w:color w:val="auto"/>
              </w:rPr>
            </w:pPr>
            <w:r>
              <w:rPr>
                <w:rFonts w:ascii="Arial" w:cs="Arial" w:eastAsia="Arial" w:hAnsi="Arial"/>
                <w:sz w:val="12"/>
                <w:szCs w:val="12"/>
                <w:color w:val="auto"/>
                <w:w w:val="99"/>
              </w:rPr>
              <w:t>—</w:t>
            </w:r>
          </w:p>
        </w:tc>
        <w:tc>
          <w:tcPr>
            <w:tcW w:w="206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5"/>
              </w:rPr>
              <w:t>Business Services</w:t>
            </w:r>
          </w:p>
        </w:tc>
        <w:tc>
          <w:tcPr>
            <w:tcW w:w="1140" w:type="dxa"/>
            <w:vAlign w:val="bottom"/>
            <w:gridSpan w:val="2"/>
            <w:shd w:val="clear" w:color="auto" w:fill="CCEEFF"/>
          </w:tcPr>
          <w:p>
            <w:pPr>
              <w:jc w:val="right"/>
              <w:ind w:right="380"/>
              <w:spacing w:after="0" w:line="135" w:lineRule="exact"/>
              <w:rPr>
                <w:sz w:val="20"/>
                <w:szCs w:val="20"/>
                <w:color w:val="auto"/>
              </w:rPr>
            </w:pPr>
            <w:r>
              <w:rPr>
                <w:rFonts w:ascii="Arial" w:cs="Arial" w:eastAsia="Arial" w:hAnsi="Arial"/>
                <w:sz w:val="12"/>
                <w:szCs w:val="12"/>
                <w:color w:val="auto"/>
              </w:rPr>
              <w:t>—</w:t>
            </w:r>
          </w:p>
        </w:tc>
        <w:tc>
          <w:tcPr>
            <w:tcW w:w="10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100</w:t>
            </w: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100</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3280" w:type="dxa"/>
            <w:vAlign w:val="bottom"/>
            <w:vMerge w:val="restart"/>
          </w:tcPr>
          <w:p>
            <w:pPr>
              <w:spacing w:after="0"/>
              <w:rPr>
                <w:sz w:val="20"/>
                <w:szCs w:val="20"/>
                <w:color w:val="auto"/>
              </w:rPr>
            </w:pPr>
            <w:r>
              <w:rPr>
                <w:rFonts w:ascii="Arial" w:cs="Arial" w:eastAsia="Arial" w:hAnsi="Arial"/>
                <w:sz w:val="12"/>
                <w:szCs w:val="12"/>
                <w:b w:val="1"/>
                <w:bCs w:val="1"/>
                <w:color w:val="auto"/>
              </w:rPr>
              <w:t>Total Common Equity</w:t>
            </w:r>
          </w:p>
        </w:tc>
        <w:tc>
          <w:tcPr>
            <w:tcW w:w="8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280" w:type="dxa"/>
            <w:vAlign w:val="bottom"/>
            <w:vMerge w:val="continue"/>
          </w:tcPr>
          <w:p>
            <w:pPr>
              <w:spacing w:after="0"/>
              <w:rPr>
                <w:sz w:val="12"/>
                <w:szCs w:val="12"/>
                <w:color w:val="auto"/>
              </w:rPr>
            </w:pPr>
          </w:p>
        </w:tc>
        <w:tc>
          <w:tcPr>
            <w:tcW w:w="8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2,211,100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2"/>
                <w:szCs w:val="12"/>
                <w:color w:val="auto"/>
              </w:rPr>
              <w:t>1,928,495</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328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w w:val="91"/>
              </w:rPr>
              <w:t>Total Investments in Controlled, Affiliated Portfolio Companies</w:t>
            </w:r>
          </w:p>
        </w:tc>
        <w:tc>
          <w:tcPr>
            <w:tcW w:w="82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38,708,555</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37,691,845</w:t>
            </w:r>
          </w:p>
        </w:tc>
        <w:tc>
          <w:tcPr>
            <w:tcW w:w="0" w:type="dxa"/>
            <w:vAlign w:val="bottom"/>
          </w:tcPr>
          <w:p>
            <w:pPr>
              <w:spacing w:after="0"/>
              <w:rPr>
                <w:sz w:val="1"/>
                <w:szCs w:val="1"/>
                <w:color w:val="auto"/>
              </w:rPr>
            </w:pPr>
          </w:p>
        </w:tc>
      </w:tr>
      <w:tr>
        <w:trPr>
          <w:trHeight w:val="20"/>
        </w:trPr>
        <w:tc>
          <w:tcPr>
            <w:tcW w:w="3280" w:type="dxa"/>
            <w:vAlign w:val="bottom"/>
            <w:vMerge w:val="restart"/>
          </w:tcPr>
          <w:p>
            <w:pPr>
              <w:spacing w:after="0"/>
              <w:rPr>
                <w:sz w:val="20"/>
                <w:szCs w:val="20"/>
                <w:color w:val="auto"/>
              </w:rPr>
            </w:pPr>
            <w:r>
              <w:rPr>
                <w:rFonts w:ascii="Arial" w:cs="Arial" w:eastAsia="Arial" w:hAnsi="Arial"/>
                <w:sz w:val="12"/>
                <w:szCs w:val="12"/>
                <w:b w:val="1"/>
                <w:bCs w:val="1"/>
                <w:color w:val="auto"/>
              </w:rPr>
              <w:t>Total Investments—159.2%</w:t>
            </w:r>
          </w:p>
        </w:tc>
        <w:tc>
          <w:tcPr>
            <w:tcW w:w="8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280" w:type="dxa"/>
            <w:vAlign w:val="bottom"/>
            <w:vMerge w:val="continue"/>
          </w:tcPr>
          <w:p>
            <w:pPr>
              <w:spacing w:after="0"/>
              <w:rPr>
                <w:sz w:val="12"/>
                <w:szCs w:val="12"/>
                <w:color w:val="auto"/>
              </w:rPr>
            </w:pPr>
          </w:p>
        </w:tc>
        <w:tc>
          <w:tcPr>
            <w:tcW w:w="8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w w:val="85"/>
              </w:rPr>
              <w:t>1,318,854,320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2"/>
                <w:szCs w:val="12"/>
                <w:color w:val="auto"/>
                <w:w w:val="83"/>
              </w:rPr>
              <w:t>1,318,054,766</w:t>
            </w:r>
          </w:p>
        </w:tc>
        <w:tc>
          <w:tcPr>
            <w:tcW w:w="0" w:type="dxa"/>
            <w:vAlign w:val="bottom"/>
          </w:tcPr>
          <w:p>
            <w:pPr>
              <w:spacing w:after="0"/>
              <w:rPr>
                <w:sz w:val="1"/>
                <w:szCs w:val="1"/>
                <w:color w:val="auto"/>
              </w:rPr>
            </w:pPr>
          </w:p>
        </w:tc>
      </w:tr>
      <w:tr>
        <w:trPr>
          <w:trHeight w:val="135"/>
        </w:trPr>
        <w:tc>
          <w:tcPr>
            <w:tcW w:w="328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Cash and Cash Equivalents—8.0%</w:t>
            </w:r>
          </w:p>
        </w:tc>
        <w:tc>
          <w:tcPr>
            <w:tcW w:w="82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80" w:type="dxa"/>
            <w:vAlign w:val="bottom"/>
          </w:tcPr>
          <w:p>
            <w:pPr>
              <w:spacing w:after="0" w:line="135" w:lineRule="exact"/>
              <w:rPr>
                <w:sz w:val="20"/>
                <w:szCs w:val="20"/>
                <w:color w:val="auto"/>
              </w:rPr>
            </w:pPr>
            <w:r>
              <w:rPr>
                <w:rFonts w:ascii="Arial" w:cs="Arial" w:eastAsia="Arial" w:hAnsi="Arial"/>
                <w:sz w:val="12"/>
                <w:szCs w:val="12"/>
                <w:color w:val="auto"/>
              </w:rPr>
              <w:t>BlackRock Liquidity Funds, Temp Cash, Institutional Shares</w:t>
            </w:r>
          </w:p>
        </w:tc>
        <w:tc>
          <w:tcPr>
            <w:tcW w:w="8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6,805,293</w:t>
            </w:r>
          </w:p>
        </w:tc>
        <w:tc>
          <w:tcPr>
            <w:tcW w:w="80" w:type="dxa"/>
            <w:vAlign w:val="bottom"/>
          </w:tcPr>
          <w:p>
            <w:pPr>
              <w:spacing w:after="0"/>
              <w:rPr>
                <w:sz w:val="11"/>
                <w:szCs w:val="11"/>
                <w:color w:val="auto"/>
              </w:rPr>
            </w:pPr>
          </w:p>
        </w:tc>
        <w:tc>
          <w:tcPr>
            <w:tcW w:w="76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6,805,293</w:t>
            </w:r>
          </w:p>
        </w:tc>
        <w:tc>
          <w:tcPr>
            <w:tcW w:w="0" w:type="dxa"/>
            <w:vAlign w:val="bottom"/>
          </w:tcPr>
          <w:p>
            <w:pPr>
              <w:spacing w:after="0"/>
              <w:rPr>
                <w:sz w:val="1"/>
                <w:szCs w:val="1"/>
                <w:color w:val="auto"/>
              </w:rPr>
            </w:pPr>
          </w:p>
        </w:tc>
      </w:tr>
      <w:tr>
        <w:trPr>
          <w:trHeight w:val="135"/>
        </w:trPr>
        <w:tc>
          <w:tcPr>
            <w:tcW w:w="32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BNY Mellon Cash Reserve and Cash</w:t>
            </w:r>
          </w:p>
        </w:tc>
        <w:tc>
          <w:tcPr>
            <w:tcW w:w="82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59,794,902</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59,713,389</w:t>
            </w:r>
          </w:p>
        </w:tc>
        <w:tc>
          <w:tcPr>
            <w:tcW w:w="0" w:type="dxa"/>
            <w:vAlign w:val="bottom"/>
          </w:tcPr>
          <w:p>
            <w:pPr>
              <w:spacing w:after="0"/>
              <w:rPr>
                <w:sz w:val="1"/>
                <w:szCs w:val="1"/>
                <w:color w:val="auto"/>
              </w:rPr>
            </w:pPr>
          </w:p>
        </w:tc>
      </w:tr>
      <w:tr>
        <w:trPr>
          <w:trHeight w:val="20"/>
        </w:trPr>
        <w:tc>
          <w:tcPr>
            <w:tcW w:w="3280" w:type="dxa"/>
            <w:vAlign w:val="bottom"/>
            <w:vMerge w:val="restart"/>
          </w:tcPr>
          <w:p>
            <w:pPr>
              <w:spacing w:after="0"/>
              <w:rPr>
                <w:sz w:val="20"/>
                <w:szCs w:val="20"/>
                <w:color w:val="auto"/>
              </w:rPr>
            </w:pPr>
            <w:r>
              <w:rPr>
                <w:rFonts w:ascii="Arial" w:cs="Arial" w:eastAsia="Arial" w:hAnsi="Arial"/>
                <w:sz w:val="12"/>
                <w:szCs w:val="12"/>
                <w:b w:val="1"/>
                <w:bCs w:val="1"/>
                <w:color w:val="auto"/>
              </w:rPr>
              <w:t>Total Cash and Cash Equivalents</w:t>
            </w:r>
          </w:p>
        </w:tc>
        <w:tc>
          <w:tcPr>
            <w:tcW w:w="8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280" w:type="dxa"/>
            <w:vAlign w:val="bottom"/>
            <w:vMerge w:val="continue"/>
          </w:tcPr>
          <w:p>
            <w:pPr>
              <w:spacing w:after="0"/>
              <w:rPr>
                <w:sz w:val="12"/>
                <w:szCs w:val="12"/>
                <w:color w:val="auto"/>
              </w:rPr>
            </w:pPr>
          </w:p>
        </w:tc>
        <w:tc>
          <w:tcPr>
            <w:tcW w:w="8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66,600,195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2"/>
                <w:szCs w:val="12"/>
                <w:color w:val="auto"/>
              </w:rPr>
              <w:t>66,518,682</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328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Investments and Cash Equivalents—167.2%</w:t>
            </w:r>
          </w:p>
        </w:tc>
        <w:tc>
          <w:tcPr>
            <w:tcW w:w="82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u w:val="single" w:color="auto"/>
                <w:color w:val="auto"/>
                <w:w w:val="78"/>
              </w:rPr>
              <w:t>$</w:t>
            </w: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85"/>
              </w:rPr>
              <w:t>1,385,454,515</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u w:val="single" w:color="auto"/>
                <w:color w:val="auto"/>
                <w:w w:val="78"/>
              </w:rPr>
              <w:t>$</w:t>
            </w:r>
          </w:p>
        </w:tc>
        <w:tc>
          <w:tcPr>
            <w:tcW w:w="7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w w:val="83"/>
              </w:rPr>
              <w:t>1,384,573,448</w:t>
            </w:r>
          </w:p>
        </w:tc>
        <w:tc>
          <w:tcPr>
            <w:tcW w:w="0" w:type="dxa"/>
            <w:vAlign w:val="bottom"/>
          </w:tcPr>
          <w:p>
            <w:pPr>
              <w:spacing w:after="0"/>
              <w:rPr>
                <w:sz w:val="1"/>
                <w:szCs w:val="1"/>
                <w:color w:val="auto"/>
              </w:rPr>
            </w:pPr>
          </w:p>
        </w:tc>
      </w:tr>
      <w:tr>
        <w:trPr>
          <w:trHeight w:val="20"/>
        </w:trPr>
        <w:tc>
          <w:tcPr>
            <w:tcW w:w="3280" w:type="dxa"/>
            <w:vAlign w:val="bottom"/>
            <w:vMerge w:val="restart"/>
          </w:tcPr>
          <w:p>
            <w:pPr>
              <w:spacing w:after="0"/>
              <w:rPr>
                <w:sz w:val="20"/>
                <w:szCs w:val="20"/>
                <w:color w:val="auto"/>
              </w:rPr>
            </w:pPr>
            <w:r>
              <w:rPr>
                <w:rFonts w:ascii="Arial" w:cs="Arial" w:eastAsia="Arial" w:hAnsi="Arial"/>
                <w:sz w:val="12"/>
                <w:szCs w:val="12"/>
                <w:b w:val="1"/>
                <w:bCs w:val="1"/>
                <w:color w:val="auto"/>
              </w:rPr>
              <w:t>Liabilities in Excess of Other Assets—(67.2%)</w:t>
            </w:r>
          </w:p>
        </w:tc>
        <w:tc>
          <w:tcPr>
            <w:tcW w:w="8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280" w:type="dxa"/>
            <w:vAlign w:val="bottom"/>
            <w:vMerge w:val="continue"/>
          </w:tcPr>
          <w:p>
            <w:pPr>
              <w:spacing w:after="0"/>
              <w:rPr>
                <w:sz w:val="11"/>
                <w:szCs w:val="11"/>
                <w:color w:val="auto"/>
              </w:rPr>
            </w:pPr>
          </w:p>
        </w:tc>
        <w:tc>
          <w:tcPr>
            <w:tcW w:w="8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60"/>
              <w:spacing w:after="0" w:line="129" w:lineRule="exact"/>
              <w:rPr>
                <w:sz w:val="20"/>
                <w:szCs w:val="20"/>
                <w:color w:val="auto"/>
              </w:rPr>
            </w:pPr>
            <w:r>
              <w:rPr>
                <w:rFonts w:ascii="Arial" w:cs="Arial" w:eastAsia="Arial" w:hAnsi="Arial"/>
                <w:sz w:val="12"/>
                <w:szCs w:val="12"/>
                <w:color w:val="auto"/>
                <w:w w:val="90"/>
              </w:rPr>
              <w:t>(556,563,499)</w:t>
            </w:r>
          </w:p>
        </w:tc>
        <w:tc>
          <w:tcPr>
            <w:tcW w:w="0" w:type="dxa"/>
            <w:vAlign w:val="bottom"/>
          </w:tcPr>
          <w:p>
            <w:pPr>
              <w:spacing w:after="0"/>
              <w:rPr>
                <w:sz w:val="1"/>
                <w:szCs w:val="1"/>
                <w:color w:val="auto"/>
              </w:rPr>
            </w:pPr>
          </w:p>
        </w:tc>
      </w:tr>
      <w:tr>
        <w:trPr>
          <w:trHeight w:val="135"/>
        </w:trPr>
        <w:tc>
          <w:tcPr>
            <w:tcW w:w="328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Net Assets—100.0%</w:t>
            </w:r>
          </w:p>
        </w:tc>
        <w:tc>
          <w:tcPr>
            <w:tcW w:w="82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w w:val="95"/>
              </w:rPr>
              <w:t>828,009,949</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8516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176" w:lineRule="exact"/>
        <w:rPr>
          <w:sz w:val="20"/>
          <w:szCs w:val="20"/>
          <w:color w:val="auto"/>
        </w:rPr>
      </w:pPr>
    </w:p>
    <w:p>
      <w:pPr>
        <w:ind w:left="340" w:hanging="332"/>
        <w:spacing w:after="0" w:line="243" w:lineRule="auto"/>
        <w:tabs>
          <w:tab w:leader="none" w:pos="34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ind w:left="340" w:right="20" w:hanging="332"/>
        <w:spacing w:after="0" w:line="234" w:lineRule="auto"/>
        <w:tabs>
          <w:tab w:leader="none" w:pos="34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 (see Note 6).</w:t>
      </w:r>
    </w:p>
    <w:p>
      <w:pPr>
        <w:ind w:left="340" w:hanging="332"/>
        <w:spacing w:after="0" w:line="234" w:lineRule="auto"/>
        <w:tabs>
          <w:tab w:leader="none" w:pos="340" w:val="left"/>
        </w:tabs>
        <w:numPr>
          <w:ilvl w:val="0"/>
          <w:numId w:val="4"/>
        </w:numPr>
        <w:rPr>
          <w:rFonts w:ascii="Arial" w:cs="Arial" w:eastAsia="Arial" w:hAnsi="Arial"/>
          <w:sz w:val="12"/>
          <w:szCs w:val="12"/>
          <w:color w:val="auto"/>
        </w:rPr>
      </w:pPr>
      <w:r>
        <w:rPr>
          <w:rFonts w:ascii="Arial" w:cs="Arial" w:eastAsia="Arial" w:hAnsi="Arial"/>
          <w:sz w:val="12"/>
          <w:szCs w:val="12"/>
          <w:color w:val="auto"/>
        </w:rPr>
        <w:t>Valued based on our accounting policy (see Note 2).</w:t>
      </w:r>
    </w:p>
    <w:p>
      <w:pPr>
        <w:ind w:left="340" w:right="120" w:hanging="332"/>
        <w:spacing w:after="0" w:line="234" w:lineRule="auto"/>
        <w:tabs>
          <w:tab w:leader="none" w:pos="340" w:val="left"/>
        </w:tabs>
        <w:numPr>
          <w:ilvl w:val="0"/>
          <w:numId w:val="4"/>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LIBOR, or “L” or Prime, or “P” rate. All securities are subject to a LIBOR or Prime rate floor where a spread is provided, unless noted. The spread provided includes PIK interest and other fee rates, if any.</w:t>
      </w:r>
    </w:p>
    <w:p>
      <w:pPr>
        <w:ind w:left="340" w:hanging="332"/>
        <w:spacing w:after="0"/>
        <w:tabs>
          <w:tab w:leader="none" w:pos="340" w:val="left"/>
        </w:tabs>
        <w:numPr>
          <w:ilvl w:val="0"/>
          <w:numId w:val="4"/>
        </w:numPr>
        <w:rPr>
          <w:rFonts w:ascii="Arial" w:cs="Arial" w:eastAsia="Arial" w:hAnsi="Arial"/>
          <w:sz w:val="11"/>
          <w:szCs w:val="11"/>
          <w:color w:val="auto"/>
        </w:rPr>
      </w:pPr>
      <w:r>
        <w:rPr>
          <w:rFonts w:ascii="Arial" w:cs="Arial" w:eastAsia="Arial" w:hAnsi="Arial"/>
          <w:sz w:val="11"/>
          <w:szCs w:val="11"/>
          <w:color w:val="auto"/>
        </w:rPr>
        <w:t>Security is exempt from registration under Rule 144A promulgated under the Securities Act. The security may be resold in transactions that are exempt from registration, normally to qualified institutional buyers.</w:t>
      </w:r>
    </w:p>
    <w:p>
      <w:pPr>
        <w:spacing w:after="0" w:line="8" w:lineRule="exact"/>
        <w:rPr>
          <w:rFonts w:ascii="Arial" w:cs="Arial" w:eastAsia="Arial" w:hAnsi="Arial"/>
          <w:sz w:val="11"/>
          <w:szCs w:val="11"/>
          <w:color w:val="auto"/>
        </w:rPr>
      </w:pPr>
    </w:p>
    <w:p>
      <w:pPr>
        <w:ind w:left="340" w:hanging="332"/>
        <w:spacing w:after="0" w:line="234" w:lineRule="auto"/>
        <w:tabs>
          <w:tab w:leader="none" w:pos="340" w:val="left"/>
        </w:tabs>
        <w:numPr>
          <w:ilvl w:val="0"/>
          <w:numId w:val="4"/>
        </w:numPr>
        <w:rPr>
          <w:rFonts w:ascii="Arial" w:cs="Arial" w:eastAsia="Arial" w:hAnsi="Arial"/>
          <w:sz w:val="12"/>
          <w:szCs w:val="12"/>
          <w:color w:val="auto"/>
        </w:rPr>
      </w:pPr>
      <w:r>
        <w:rPr>
          <w:rFonts w:ascii="Arial" w:cs="Arial" w:eastAsia="Arial" w:hAnsi="Arial"/>
          <w:sz w:val="12"/>
          <w:szCs w:val="12"/>
          <w:color w:val="auto"/>
        </w:rPr>
        <w:t>Non-income producing securities.</w:t>
      </w:r>
    </w:p>
    <w:p>
      <w:pPr>
        <w:ind w:left="340" w:hanging="332"/>
        <w:spacing w:after="0" w:line="234" w:lineRule="auto"/>
        <w:tabs>
          <w:tab w:leader="none" w:pos="340" w:val="left"/>
        </w:tabs>
        <w:numPr>
          <w:ilvl w:val="0"/>
          <w:numId w:val="4"/>
        </w:numPr>
        <w:rPr>
          <w:rFonts w:ascii="Arial" w:cs="Arial" w:eastAsia="Arial" w:hAnsi="Arial"/>
          <w:sz w:val="12"/>
          <w:szCs w:val="12"/>
          <w:color w:val="auto"/>
        </w:rPr>
      </w:pPr>
      <w:r>
        <w:rPr>
          <w:rFonts w:ascii="Arial" w:cs="Arial" w:eastAsia="Arial" w:hAnsi="Arial"/>
          <w:sz w:val="12"/>
          <w:szCs w:val="12"/>
          <w:color w:val="auto"/>
        </w:rPr>
        <w:t>Coupon is payable in cash and/or PIK.</w:t>
      </w:r>
    </w:p>
    <w:p>
      <w:pPr>
        <w:ind w:left="340" w:hanging="332"/>
        <w:spacing w:after="0" w:line="234" w:lineRule="auto"/>
        <w:tabs>
          <w:tab w:leader="none" w:pos="340" w:val="left"/>
        </w:tabs>
        <w:numPr>
          <w:ilvl w:val="0"/>
          <w:numId w:val="4"/>
        </w:numPr>
        <w:rPr>
          <w:rFonts w:ascii="Arial" w:cs="Arial" w:eastAsia="Arial" w:hAnsi="Arial"/>
          <w:sz w:val="12"/>
          <w:szCs w:val="12"/>
          <w:color w:val="auto"/>
        </w:rPr>
      </w:pPr>
      <w:r>
        <w:rPr>
          <w:rFonts w:ascii="Arial" w:cs="Arial" w:eastAsia="Arial" w:hAnsi="Arial"/>
          <w:sz w:val="12"/>
          <w:szCs w:val="12"/>
          <w:color w:val="auto"/>
        </w:rPr>
        <w:t>Coupon is not subject to a LIBOR or Prime rate floor.</w:t>
      </w:r>
    </w:p>
    <w:p>
      <w:pPr>
        <w:ind w:left="340" w:hanging="332"/>
        <w:spacing w:after="0"/>
        <w:tabs>
          <w:tab w:leader="none" w:pos="340" w:val="left"/>
        </w:tabs>
        <w:numPr>
          <w:ilvl w:val="0"/>
          <w:numId w:val="4"/>
        </w:numPr>
        <w:rPr>
          <w:rFonts w:ascii="Arial" w:cs="Arial" w:eastAsia="Arial" w:hAnsi="Arial"/>
          <w:sz w:val="11"/>
          <w:szCs w:val="11"/>
          <w:color w:val="auto"/>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8" w:lineRule="exact"/>
        <w:rPr>
          <w:rFonts w:ascii="Arial" w:cs="Arial" w:eastAsia="Arial" w:hAnsi="Arial"/>
          <w:sz w:val="11"/>
          <w:szCs w:val="11"/>
          <w:color w:val="auto"/>
        </w:rPr>
      </w:pPr>
    </w:p>
    <w:p>
      <w:pPr>
        <w:ind w:left="340" w:hanging="332"/>
        <w:spacing w:after="0" w:line="234" w:lineRule="auto"/>
        <w:tabs>
          <w:tab w:leader="none" w:pos="340" w:val="left"/>
        </w:tabs>
        <w:numPr>
          <w:ilvl w:val="0"/>
          <w:numId w:val="4"/>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U.S.</w:t>
      </w:r>
    </w:p>
    <w:p>
      <w:pPr>
        <w:ind w:left="340" w:hanging="332"/>
        <w:spacing w:after="0" w:line="234" w:lineRule="auto"/>
        <w:tabs>
          <w:tab w:leader="none" w:pos="340" w:val="left"/>
        </w:tabs>
        <w:numPr>
          <w:ilvl w:val="0"/>
          <w:numId w:val="4"/>
        </w:numPr>
        <w:rPr>
          <w:rFonts w:ascii="Arial" w:cs="Arial" w:eastAsia="Arial" w:hAnsi="Arial"/>
          <w:sz w:val="12"/>
          <w:szCs w:val="12"/>
          <w:color w:val="auto"/>
        </w:rPr>
      </w:pPr>
      <w:r>
        <w:rPr>
          <w:rFonts w:ascii="Arial" w:cs="Arial" w:eastAsia="Arial" w:hAnsi="Arial"/>
          <w:sz w:val="12"/>
          <w:szCs w:val="12"/>
          <w:color w:val="auto"/>
        </w:rPr>
        <w:t>Investment is held through a consolidated taxable subsidiary (See Note 1).</w:t>
      </w:r>
    </w:p>
    <w:p>
      <w:pPr>
        <w:ind w:left="340" w:hanging="332"/>
        <w:spacing w:after="0"/>
        <w:tabs>
          <w:tab w:leader="none" w:pos="340" w:val="left"/>
        </w:tabs>
        <w:numPr>
          <w:ilvl w:val="0"/>
          <w:numId w:val="4"/>
        </w:numPr>
        <w:rPr>
          <w:rFonts w:ascii="Arial" w:cs="Arial" w:eastAsia="Arial" w:hAnsi="Arial"/>
          <w:sz w:val="12"/>
          <w:szCs w:val="12"/>
          <w:color w:val="auto"/>
        </w:rPr>
      </w:pPr>
      <w:r>
        <w:rPr>
          <w:rFonts w:ascii="Arial" w:cs="Arial" w:eastAsia="Arial" w:hAnsi="Arial"/>
          <w:sz w:val="12"/>
          <w:szCs w:val="12"/>
          <w:color w:val="auto"/>
        </w:rPr>
        <w:t>Par amount is denominated in British Pounds.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SEE NOTES TO CONSOLIDATED FINANCIAL STATEMENTS</w:t>
      </w:r>
    </w:p>
    <w:p>
      <w:pPr>
        <w:spacing w:after="0" w:line="13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180"/>
          </w:cols>
          <w:pgMar w:left="320" w:top="459" w:right="3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ind w:right="-19"/>
        <w:spacing w:after="0" w:line="226" w:lineRule="auto"/>
        <w:rPr>
          <w:sz w:val="20"/>
          <w:szCs w:val="20"/>
          <w:color w:val="auto"/>
        </w:rPr>
      </w:pPr>
      <w:r>
        <w:rPr>
          <w:rFonts w:ascii="Arial" w:cs="Arial" w:eastAsia="Arial" w:hAnsi="Arial"/>
          <w:sz w:val="14"/>
          <w:szCs w:val="14"/>
          <w:b w:val="1"/>
          <w:bCs w:val="1"/>
          <w:color w:val="auto"/>
        </w:rPr>
        <w:t>NOTES TO CONSOLIDATED FINANCIAL STATEMENTS</w:t>
      </w:r>
    </w:p>
    <w:p>
      <w:pPr>
        <w:jc w:val="center"/>
        <w:ind w:right="-19"/>
        <w:spacing w:after="0" w:line="221" w:lineRule="auto"/>
        <w:rPr>
          <w:sz w:val="20"/>
          <w:szCs w:val="20"/>
          <w:color w:val="auto"/>
        </w:rPr>
      </w:pPr>
      <w:r>
        <w:rPr>
          <w:rFonts w:ascii="Arial" w:cs="Arial" w:eastAsia="Arial" w:hAnsi="Arial"/>
          <w:sz w:val="14"/>
          <w:szCs w:val="14"/>
          <w:b w:val="1"/>
          <w:bCs w:val="1"/>
          <w:color w:val="auto"/>
        </w:rPr>
        <w:t>DECEMBER 31, 2014</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ORGANIZATION</w:t>
      </w:r>
    </w:p>
    <w:p>
      <w:pPr>
        <w:spacing w:after="0" w:line="100" w:lineRule="exact"/>
        <w:rPr>
          <w:sz w:val="20"/>
          <w:szCs w:val="20"/>
          <w:color w:val="auto"/>
        </w:rPr>
      </w:pPr>
    </w:p>
    <w:p>
      <w:pPr>
        <w:ind w:right="60" w:firstLine="562"/>
        <w:spacing w:after="0" w:line="231" w:lineRule="auto"/>
        <w:rPr>
          <w:sz w:val="20"/>
          <w:szCs w:val="20"/>
          <w:color w:val="auto"/>
        </w:rPr>
      </w:pPr>
      <w:r>
        <w:rPr>
          <w:rFonts w:ascii="Arial" w:cs="Arial" w:eastAsia="Arial" w:hAnsi="Arial"/>
          <w:sz w:val="14"/>
          <w:szCs w:val="14"/>
          <w:color w:val="auto"/>
        </w:rPr>
        <w:t>PennantPark Investment Corporation was organized as a Maryland corporation in January 2007. PennantPark Investment is a closed-end, externally managed, non-diversified investment company that has elected to be treated as a BDC. PennantPark Investment’s objective is to generate both current income and capital appreciation through debt and equity investments. We invest primarily in U.S. middle-market companies in the form of senior secured loans, mezzanine debt and, to a lesser extent, equity investments. On April 24, 2007, we closed our initial public offering and our common stock trades on the NASDAQ Global Select Market under the symbol “PNNT.” Our 2025 Notes trade on the New York Stock Exchange, or the NYSE, under the symbol “PNTA.”</w:t>
      </w:r>
    </w:p>
    <w:p>
      <w:pPr>
        <w:spacing w:after="0" w:line="76" w:lineRule="exact"/>
        <w:rPr>
          <w:sz w:val="20"/>
          <w:szCs w:val="20"/>
          <w:color w:val="auto"/>
        </w:rPr>
      </w:pPr>
    </w:p>
    <w:p>
      <w:pPr>
        <w:ind w:right="140" w:firstLine="562"/>
        <w:spacing w:after="0" w:line="231" w:lineRule="auto"/>
        <w:rPr>
          <w:sz w:val="20"/>
          <w:szCs w:val="20"/>
          <w:color w:val="auto"/>
        </w:rPr>
      </w:pPr>
      <w:r>
        <w:rPr>
          <w:rFonts w:ascii="Arial" w:cs="Arial" w:eastAsia="Arial" w:hAnsi="Arial"/>
          <w:sz w:val="14"/>
          <w:szCs w:val="14"/>
          <w:color w:val="auto"/>
        </w:rPr>
        <w:t>We have entered into an investment management agreement, or the Investment Management Agreement, with the Investment Adviser, an external adviser that manages our day-to-day operations. We have also entered into an administration agreement, or the Administration Agreement, with the Administrator, which provides the administrative services necessary for us to operate. PennantPark Investment, through the Investment Adviser, manages day-to-day operations of and provides investment advisory services to each of our SBIC Funds under separate investment management agreements. PennantPark Investment, through the Administrator, also provides similar services to each of our SBIC Funds and our controlled affiliate SuttonPark Holdings, Inc. and its subsidiaries, or SPH, under separate administration agreements. See Note 3.</w:t>
      </w:r>
    </w:p>
    <w:p>
      <w:pPr>
        <w:spacing w:after="0" w:line="76" w:lineRule="exact"/>
        <w:rPr>
          <w:sz w:val="20"/>
          <w:szCs w:val="20"/>
          <w:color w:val="auto"/>
        </w:rPr>
      </w:pPr>
    </w:p>
    <w:p>
      <w:pPr>
        <w:ind w:firstLine="562"/>
        <w:spacing w:after="0" w:line="233" w:lineRule="auto"/>
        <w:rPr>
          <w:sz w:val="20"/>
          <w:szCs w:val="20"/>
          <w:color w:val="auto"/>
        </w:rPr>
      </w:pPr>
      <w:r>
        <w:rPr>
          <w:rFonts w:ascii="Arial" w:cs="Arial" w:eastAsia="Arial" w:hAnsi="Arial"/>
          <w:sz w:val="14"/>
          <w:szCs w:val="14"/>
          <w:color w:val="auto"/>
        </w:rPr>
        <w:t>Our wholly owned subsidiaries, SBIC LP and SBIC II, were organized as Delaware limited partnerships in 2010 and 2012, respectively. SBIC LP and SBIC II received licenses from the SBA to operate as small business investment companies, or SBICs, under Section 301(c) of the Small Business Investment Act of 1958, as amended, or the 1958 Act. Our SBIC Funds’ objectives are to generate both current income and capital appreciation through debt and equity investments generally by investing with us in SBA eligible businesses that meet the investment criteria used by PennantPark Investment.</w:t>
      </w:r>
    </w:p>
    <w:p>
      <w:pPr>
        <w:spacing w:after="0" w:line="77" w:lineRule="exact"/>
        <w:rPr>
          <w:sz w:val="20"/>
          <w:szCs w:val="20"/>
          <w:color w:val="auto"/>
        </w:rPr>
      </w:pPr>
    </w:p>
    <w:p>
      <w:pPr>
        <w:ind w:right="40" w:firstLine="562"/>
        <w:spacing w:after="0" w:line="290" w:lineRule="auto"/>
        <w:rPr>
          <w:sz w:val="20"/>
          <w:szCs w:val="20"/>
          <w:color w:val="auto"/>
        </w:rPr>
      </w:pPr>
      <w:r>
        <w:rPr>
          <w:rFonts w:ascii="Arial" w:cs="Arial" w:eastAsia="Arial" w:hAnsi="Arial"/>
          <w:sz w:val="13"/>
          <w:szCs w:val="13"/>
          <w:color w:val="auto"/>
        </w:rPr>
        <w:t>We have formed and expect to continue to form certain taxable subsidiaries, or the Taxable Subsidiaries, which are taxed as corporations for federal income tax purposes. These Taxable Subsidiaries allow us to hold equity securities of portfolio companies organized as pass-through entities while continuing to satisfy the requirements of a RIC under the Code.</w:t>
      </w:r>
    </w:p>
    <w:p>
      <w:pPr>
        <w:spacing w:after="0" w:line="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SIGNIFICANT ACCOUNTING POLICIES</w:t>
      </w:r>
    </w:p>
    <w:p>
      <w:pPr>
        <w:spacing w:after="0" w:line="100" w:lineRule="exact"/>
        <w:rPr>
          <w:sz w:val="20"/>
          <w:szCs w:val="20"/>
          <w:color w:val="auto"/>
        </w:rPr>
      </w:pPr>
    </w:p>
    <w:p>
      <w:pPr>
        <w:ind w:right="60" w:firstLine="562"/>
        <w:spacing w:after="0" w:line="228" w:lineRule="auto"/>
        <w:rPr>
          <w:sz w:val="20"/>
          <w:szCs w:val="20"/>
          <w:color w:val="auto"/>
        </w:rPr>
      </w:pPr>
      <w:r>
        <w:rPr>
          <w:rFonts w:ascii="Arial" w:cs="Arial" w:eastAsia="Arial" w:hAnsi="Arial"/>
          <w:sz w:val="14"/>
          <w:szCs w:val="14"/>
          <w:color w:val="auto"/>
        </w:rPr>
        <w:t>The preparation of our Consolidated Financial Statements in conformity with U.S. generally accepted accounting principles, or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We may reclassify certain prior period amounts to conform to the current period presentation. We have eliminated all intercompany balances and transactions. References to the Accounting Standards Codification, or ASC, serve as a single source of accounting literature. Subsequent events are evaluated and disclosed as appropriate for events occurring through the date the Consolidated Financial Statements are issued.</w:t>
      </w:r>
    </w:p>
    <w:p>
      <w:pPr>
        <w:spacing w:after="0" w:line="77" w:lineRule="exact"/>
        <w:rPr>
          <w:sz w:val="20"/>
          <w:szCs w:val="20"/>
          <w:color w:val="auto"/>
        </w:rPr>
      </w:pPr>
    </w:p>
    <w:p>
      <w:pPr>
        <w:ind w:right="100" w:firstLine="562"/>
        <w:spacing w:after="0" w:line="238" w:lineRule="auto"/>
        <w:rPr>
          <w:sz w:val="20"/>
          <w:szCs w:val="20"/>
          <w:color w:val="auto"/>
        </w:rPr>
      </w:pPr>
      <w:r>
        <w:rPr>
          <w:rFonts w:ascii="Arial" w:cs="Arial" w:eastAsia="Arial" w:hAnsi="Arial"/>
          <w:sz w:val="14"/>
          <w:szCs w:val="14"/>
          <w:color w:val="auto"/>
        </w:rPr>
        <w:t>Our Consolidated Financial Statements are prepared in accordance with GAAP, consistent with ASC 946, and pursuant to the requirements for reporting on Form 10-K/Q and Article 6 or 10 of Regulation S-X, as appropriate. In accordance with Article 6-09 of Regulation S-X, we have provided a Consolidated Statement of Changes in Net Assets in lieu of a Consolidated Statement of Changes in Stockholders’ Equity.</w:t>
      </w:r>
    </w:p>
    <w:p>
      <w:pPr>
        <w:spacing w:after="0" w:line="75" w:lineRule="exact"/>
        <w:rPr>
          <w:sz w:val="20"/>
          <w:szCs w:val="20"/>
          <w:color w:val="auto"/>
        </w:rPr>
      </w:pPr>
    </w:p>
    <w:p>
      <w:pPr>
        <w:ind w:left="560"/>
        <w:spacing w:after="0"/>
        <w:rPr>
          <w:sz w:val="20"/>
          <w:szCs w:val="20"/>
          <w:color w:val="auto"/>
        </w:rPr>
      </w:pPr>
      <w:r>
        <w:rPr>
          <w:rFonts w:ascii="Arial" w:cs="Arial" w:eastAsia="Arial" w:hAnsi="Arial"/>
          <w:sz w:val="14"/>
          <w:szCs w:val="14"/>
          <w:color w:val="auto"/>
        </w:rPr>
        <w:t>Our significant accounting policies consistently applied are as follows: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(a)  Investment Valuations</w:t>
      </w:r>
    </w:p>
    <w:p>
      <w:pPr>
        <w:spacing w:after="0" w:line="136" w:lineRule="exact"/>
        <w:rPr>
          <w:sz w:val="20"/>
          <w:szCs w:val="20"/>
          <w:color w:val="auto"/>
        </w:rPr>
      </w:pPr>
    </w:p>
    <w:p>
      <w:pPr>
        <w:ind w:firstLine="562"/>
        <w:spacing w:after="0" w:line="247" w:lineRule="auto"/>
        <w:rPr>
          <w:sz w:val="20"/>
          <w:szCs w:val="20"/>
          <w:color w:val="auto"/>
        </w:rPr>
      </w:pPr>
      <w:r>
        <w:rPr>
          <w:rFonts w:ascii="Arial" w:cs="Arial" w:eastAsia="Arial" w:hAnsi="Arial"/>
          <w:sz w:val="13"/>
          <w:szCs w:val="13"/>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described in this Report,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71" w:lineRule="exact"/>
        <w:rPr>
          <w:sz w:val="20"/>
          <w:szCs w:val="20"/>
          <w:color w:val="auto"/>
        </w:rPr>
      </w:pPr>
    </w:p>
    <w:p>
      <w:pPr>
        <w:ind w:right="240" w:firstLine="562"/>
        <w:spacing w:after="0" w:line="290" w:lineRule="auto"/>
        <w:rPr>
          <w:sz w:val="20"/>
          <w:szCs w:val="20"/>
          <w:color w:val="auto"/>
        </w:rPr>
      </w:pPr>
      <w:r>
        <w:rPr>
          <w:rFonts w:ascii="Arial" w:cs="Arial" w:eastAsia="Arial" w:hAnsi="Arial"/>
          <w:sz w:val="13"/>
          <w:szCs w:val="13"/>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7" w:lineRule="exact"/>
        <w:rPr>
          <w:sz w:val="20"/>
          <w:szCs w:val="20"/>
          <w:color w:val="auto"/>
        </w:rPr>
      </w:pPr>
    </w:p>
    <w:p>
      <w:pPr>
        <w:ind w:left="780" w:right="160" w:hanging="327"/>
        <w:spacing w:after="0" w:line="253" w:lineRule="auto"/>
        <w:tabs>
          <w:tab w:leader="none" w:pos="780" w:val="left"/>
        </w:tabs>
        <w:numPr>
          <w:ilvl w:val="0"/>
          <w:numId w:val="5"/>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our Investment Adviser responsible for the portfolio investment;</w:t>
      </w:r>
    </w:p>
    <w:p>
      <w:pPr>
        <w:spacing w:after="0" w:line="79" w:lineRule="exact"/>
        <w:rPr>
          <w:rFonts w:ascii="Arial" w:cs="Arial" w:eastAsia="Arial" w:hAnsi="Arial"/>
          <w:sz w:val="14"/>
          <w:szCs w:val="14"/>
          <w:color w:val="auto"/>
        </w:rPr>
      </w:pPr>
    </w:p>
    <w:p>
      <w:pPr>
        <w:ind w:left="780" w:hanging="327"/>
        <w:spacing w:after="0"/>
        <w:tabs>
          <w:tab w:leader="none" w:pos="780" w:val="left"/>
        </w:tabs>
        <w:numPr>
          <w:ilvl w:val="0"/>
          <w:numId w:val="5"/>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our Investment Adviser;</w:t>
      </w:r>
    </w:p>
    <w:p>
      <w:pPr>
        <w:spacing w:after="0" w:line="109" w:lineRule="exact"/>
        <w:rPr>
          <w:rFonts w:ascii="Arial" w:cs="Arial" w:eastAsia="Arial" w:hAnsi="Arial"/>
          <w:sz w:val="14"/>
          <w:szCs w:val="14"/>
          <w:color w:val="auto"/>
        </w:rPr>
      </w:pPr>
    </w:p>
    <w:p>
      <w:pPr>
        <w:jc w:val="both"/>
        <w:ind w:left="780" w:right="220" w:hanging="327"/>
        <w:spacing w:after="0" w:line="264" w:lineRule="auto"/>
        <w:tabs>
          <w:tab w:leader="none" w:pos="780" w:val="left"/>
        </w:tabs>
        <w:numPr>
          <w:ilvl w:val="0"/>
          <w:numId w:val="5"/>
        </w:numPr>
        <w:rPr>
          <w:rFonts w:ascii="Arial" w:cs="Arial" w:eastAsia="Arial" w:hAnsi="Arial"/>
          <w:sz w:val="13"/>
          <w:szCs w:val="13"/>
          <w:color w:val="auto"/>
        </w:rPr>
      </w:pPr>
      <w:r>
        <w:rPr>
          <w:rFonts w:ascii="Arial" w:cs="Arial" w:eastAsia="Arial" w:hAnsi="Arial"/>
          <w:sz w:val="13"/>
          <w:szCs w:val="13"/>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73" w:lineRule="exact"/>
        <w:rPr>
          <w:rFonts w:ascii="Arial" w:cs="Arial" w:eastAsia="Arial" w:hAnsi="Arial"/>
          <w:sz w:val="13"/>
          <w:szCs w:val="13"/>
          <w:color w:val="auto"/>
        </w:rPr>
      </w:pPr>
    </w:p>
    <w:p>
      <w:pPr>
        <w:ind w:left="780" w:right="220" w:hanging="327"/>
        <w:spacing w:after="0" w:line="238" w:lineRule="auto"/>
        <w:tabs>
          <w:tab w:leader="none" w:pos="78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the Investment Adviser and those of the independent valuation firms on a quarterly basis, periodically assess the valuation methodologies of the independent valuation firms, and responds to and supplements the valuation recommendations of the independent valuation firms to reflect any comments; and</w:t>
      </w:r>
    </w:p>
    <w:p>
      <w:pPr>
        <w:spacing w:after="0" w:line="88" w:lineRule="exact"/>
        <w:rPr>
          <w:rFonts w:ascii="Arial" w:cs="Arial" w:eastAsia="Arial" w:hAnsi="Arial"/>
          <w:sz w:val="14"/>
          <w:szCs w:val="14"/>
          <w:color w:val="auto"/>
        </w:rPr>
      </w:pPr>
    </w:p>
    <w:p>
      <w:pPr>
        <w:ind w:left="780" w:right="220" w:hanging="327"/>
        <w:spacing w:after="0" w:line="253" w:lineRule="auto"/>
        <w:tabs>
          <w:tab w:leader="none" w:pos="780" w:val="left"/>
        </w:tabs>
        <w:numPr>
          <w:ilvl w:val="0"/>
          <w:numId w:val="5"/>
        </w:numPr>
        <w:rPr>
          <w:rFonts w:ascii="Arial" w:cs="Arial" w:eastAsia="Arial" w:hAnsi="Arial"/>
          <w:sz w:val="14"/>
          <w:szCs w:val="14"/>
          <w:color w:val="auto"/>
        </w:rPr>
      </w:pPr>
      <w:r>
        <w:rPr>
          <w:rFonts w:ascii="Arial" w:cs="Arial" w:eastAsia="Arial" w:hAnsi="Arial"/>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1240"/>
          </w:cols>
          <w:pgMar w:left="320" w:top="459" w:right="3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3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300"/>
        <w:spacing w:after="0" w:line="226" w:lineRule="auto"/>
        <w:rPr>
          <w:sz w:val="20"/>
          <w:szCs w:val="20"/>
          <w:color w:val="auto"/>
        </w:rPr>
      </w:pPr>
      <w:r>
        <w:rPr>
          <w:rFonts w:ascii="Arial" w:cs="Arial" w:eastAsia="Arial" w:hAnsi="Arial"/>
          <w:sz w:val="14"/>
          <w:szCs w:val="14"/>
          <w:b w:val="1"/>
          <w:bCs w:val="1"/>
          <w:color w:val="auto"/>
        </w:rPr>
        <w:t>NOTES TO CONSOLIDATED FINANCIAL STATEMENTS – (Continued)</w:t>
      </w:r>
    </w:p>
    <w:p>
      <w:pPr>
        <w:jc w:val="center"/>
        <w:ind w:right="-19"/>
        <w:spacing w:after="0" w:line="221" w:lineRule="auto"/>
        <w:rPr>
          <w:sz w:val="20"/>
          <w:szCs w:val="20"/>
          <w:color w:val="auto"/>
        </w:rPr>
      </w:pPr>
      <w:r>
        <w:rPr>
          <w:rFonts w:ascii="Arial" w:cs="Arial" w:eastAsia="Arial" w:hAnsi="Arial"/>
          <w:sz w:val="14"/>
          <w:szCs w:val="14"/>
          <w:b w:val="1"/>
          <w:bCs w:val="1"/>
          <w:color w:val="auto"/>
        </w:rPr>
        <w:t>DECEMBER 31, 2014</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right="100" w:firstLine="562"/>
        <w:spacing w:after="0" w:line="251" w:lineRule="auto"/>
        <w:rPr>
          <w:sz w:val="20"/>
          <w:szCs w:val="20"/>
          <w:color w:val="auto"/>
        </w:rPr>
      </w:pPr>
      <w:r>
        <w:rPr>
          <w:rFonts w:ascii="Arial" w:cs="Arial" w:eastAsia="Arial" w:hAnsi="Arial"/>
          <w:sz w:val="13"/>
          <w:szCs w:val="13"/>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by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fair value.</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(b)  Security Transactions, Revenue Recognition, and Realized / Unrealized Gains or Losses</w:t>
      </w:r>
    </w:p>
    <w:p>
      <w:pPr>
        <w:spacing w:after="0" w:line="136" w:lineRule="exact"/>
        <w:rPr>
          <w:sz w:val="20"/>
          <w:szCs w:val="20"/>
          <w:color w:val="auto"/>
        </w:rPr>
      </w:pPr>
    </w:p>
    <w:p>
      <w:pPr>
        <w:ind w:right="140" w:firstLine="562"/>
        <w:spacing w:after="0" w:line="233" w:lineRule="auto"/>
        <w:rPr>
          <w:sz w:val="20"/>
          <w:szCs w:val="20"/>
          <w:color w:val="auto"/>
        </w:rPr>
      </w:pPr>
      <w:r>
        <w:rPr>
          <w:rFonts w:ascii="Arial" w:cs="Arial" w:eastAsia="Arial" w:hAnsi="Arial"/>
          <w:sz w:val="14"/>
          <w:szCs w:val="14"/>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prepayment penalties. Net change in unrealized appreciation or depreciation reflects the change in the fair values of our portfolio investments, our Credit Facility, our Notes during the reporting period, including any reversal of previously recorded unrealized appreciation or depreciation, when gains or losses are realized.</w:t>
      </w:r>
    </w:p>
    <w:p>
      <w:pPr>
        <w:spacing w:after="0" w:line="77" w:lineRule="exact"/>
        <w:rPr>
          <w:sz w:val="20"/>
          <w:szCs w:val="20"/>
          <w:color w:val="auto"/>
        </w:rPr>
      </w:pPr>
    </w:p>
    <w:p>
      <w:pPr>
        <w:ind w:firstLine="562"/>
        <w:spacing w:after="0" w:line="229" w:lineRule="auto"/>
        <w:rPr>
          <w:sz w:val="20"/>
          <w:szCs w:val="20"/>
          <w:color w:val="auto"/>
        </w:rPr>
      </w:pPr>
      <w:r>
        <w:rPr>
          <w:rFonts w:ascii="Arial" w:cs="Arial" w:eastAsia="Arial" w:hAnsi="Arial"/>
          <w:sz w:val="14"/>
          <w:szCs w:val="14"/>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original issue discount, or OID, market discount or premium and deferred financing costs on liabilities which we do not fair value are capitalized and then accreted or amortized using the effective interest method as interest income or interest expense as it relates to our deferred financing costs. We record prepayment penalties on loans and debt investments as income. Dividend income, if any, is recognized on an accrual basis on the ex-dividend date to the extent that we expect to collect such amounts.</w:t>
      </w:r>
    </w:p>
    <w:p>
      <w:pPr>
        <w:spacing w:after="0" w:line="77" w:lineRule="exact"/>
        <w:rPr>
          <w:sz w:val="20"/>
          <w:szCs w:val="20"/>
          <w:color w:val="auto"/>
        </w:rPr>
      </w:pPr>
    </w:p>
    <w:p>
      <w:pPr>
        <w:ind w:right="340" w:firstLine="562"/>
        <w:spacing w:after="0" w:line="233" w:lineRule="auto"/>
        <w:rPr>
          <w:sz w:val="20"/>
          <w:szCs w:val="20"/>
          <w:color w:val="auto"/>
        </w:rPr>
      </w:pPr>
      <w:r>
        <w:rPr>
          <w:rFonts w:ascii="Arial" w:cs="Arial" w:eastAsia="Arial" w:hAnsi="Arial"/>
          <w:sz w:val="14"/>
          <w:szCs w:val="14"/>
          <w:color w:val="auto"/>
        </w:rPr>
        <w:t>Loans are placed on non-accrual status when principal or interest payments are past due 30 days or more and/or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are paid and, in management’s judgment, are likely to remain current.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(c) Income Taxes</w:t>
      </w:r>
    </w:p>
    <w:p>
      <w:pPr>
        <w:spacing w:after="0" w:line="136" w:lineRule="exact"/>
        <w:rPr>
          <w:sz w:val="20"/>
          <w:szCs w:val="20"/>
          <w:color w:val="auto"/>
        </w:rPr>
      </w:pPr>
    </w:p>
    <w:p>
      <w:pPr>
        <w:ind w:right="180" w:firstLine="562"/>
        <w:spacing w:after="0" w:line="231" w:lineRule="auto"/>
        <w:rPr>
          <w:sz w:val="20"/>
          <w:szCs w:val="20"/>
          <w:color w:val="auto"/>
        </w:rPr>
      </w:pPr>
      <w:r>
        <w:rPr>
          <w:rFonts w:ascii="Arial" w:cs="Arial" w:eastAsia="Arial" w:hAnsi="Arial"/>
          <w:sz w:val="14"/>
          <w:szCs w:val="14"/>
          <w:color w:val="auto"/>
        </w:rPr>
        <w:t>We have complied with the requirements of Subchapter M of the Code and expect to be subject to taxation as a RIC. As a result, we account for income taxes using the asset liability method prescribed by ASC 740, Income Taxes. Under this method, income taxes are provided for amounts currently payable and for amounts deferred as tax assets and liabilities based on differences between the financial statement carrying amounts and the tax basis of existing assets and liabilities. Based upon PennantPark Investment’s qualification and election to be subject to taxation as a RIC, we do not anticipate paying any material level of federal income taxes in the future. Although we are not subject to federal income taxes as a RIC, we may elect to retain a portion of our calendar year income. We accrued no taxes for either the three months ended December 31, 2014 or 2013.</w:t>
      </w:r>
    </w:p>
    <w:p>
      <w:pPr>
        <w:spacing w:after="0" w:line="76" w:lineRule="exact"/>
        <w:rPr>
          <w:sz w:val="20"/>
          <w:szCs w:val="20"/>
          <w:color w:val="auto"/>
        </w:rPr>
      </w:pPr>
    </w:p>
    <w:p>
      <w:pPr>
        <w:ind w:right="140" w:firstLine="562"/>
        <w:spacing w:after="0" w:line="233" w:lineRule="auto"/>
        <w:rPr>
          <w:sz w:val="20"/>
          <w:szCs w:val="20"/>
          <w:color w:val="auto"/>
        </w:rPr>
      </w:pPr>
      <w:r>
        <w:rPr>
          <w:rFonts w:ascii="Arial" w:cs="Arial" w:eastAsia="Arial" w:hAnsi="Arial"/>
          <w:sz w:val="14"/>
          <w:szCs w:val="14"/>
          <w:color w:val="auto"/>
        </w:rPr>
        <w:t>PennantPark Investment recognizes in its Consolidated Financial Statements the effect of a tax position when it is more likely than not, based on the technical merits, that the position will be sustained upon examination. We did not have any uncertain tax positions that met the recognition or measurement criteria of ASC 740-10-25 nor did we have any unrecognized tax benefits as of the periods presented herein. Although we file federal and state tax returns, our major tax jurisdiction is federal. Our tax returns for each of our federal tax years since 2011 remain subject to examination by the Internal Revenue Service.</w:t>
      </w:r>
    </w:p>
    <w:p>
      <w:pPr>
        <w:spacing w:after="0" w:line="77" w:lineRule="exact"/>
        <w:rPr>
          <w:sz w:val="20"/>
          <w:szCs w:val="20"/>
          <w:color w:val="auto"/>
        </w:rPr>
      </w:pPr>
    </w:p>
    <w:p>
      <w:pPr>
        <w:ind w:right="120" w:firstLine="562"/>
        <w:spacing w:after="0" w:line="233" w:lineRule="auto"/>
        <w:rPr>
          <w:sz w:val="20"/>
          <w:szCs w:val="20"/>
          <w:color w:val="auto"/>
        </w:rPr>
      </w:pPr>
      <w:r>
        <w:rPr>
          <w:rFonts w:ascii="Arial" w:cs="Arial" w:eastAsia="Arial" w:hAnsi="Arial"/>
          <w:sz w:val="14"/>
          <w:szCs w:val="14"/>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 We do not consolidate the Taxable Subsidiaries for income tax purposes, but we do consolidate the results of these Taxable Subsidiaries for financial reporting purposes.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(d) Distributions and Capital Transactions</w:t>
      </w:r>
    </w:p>
    <w:p>
      <w:pPr>
        <w:spacing w:after="0" w:line="96" w:lineRule="exact"/>
        <w:rPr>
          <w:sz w:val="20"/>
          <w:szCs w:val="20"/>
          <w:color w:val="auto"/>
        </w:rPr>
      </w:pPr>
    </w:p>
    <w:p>
      <w:pPr>
        <w:ind w:right="100" w:firstLine="562"/>
        <w:spacing w:after="0" w:line="238" w:lineRule="auto"/>
        <w:rPr>
          <w:sz w:val="20"/>
          <w:szCs w:val="20"/>
          <w:color w:val="auto"/>
        </w:rPr>
      </w:pPr>
      <w:r>
        <w:rPr>
          <w:rFonts w:ascii="Arial" w:cs="Arial" w:eastAsia="Arial" w:hAnsi="Arial"/>
          <w:sz w:val="14"/>
          <w:szCs w:val="14"/>
          <w:color w:val="auto"/>
        </w:rPr>
        <w:t>Distributions to common stockholders are recorded on the ex-dividend date. The amount to be paid, if any, as a distribution is ratified by the board of directors each quarter and is generally based upon the earnings estimated by management. Net realized capital gains, if any, are distributed at least annually. The tax attributes for distributions will generally include ordinary income and capital gains, but may also include qualified dividends and/or return of capital.</w:t>
      </w:r>
    </w:p>
    <w:p>
      <w:pPr>
        <w:spacing w:after="0" w:line="75" w:lineRule="exact"/>
        <w:rPr>
          <w:sz w:val="20"/>
          <w:szCs w:val="20"/>
          <w:color w:val="auto"/>
        </w:rPr>
      </w:pPr>
    </w:p>
    <w:p>
      <w:pPr>
        <w:ind w:right="560" w:firstLine="562"/>
        <w:spacing w:after="0" w:line="253" w:lineRule="auto"/>
        <w:rPr>
          <w:sz w:val="20"/>
          <w:szCs w:val="20"/>
          <w:color w:val="auto"/>
        </w:rPr>
      </w:pPr>
      <w:r>
        <w:rPr>
          <w:rFonts w:ascii="Arial" w:cs="Arial" w:eastAsia="Arial" w:hAnsi="Arial"/>
          <w:sz w:val="14"/>
          <w:szCs w:val="14"/>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(e) Foreign Currency Translation</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4"/>
          <w:szCs w:val="14"/>
          <w:color w:val="auto"/>
        </w:rPr>
        <w:t>Our books and records are maintained in U.S. dollars. Any foreign currency amounts are translated into U.S. dollars on the following basis:</w:t>
      </w:r>
    </w:p>
    <w:p>
      <w:pPr>
        <w:spacing w:after="0" w:line="96" w:lineRule="exact"/>
        <w:rPr>
          <w:sz w:val="20"/>
          <w:szCs w:val="20"/>
          <w:color w:val="auto"/>
        </w:rPr>
      </w:pPr>
    </w:p>
    <w:p>
      <w:pPr>
        <w:ind w:left="940" w:hanging="146"/>
        <w:spacing w:after="0"/>
        <w:tabs>
          <w:tab w:leader="none" w:pos="940" w:val="left"/>
        </w:tabs>
        <w:numPr>
          <w:ilvl w:val="0"/>
          <w:numId w:val="6"/>
        </w:numPr>
        <w:rPr>
          <w:rFonts w:ascii="Arial" w:cs="Arial" w:eastAsia="Arial" w:hAnsi="Arial"/>
          <w:sz w:val="14"/>
          <w:szCs w:val="14"/>
          <w:color w:val="auto"/>
        </w:rPr>
      </w:pPr>
      <w:r>
        <w:rPr>
          <w:rFonts w:ascii="Arial" w:cs="Arial" w:eastAsia="Arial" w:hAnsi="Arial"/>
          <w:sz w:val="14"/>
          <w:szCs w:val="14"/>
          <w:color w:val="auto"/>
        </w:rPr>
        <w:t>Fair value of investment securities, other assets and liabilities – at the exchange rates prevailing at the end of the applicable period; and</w:t>
      </w:r>
    </w:p>
    <w:p>
      <w:pPr>
        <w:spacing w:after="0" w:line="95" w:lineRule="exact"/>
        <w:rPr>
          <w:rFonts w:ascii="Arial" w:cs="Arial" w:eastAsia="Arial" w:hAnsi="Arial"/>
          <w:sz w:val="14"/>
          <w:szCs w:val="14"/>
          <w:color w:val="auto"/>
        </w:rPr>
      </w:pPr>
    </w:p>
    <w:p>
      <w:pPr>
        <w:ind w:left="940" w:hanging="146"/>
        <w:spacing w:after="0"/>
        <w:tabs>
          <w:tab w:leader="none" w:pos="940" w:val="left"/>
        </w:tabs>
        <w:numPr>
          <w:ilvl w:val="0"/>
          <w:numId w:val="6"/>
        </w:numPr>
        <w:rPr>
          <w:rFonts w:ascii="Arial" w:cs="Arial" w:eastAsia="Arial" w:hAnsi="Arial"/>
          <w:sz w:val="14"/>
          <w:szCs w:val="14"/>
          <w:color w:val="auto"/>
        </w:rPr>
      </w:pPr>
      <w:r>
        <w:rPr>
          <w:rFonts w:ascii="Arial" w:cs="Arial" w:eastAsia="Arial" w:hAnsi="Arial"/>
          <w:sz w:val="14"/>
          <w:szCs w:val="14"/>
          <w:color w:val="auto"/>
        </w:rPr>
        <w:t>Purchases and sales of investment securities, income and expenses – at the exchange rates prevailing on the respective dates of such transactions.</w:t>
      </w:r>
    </w:p>
    <w:p>
      <w:pPr>
        <w:spacing w:after="0" w:line="96" w:lineRule="exact"/>
        <w:rPr>
          <w:sz w:val="20"/>
          <w:szCs w:val="20"/>
          <w:color w:val="auto"/>
        </w:rPr>
      </w:pPr>
    </w:p>
    <w:p>
      <w:pPr>
        <w:ind w:right="60" w:firstLine="562"/>
        <w:spacing w:after="0" w:line="238" w:lineRule="auto"/>
        <w:rPr>
          <w:sz w:val="20"/>
          <w:szCs w:val="20"/>
          <w:color w:val="auto"/>
        </w:rPr>
      </w:pPr>
      <w:r>
        <w:rPr>
          <w:rFonts w:ascii="Arial" w:cs="Arial" w:eastAsia="Arial" w:hAnsi="Arial"/>
          <w:sz w:val="14"/>
          <w:szCs w:val="14"/>
          <w:color w:val="auto"/>
        </w:rPr>
        <w:t>Although net assets and fair values are presented based on the applicable foreign exchange rates described above, we do not isolate that portion of the results of operations due to changes in foreign exchange rates on investments and debt from the fluctuations arising from changes in fair values of investments and liabilities held. Such fluctuations are included with the net realized and unrealized gain or loss from investments and liabilities.</w:t>
      </w:r>
    </w:p>
    <w:p>
      <w:pPr>
        <w:spacing w:after="0" w:line="75" w:lineRule="exact"/>
        <w:rPr>
          <w:sz w:val="20"/>
          <w:szCs w:val="20"/>
          <w:color w:val="auto"/>
        </w:rPr>
      </w:pPr>
    </w:p>
    <w:p>
      <w:pPr>
        <w:ind w:right="60" w:firstLine="562"/>
        <w:spacing w:after="0" w:line="238" w:lineRule="auto"/>
        <w:rPr>
          <w:sz w:val="20"/>
          <w:szCs w:val="20"/>
          <w:color w:val="auto"/>
        </w:rPr>
      </w:pPr>
      <w:r>
        <w:rPr>
          <w:rFonts w:ascii="Arial" w:cs="Arial" w:eastAsia="Arial" w:hAnsi="Arial"/>
          <w:sz w:val="14"/>
          <w:szCs w:val="14"/>
          <w:color w:val="auto"/>
        </w:rPr>
        <w:t>Foreign security and currency translations may involve certain considerations and risks not typically associated with investing in U.S. companies and U.S. government securities. These risks include, but are not limited to, currency fluctuations and revaluations and future adverse political, social and economic developments, which could cause investments in foreign markets to be less liquid and prices to be more volatile than those of comparable U.S. companies or U.S. government securities.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240"/>
          </w:cols>
          <w:pgMar w:left="320" w:top="459" w:right="3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3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300"/>
        <w:spacing w:after="0" w:line="226" w:lineRule="auto"/>
        <w:rPr>
          <w:sz w:val="20"/>
          <w:szCs w:val="20"/>
          <w:color w:val="auto"/>
        </w:rPr>
      </w:pPr>
      <w:r>
        <w:rPr>
          <w:rFonts w:ascii="Arial" w:cs="Arial" w:eastAsia="Arial" w:hAnsi="Arial"/>
          <w:sz w:val="14"/>
          <w:szCs w:val="14"/>
          <w:b w:val="1"/>
          <w:bCs w:val="1"/>
          <w:color w:val="auto"/>
        </w:rPr>
        <w:t>NOTES TO CONSOLIDATED FINANCIAL STATEMENTS – (Continued)</w:t>
      </w:r>
    </w:p>
    <w:p>
      <w:pPr>
        <w:jc w:val="center"/>
        <w:ind w:right="-19"/>
        <w:spacing w:after="0" w:line="221" w:lineRule="auto"/>
        <w:rPr>
          <w:sz w:val="20"/>
          <w:szCs w:val="20"/>
          <w:color w:val="auto"/>
        </w:rPr>
      </w:pPr>
      <w:r>
        <w:rPr>
          <w:rFonts w:ascii="Arial" w:cs="Arial" w:eastAsia="Arial" w:hAnsi="Arial"/>
          <w:sz w:val="14"/>
          <w:szCs w:val="14"/>
          <w:b w:val="1"/>
          <w:bCs w:val="1"/>
          <w:color w:val="auto"/>
        </w:rPr>
        <w:t>DECEMBER 31, 2014</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(f) Consolidation</w:t>
      </w:r>
    </w:p>
    <w:p>
      <w:pPr>
        <w:spacing w:after="0" w:line="136" w:lineRule="exact"/>
        <w:rPr>
          <w:sz w:val="20"/>
          <w:szCs w:val="20"/>
          <w:color w:val="auto"/>
        </w:rPr>
      </w:pPr>
    </w:p>
    <w:p>
      <w:pPr>
        <w:ind w:right="80" w:firstLine="562"/>
        <w:spacing w:after="0" w:line="238" w:lineRule="auto"/>
        <w:rPr>
          <w:sz w:val="20"/>
          <w:szCs w:val="20"/>
          <w:color w:val="auto"/>
        </w:rPr>
      </w:pPr>
      <w:r>
        <w:rPr>
          <w:rFonts w:ascii="Arial" w:cs="Arial" w:eastAsia="Arial" w:hAnsi="Arial"/>
          <w:sz w:val="14"/>
          <w:szCs w:val="14"/>
          <w:color w:val="auto"/>
        </w:rPr>
        <w:t>As permitted under Regulation S-X and as explained by ASC 946-810-45, PennantPark Investment will generally not consolidate its investment in a company other than an investment company subsidiary or a controlled operating company whose business consists of providing services to us. Accordingly, we have consolidated the results of our SBIC Funds and our Taxable Subsidiaries in our Consolidated Financial Statements.</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 AGREEMENTS</w:t>
      </w:r>
    </w:p>
    <w:p>
      <w:pPr>
        <w:spacing w:after="0" w:line="100" w:lineRule="exact"/>
        <w:rPr>
          <w:sz w:val="20"/>
          <w:szCs w:val="20"/>
          <w:color w:val="auto"/>
        </w:rPr>
      </w:pPr>
    </w:p>
    <w:p>
      <w:pPr>
        <w:ind w:right="60" w:firstLine="562"/>
        <w:spacing w:after="0" w:line="231" w:lineRule="auto"/>
        <w:rPr>
          <w:sz w:val="20"/>
          <w:szCs w:val="20"/>
          <w:color w:val="auto"/>
        </w:rPr>
      </w:pPr>
      <w:r>
        <w:rPr>
          <w:rFonts w:ascii="Arial" w:cs="Arial" w:eastAsia="Arial" w:hAnsi="Arial"/>
          <w:sz w:val="14"/>
          <w:szCs w:val="14"/>
          <w:color w:val="auto"/>
        </w:rPr>
        <w:t>The Investment Management Agreement with the Investment Adviser was reapproved by our board of directors, including a majority of our directors who are not interested persons of us or the Investment Adviser, in February 2015. Under the Investment Management Agreement, the Investment Adviser, subject to the overall supervision of our board of directors, manages the day-to-day operations of and provides investment advisory services to PennantPark Investment. Our SBIC Funds’ investment management agreements do not affect the management or incentive fees that we pay to the Investment Adviser on a consolidated basis. For providing these services, the Investment Adviser receives a fee from us, consisting of two components—a base management fee and an incentive fee.</w:t>
      </w:r>
    </w:p>
    <w:p>
      <w:pPr>
        <w:spacing w:after="0" w:line="76" w:lineRule="exact"/>
        <w:rPr>
          <w:sz w:val="20"/>
          <w:szCs w:val="20"/>
          <w:color w:val="auto"/>
        </w:rPr>
      </w:pPr>
    </w:p>
    <w:p>
      <w:pPr>
        <w:ind w:right="40" w:firstLine="562"/>
        <w:spacing w:after="0" w:line="247" w:lineRule="auto"/>
        <w:rPr>
          <w:sz w:val="20"/>
          <w:szCs w:val="20"/>
          <w:color w:val="auto"/>
        </w:rPr>
      </w:pPr>
      <w:r>
        <w:rPr>
          <w:rFonts w:ascii="Arial" w:cs="Arial" w:eastAsia="Arial" w:hAnsi="Arial"/>
          <w:sz w:val="13"/>
          <w:szCs w:val="13"/>
          <w:color w:val="auto"/>
        </w:rPr>
        <w:t>The base management fee is calculated at an annual rate of 2.00% of our “average adjusted gross assets,” which equals our gross assets (net of U.S. Treasury Bills, temporary draws under any credit facility, cash and cash equivalents, repurchase agreements or other balance sheet transactions undertaken at the end of a fiscal quarter for purposes of preserving investment flexibility for the next quarter and adjusted to exclude cash, cash equivalents and unfunded investments, if any) and is payable quarterly in arrears.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For the three months ended December 31, 2014 and 2013, the Investment Adviser earned base management fees of $6.8 million and $5.7 million, respectively, from us.</w:t>
      </w:r>
    </w:p>
    <w:p>
      <w:pPr>
        <w:spacing w:after="0" w:line="71" w:lineRule="exact"/>
        <w:rPr>
          <w:sz w:val="20"/>
          <w:szCs w:val="20"/>
          <w:color w:val="auto"/>
        </w:rPr>
      </w:pPr>
    </w:p>
    <w:p>
      <w:pPr>
        <w:ind w:left="560"/>
        <w:spacing w:after="0"/>
        <w:rPr>
          <w:sz w:val="20"/>
          <w:szCs w:val="20"/>
          <w:color w:val="auto"/>
        </w:rPr>
      </w:pPr>
      <w:r>
        <w:rPr>
          <w:rFonts w:ascii="Arial" w:cs="Arial" w:eastAsia="Arial" w:hAnsi="Arial"/>
          <w:sz w:val="14"/>
          <w:szCs w:val="14"/>
          <w:color w:val="auto"/>
        </w:rPr>
        <w:t>The incentive fee has two parts, as follows:</w:t>
      </w:r>
    </w:p>
    <w:p>
      <w:pPr>
        <w:spacing w:after="0" w:line="96" w:lineRule="exact"/>
        <w:rPr>
          <w:sz w:val="20"/>
          <w:szCs w:val="20"/>
          <w:color w:val="auto"/>
        </w:rPr>
      </w:pPr>
    </w:p>
    <w:p>
      <w:pPr>
        <w:ind w:right="20" w:firstLine="562"/>
        <w:spacing w:after="0"/>
        <w:rPr>
          <w:sz w:val="20"/>
          <w:szCs w:val="20"/>
          <w:color w:val="auto"/>
        </w:rPr>
      </w:pPr>
      <w:r>
        <w:rPr>
          <w:rFonts w:ascii="Arial" w:cs="Arial" w:eastAsia="Arial" w:hAnsi="Arial"/>
          <w:sz w:val="13"/>
          <w:szCs w:val="13"/>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and distribution paid on any issued and outstanding preferred stock, but excluding the incentive fee). Pre-Incentive Fee Net Investment Income includes, in the case of investments with a deferred interest feature (such as OID, debt instruments with PIK interest and zero 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percentage of the value of our net assets at the end of the immediately preceding calendar quarter, is compared to the hurdle rate of 1.75% per quarter (7.00% annualized). We pay the Investment Adviser an incentive fee with respect to our Pre-Incentive Fee Net Investment Income in each calendar quarter as follows: (1) no incentive fee in any calendar quarter in which our Pre-Incentive Fee Net Investment Income does not exceed the hurdle rate of 1.75%, (2) 100% of our Pre-Incentive Fee Net Investment Income with respect to that portion of such Pre-Incentive Fee Net Investment Income, if any, that exceeds the hurdle rate but is less than 2.1875% in any calendar quarter (8.75% annualized), and (3) 20% of the amount of our Pre-Incentive Fee Net Investment Income, if any, that exceeds</w:t>
      </w:r>
    </w:p>
    <w:p>
      <w:pPr>
        <w:spacing w:after="0" w:line="1" w:lineRule="exact"/>
        <w:rPr>
          <w:sz w:val="20"/>
          <w:szCs w:val="20"/>
          <w:color w:val="auto"/>
        </w:rPr>
      </w:pPr>
    </w:p>
    <w:p>
      <w:pPr>
        <w:ind w:right="40"/>
        <w:spacing w:after="0" w:line="237" w:lineRule="auto"/>
        <w:rPr>
          <w:sz w:val="20"/>
          <w:szCs w:val="20"/>
          <w:color w:val="auto"/>
        </w:rPr>
      </w:pPr>
      <w:r>
        <w:rPr>
          <w:rFonts w:ascii="Arial" w:cs="Arial" w:eastAsia="Arial" w:hAnsi="Arial"/>
          <w:sz w:val="14"/>
          <w:szCs w:val="14"/>
          <w:color w:val="auto"/>
        </w:rPr>
        <w:t>2.1875% in any calendar quarter. These calculations are pro-rated for any share issuances or repurchases during the relevant quarter, if applicable. For the three months ended December 31, 2014 and 2013, the Investment Adviser earned $4.9 million and $4.5 million, respectively, in incentive fees on net investment income from us.</w:t>
      </w:r>
    </w:p>
    <w:p>
      <w:pPr>
        <w:spacing w:after="0" w:line="75" w:lineRule="exact"/>
        <w:rPr>
          <w:sz w:val="20"/>
          <w:szCs w:val="20"/>
          <w:color w:val="auto"/>
        </w:rPr>
      </w:pPr>
    </w:p>
    <w:p>
      <w:pPr>
        <w:ind w:right="140" w:firstLine="562"/>
        <w:spacing w:after="0" w:line="255" w:lineRule="auto"/>
        <w:rPr>
          <w:sz w:val="20"/>
          <w:szCs w:val="20"/>
          <w:color w:val="auto"/>
        </w:rPr>
      </w:pPr>
      <w:r>
        <w:rPr>
          <w:rFonts w:ascii="Arial" w:cs="Arial" w:eastAsia="Arial" w:hAnsi="Arial"/>
          <w:sz w:val="13"/>
          <w:szCs w:val="13"/>
          <w:color w:val="auto"/>
        </w:rPr>
        <w:t>The second part of the incentive fee is determined and payable in arrears as of the end of each calendar year (or upon termination of the Investment Management Agreement, as of the termination date) and equals 20%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each of the three months ended December 31, 2014 and 2013, the Investment Adviser did not earn an incentive fee on capital gains as calculated under the Investment Management Agreement (as described above).</w:t>
      </w:r>
    </w:p>
    <w:p>
      <w:pPr>
        <w:spacing w:after="0" w:line="67" w:lineRule="exact"/>
        <w:rPr>
          <w:sz w:val="20"/>
          <w:szCs w:val="20"/>
          <w:color w:val="auto"/>
        </w:rPr>
      </w:pPr>
    </w:p>
    <w:p>
      <w:pPr>
        <w:ind w:firstLine="562"/>
        <w:spacing w:after="0" w:line="227" w:lineRule="auto"/>
        <w:rPr>
          <w:sz w:val="20"/>
          <w:szCs w:val="20"/>
          <w:color w:val="auto"/>
        </w:rPr>
      </w:pPr>
      <w:r>
        <w:rPr>
          <w:rFonts w:ascii="Arial" w:cs="Arial" w:eastAsia="Arial" w:hAnsi="Arial"/>
          <w:sz w:val="14"/>
          <w:szCs w:val="14"/>
          <w:color w:val="auto"/>
        </w:rPr>
        <w:t>Under GAAP, we are required to accrue a capital gains incentive fee based upon net realized capital gains and net unrealized capital appreciation and depreciation on investments and foreign currencies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20% of such amount, less the aggregate amount of actual capital gains related incentive fees paid in all prior years. If such amount is negative, then there is no accrual for such year. There can be no assurance that such unrealized capital appreciation will be realized in the future. For each of the three months ended December 31, 2014 and 2013, the Investment Adviser did not accrue an incentive fee on capital gains as calculated under GAAP.</w:t>
      </w:r>
    </w:p>
    <w:p>
      <w:pPr>
        <w:spacing w:after="0" w:line="78" w:lineRule="exact"/>
        <w:rPr>
          <w:sz w:val="20"/>
          <w:szCs w:val="20"/>
          <w:color w:val="auto"/>
        </w:rPr>
      </w:pPr>
    </w:p>
    <w:p>
      <w:pPr>
        <w:ind w:right="20" w:firstLine="562"/>
        <w:spacing w:after="0" w:line="245" w:lineRule="auto"/>
        <w:rPr>
          <w:sz w:val="20"/>
          <w:szCs w:val="20"/>
          <w:color w:val="auto"/>
        </w:rPr>
      </w:pPr>
      <w:r>
        <w:rPr>
          <w:rFonts w:ascii="Arial" w:cs="Arial" w:eastAsia="Arial" w:hAnsi="Arial"/>
          <w:sz w:val="13"/>
          <w:szCs w:val="13"/>
          <w:color w:val="auto"/>
        </w:rPr>
        <w:t>The Administration Agreement with the Administrator was reapproved by our board of directors, including a majority of our directors who are not interested persons of us, in February 2015. Under the Administration Agreement, the Administrator provides administrative services and office facilities to us. The Administrator provides similar services to our SBIC Funds under each of their administration agreements with PennantPark Investment. For providing these services, facilities and personnel, PennantPark Investment has agreed to reimburse the Administrator for our allocable portion of overhead and other expenses incurred by the Administrator in performing its obligations under our Administration Agreement, including rent and PennantPark Investment’s allocable portion of the costs of compensation and related expenses for its Chief Compliance Officer, Chief Financial Officer and their respective staffs. The Administrator also offers, on PennantPark Investment’s behalf, managerial assistance to portfolio companies to which PennantPark Investment is required to offer such assistance. Reimbursement for certain of these costs is included in administrative services expenses in the Consolidated Statement of Operations. For each of the three months ended December 31, 2014 and 2013, the Investment Adviser was reimbursed $0.7 million and $0.5 million, respectively, from us, including expenses the Investment Adviser incurred on behalf of the Administrator, for the services described above.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1220"/>
          </w:cols>
          <w:pgMar w:left="320" w:top="459" w:right="3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3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300"/>
        <w:spacing w:after="0" w:line="226" w:lineRule="auto"/>
        <w:rPr>
          <w:sz w:val="20"/>
          <w:szCs w:val="20"/>
          <w:color w:val="auto"/>
        </w:rPr>
      </w:pPr>
      <w:r>
        <w:rPr>
          <w:rFonts w:ascii="Arial" w:cs="Arial" w:eastAsia="Arial" w:hAnsi="Arial"/>
          <w:sz w:val="14"/>
          <w:szCs w:val="14"/>
          <w:b w:val="1"/>
          <w:bCs w:val="1"/>
          <w:color w:val="auto"/>
        </w:rPr>
        <w:t>NOTES TO CONSOLIDATED FINANCIAL STATEMENTS – (Continued)</w:t>
      </w:r>
    </w:p>
    <w:p>
      <w:pPr>
        <w:jc w:val="center"/>
        <w:ind w:right="-19"/>
        <w:spacing w:after="0" w:line="221" w:lineRule="auto"/>
        <w:rPr>
          <w:sz w:val="20"/>
          <w:szCs w:val="20"/>
          <w:color w:val="auto"/>
        </w:rPr>
      </w:pPr>
      <w:r>
        <w:rPr>
          <w:rFonts w:ascii="Arial" w:cs="Arial" w:eastAsia="Arial" w:hAnsi="Arial"/>
          <w:sz w:val="14"/>
          <w:szCs w:val="14"/>
          <w:b w:val="1"/>
          <w:bCs w:val="1"/>
          <w:color w:val="auto"/>
        </w:rPr>
        <w:t>DECEMBER 31, 2014</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right="80" w:firstLine="562"/>
        <w:spacing w:after="0" w:line="248" w:lineRule="auto"/>
        <w:rPr>
          <w:sz w:val="20"/>
          <w:szCs w:val="20"/>
          <w:color w:val="auto"/>
        </w:rPr>
      </w:pPr>
      <w:r>
        <w:rPr>
          <w:rFonts w:ascii="Arial" w:cs="Arial" w:eastAsia="Arial" w:hAnsi="Arial"/>
          <w:sz w:val="13"/>
          <w:szCs w:val="13"/>
          <w:color w:val="auto"/>
        </w:rPr>
        <w:t>PennantPark Investment has entered into an administration agreement with its controlled affiliate SPH. Under the administration agreement with SPH, or the SPH Administration Agreement, PennantPark Investment through the Administrator furnishes SPH with office facilities, equipment and clerical, bookkeeping and record keeping services at such facilities. Additionally, the Administrator performs or oversees the performance of SPH’s required administrative services, which include, among other things, maintaining financial records, preparing financial reports and filing tax returns. Payments under the SPH Administration Agreement are equal to an amount based upon SPH’s allocable portion of the Administrator’s overhead in performing its obligations under the SPH Administration Agreement, including rent and allocable portion of the cost of compensation and related expenses of our Chief Financial Officer and his staff. For each of the three months ended December 31, 2014 and 2013, PennantPark Investment was reimbursed $0.1 million for the services described above.</w:t>
      </w:r>
    </w:p>
    <w:p>
      <w:pPr>
        <w:spacing w:after="0" w:line="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 INVESTMENTS</w:t>
      </w:r>
    </w:p>
    <w:p>
      <w:pPr>
        <w:spacing w:after="0" w:line="100" w:lineRule="exact"/>
        <w:rPr>
          <w:sz w:val="20"/>
          <w:szCs w:val="20"/>
          <w:color w:val="auto"/>
        </w:rPr>
      </w:pPr>
    </w:p>
    <w:p>
      <w:pPr>
        <w:ind w:firstLine="562"/>
        <w:spacing w:after="0" w:line="253" w:lineRule="auto"/>
        <w:rPr>
          <w:sz w:val="20"/>
          <w:szCs w:val="20"/>
          <w:color w:val="auto"/>
        </w:rPr>
      </w:pPr>
      <w:r>
        <w:rPr>
          <w:rFonts w:ascii="Arial" w:cs="Arial" w:eastAsia="Arial" w:hAnsi="Arial"/>
          <w:sz w:val="14"/>
          <w:szCs w:val="14"/>
          <w:color w:val="auto"/>
        </w:rPr>
        <w:t>Purchases of investments, including PIK interest, for the three months ended December 31, 2014 and 2013 totaled $160.3 million and $230.2 million, respectively. Sales and repayments of investments for the same periods totaled $79.3 million and $144.0 million, respectively.</w:t>
      </w:r>
    </w:p>
    <w:p>
      <w:pPr>
        <w:spacing w:after="0" w:line="66" w:lineRule="exact"/>
        <w:rPr>
          <w:sz w:val="20"/>
          <w:szCs w:val="20"/>
          <w:color w:val="auto"/>
        </w:rPr>
      </w:pPr>
    </w:p>
    <w:p>
      <w:pPr>
        <w:ind w:left="560"/>
        <w:spacing w:after="0"/>
        <w:rPr>
          <w:sz w:val="20"/>
          <w:szCs w:val="20"/>
          <w:color w:val="auto"/>
        </w:rPr>
      </w:pPr>
      <w:r>
        <w:rPr>
          <w:rFonts w:ascii="Arial" w:cs="Arial" w:eastAsia="Arial" w:hAnsi="Arial"/>
          <w:sz w:val="14"/>
          <w:szCs w:val="14"/>
          <w:color w:val="auto"/>
        </w:rPr>
        <w:t>Investments and cash equivalents consisted of the following:</w:t>
      </w:r>
    </w:p>
    <w:p>
      <w:pPr>
        <w:spacing w:after="0" w:line="231" w:lineRule="exact"/>
        <w:rPr>
          <w:sz w:val="20"/>
          <w:szCs w:val="20"/>
          <w:color w:val="auto"/>
        </w:rPr>
      </w:pPr>
    </w:p>
    <w:tbl>
      <w:tblPr>
        <w:tblLayout w:type="fixed"/>
        <w:tblInd w:w="1140" w:type="dxa"/>
        <w:tblCellMar>
          <w:top w:w="0" w:type="dxa"/>
          <w:left w:w="0" w:type="dxa"/>
          <w:bottom w:w="0" w:type="dxa"/>
          <w:right w:w="0" w:type="dxa"/>
        </w:tblCellMar>
      </w:tblPr>
      <w:tr>
        <w:trPr>
          <w:trHeight w:val="153"/>
        </w:trPr>
        <w:tc>
          <w:tcPr>
            <w:tcW w:w="3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40" w:type="dxa"/>
            <w:vAlign w:val="bottom"/>
            <w:gridSpan w:val="4"/>
          </w:tcPr>
          <w:p>
            <w:pPr>
              <w:jc w:val="right"/>
              <w:ind w:right="549"/>
              <w:spacing w:after="0"/>
              <w:rPr>
                <w:sz w:val="20"/>
                <w:szCs w:val="20"/>
                <w:color w:val="auto"/>
              </w:rPr>
            </w:pPr>
            <w:r>
              <w:rPr>
                <w:rFonts w:ascii="Arial" w:cs="Arial" w:eastAsia="Arial" w:hAnsi="Arial"/>
                <w:sz w:val="13"/>
                <w:szCs w:val="13"/>
                <w:b w:val="1"/>
                <w:bCs w:val="1"/>
                <w:color w:val="auto"/>
              </w:rPr>
              <w:t>December 31, 2014</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40" w:type="dxa"/>
            <w:vAlign w:val="bottom"/>
            <w:gridSpan w:val="5"/>
          </w:tcPr>
          <w:p>
            <w:pPr>
              <w:ind w:left="480"/>
              <w:spacing w:after="0"/>
              <w:rPr>
                <w:sz w:val="20"/>
                <w:szCs w:val="20"/>
                <w:color w:val="auto"/>
              </w:rPr>
            </w:pPr>
            <w:r>
              <w:rPr>
                <w:rFonts w:ascii="Arial" w:cs="Arial" w:eastAsia="Arial" w:hAnsi="Arial"/>
                <w:sz w:val="13"/>
                <w:szCs w:val="13"/>
                <w:b w:val="1"/>
                <w:bCs w:val="1"/>
                <w:color w:val="auto"/>
              </w:rPr>
              <w:t>September 30, 2014</w:t>
            </w:r>
          </w:p>
        </w:tc>
      </w:tr>
      <w:tr>
        <w:trPr>
          <w:trHeight w:val="129"/>
        </w:trPr>
        <w:tc>
          <w:tcPr>
            <w:tcW w:w="4100" w:type="dxa"/>
            <w:vAlign w:val="bottom"/>
            <w:tcBorders>
              <w:top w:val="single" w:sz="8" w:color="CCEEFF"/>
            </w:tcBorders>
            <w:gridSpan w:val="2"/>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Investment Classification</w:t>
            </w: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jc w:val="right"/>
              <w:ind w:right="270"/>
              <w:spacing w:after="0" w:line="129" w:lineRule="exact"/>
              <w:rPr>
                <w:sz w:val="20"/>
                <w:szCs w:val="20"/>
                <w:color w:val="auto"/>
              </w:rPr>
            </w:pPr>
            <w:r>
              <w:rPr>
                <w:rFonts w:ascii="Arial" w:cs="Arial" w:eastAsia="Arial" w:hAnsi="Arial"/>
                <w:sz w:val="13"/>
                <w:szCs w:val="13"/>
                <w:b w:val="1"/>
                <w:bCs w:val="1"/>
                <w:color w:val="auto"/>
              </w:rPr>
              <w:t>Cost</w:t>
            </w:r>
          </w:p>
        </w:tc>
        <w:tc>
          <w:tcPr>
            <w:tcW w:w="2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jc w:val="right"/>
              <w:ind w:right="129"/>
              <w:spacing w:after="0" w:line="129" w:lineRule="exact"/>
              <w:rPr>
                <w:sz w:val="20"/>
                <w:szCs w:val="20"/>
                <w:color w:val="auto"/>
              </w:rPr>
            </w:pPr>
            <w:r>
              <w:rPr>
                <w:rFonts w:ascii="Arial" w:cs="Arial" w:eastAsia="Arial" w:hAnsi="Arial"/>
                <w:sz w:val="13"/>
                <w:szCs w:val="13"/>
                <w:b w:val="1"/>
                <w:bCs w:val="1"/>
                <w:color w:val="auto"/>
              </w:rPr>
              <w:t>Fair Value</w:t>
            </w:r>
          </w:p>
        </w:tc>
        <w:tc>
          <w:tcPr>
            <w:tcW w:w="2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jc w:val="right"/>
              <w:ind w:right="270"/>
              <w:spacing w:after="0" w:line="129" w:lineRule="exact"/>
              <w:rPr>
                <w:sz w:val="20"/>
                <w:szCs w:val="20"/>
                <w:color w:val="auto"/>
              </w:rPr>
            </w:pPr>
            <w:r>
              <w:rPr>
                <w:rFonts w:ascii="Arial" w:cs="Arial" w:eastAsia="Arial" w:hAnsi="Arial"/>
                <w:sz w:val="13"/>
                <w:szCs w:val="13"/>
                <w:b w:val="1"/>
                <w:bCs w:val="1"/>
                <w:color w:val="auto"/>
              </w:rPr>
              <w:t>Cost</w:t>
            </w:r>
          </w:p>
        </w:tc>
        <w:tc>
          <w:tcPr>
            <w:tcW w:w="2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jc w:val="right"/>
              <w:ind w:right="129"/>
              <w:spacing w:after="0" w:line="129" w:lineRule="exact"/>
              <w:rPr>
                <w:sz w:val="20"/>
                <w:szCs w:val="20"/>
                <w:color w:val="auto"/>
              </w:rPr>
            </w:pPr>
            <w:r>
              <w:rPr>
                <w:rFonts w:ascii="Arial" w:cs="Arial" w:eastAsia="Arial" w:hAnsi="Arial"/>
                <w:sz w:val="13"/>
                <w:szCs w:val="13"/>
                <w:b w:val="1"/>
                <w:bCs w:val="1"/>
                <w:color w:val="auto"/>
              </w:rPr>
              <w:t>Fair Value</w:t>
            </w:r>
          </w:p>
        </w:tc>
        <w:tc>
          <w:tcPr>
            <w:tcW w:w="80" w:type="dxa"/>
            <w:vAlign w:val="bottom"/>
            <w:tcBorders>
              <w:top w:val="single" w:sz="8" w:color="CCEEFF"/>
            </w:tcBorders>
            <w:shd w:val="clear" w:color="auto" w:fill="CCEEFF"/>
          </w:tcPr>
          <w:p>
            <w:pPr>
              <w:spacing w:after="0"/>
              <w:rPr>
                <w:sz w:val="11"/>
                <w:szCs w:val="11"/>
                <w:color w:val="auto"/>
              </w:rPr>
            </w:pPr>
          </w:p>
        </w:tc>
      </w:tr>
      <w:tr>
        <w:trPr>
          <w:trHeight w:val="142"/>
        </w:trPr>
        <w:tc>
          <w:tcPr>
            <w:tcW w:w="394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color w:val="auto"/>
              </w:rPr>
              <w:t>First lien</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427,584,902</w:t>
            </w:r>
          </w:p>
        </w:tc>
        <w:tc>
          <w:tcPr>
            <w:tcW w:w="240" w:type="dxa"/>
            <w:vAlign w:val="bottom"/>
          </w:tcPr>
          <w:p>
            <w:pPr>
              <w:spacing w:after="0"/>
              <w:rPr>
                <w:sz w:val="12"/>
                <w:szCs w:val="12"/>
                <w:color w:val="auto"/>
              </w:rPr>
            </w:pPr>
          </w:p>
        </w:tc>
        <w:tc>
          <w:tcPr>
            <w:tcW w:w="120" w:type="dxa"/>
            <w:vAlign w:val="bottom"/>
            <w:tcBorders>
              <w:top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422,952,337</w:t>
            </w:r>
          </w:p>
        </w:tc>
        <w:tc>
          <w:tcPr>
            <w:tcW w:w="240" w:type="dxa"/>
            <w:vAlign w:val="bottom"/>
          </w:tcPr>
          <w:p>
            <w:pPr>
              <w:spacing w:after="0"/>
              <w:rPr>
                <w:sz w:val="12"/>
                <w:szCs w:val="12"/>
                <w:color w:val="auto"/>
              </w:rPr>
            </w:pPr>
          </w:p>
        </w:tc>
        <w:tc>
          <w:tcPr>
            <w:tcW w:w="140" w:type="dxa"/>
            <w:vAlign w:val="bottom"/>
            <w:tcBorders>
              <w:top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453,835,589</w:t>
            </w:r>
          </w:p>
        </w:tc>
        <w:tc>
          <w:tcPr>
            <w:tcW w:w="260" w:type="dxa"/>
            <w:vAlign w:val="bottom"/>
          </w:tcPr>
          <w:p>
            <w:pPr>
              <w:spacing w:after="0"/>
              <w:rPr>
                <w:sz w:val="12"/>
                <w:szCs w:val="12"/>
                <w:color w:val="auto"/>
              </w:rPr>
            </w:pPr>
          </w:p>
        </w:tc>
        <w:tc>
          <w:tcPr>
            <w:tcW w:w="120" w:type="dxa"/>
            <w:vAlign w:val="bottom"/>
            <w:tcBorders>
              <w:top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465,593,894</w:t>
            </w:r>
          </w:p>
        </w:tc>
        <w:tc>
          <w:tcPr>
            <w:tcW w:w="80" w:type="dxa"/>
            <w:vAlign w:val="bottom"/>
          </w:tcPr>
          <w:p>
            <w:pPr>
              <w:spacing w:after="0"/>
              <w:rPr>
                <w:sz w:val="12"/>
                <w:szCs w:val="12"/>
                <w:color w:val="auto"/>
              </w:rPr>
            </w:pPr>
          </w:p>
        </w:tc>
      </w:tr>
      <w:tr>
        <w:trPr>
          <w:trHeight w:val="148"/>
        </w:trPr>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Second lien</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599,955,828</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587,991,524</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489,813,322</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493,360,024</w:t>
            </w:r>
          </w:p>
        </w:tc>
        <w:tc>
          <w:tcPr>
            <w:tcW w:w="80" w:type="dxa"/>
            <w:vAlign w:val="bottom"/>
            <w:shd w:val="clear" w:color="auto" w:fill="CCEEFF"/>
          </w:tcPr>
          <w:p>
            <w:pPr>
              <w:spacing w:after="0"/>
              <w:rPr>
                <w:sz w:val="12"/>
                <w:szCs w:val="12"/>
                <w:color w:val="auto"/>
              </w:rPr>
            </w:pPr>
          </w:p>
        </w:tc>
      </w:tr>
      <w:tr>
        <w:trPr>
          <w:trHeight w:val="148"/>
        </w:trPr>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Subordinated debt / corporate notes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242,234,230</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218,901,375</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250,905,632</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247,146,967</w:t>
            </w:r>
          </w:p>
        </w:tc>
        <w:tc>
          <w:tcPr>
            <w:tcW w:w="80" w:type="dxa"/>
            <w:vAlign w:val="bottom"/>
          </w:tcPr>
          <w:p>
            <w:pPr>
              <w:spacing w:after="0"/>
              <w:rPr>
                <w:sz w:val="12"/>
                <w:szCs w:val="12"/>
                <w:color w:val="auto"/>
              </w:rPr>
            </w:pPr>
          </w:p>
        </w:tc>
      </w:tr>
      <w:tr>
        <w:trPr>
          <w:trHeight w:val="148"/>
        </w:trPr>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Equity and partnership interests</w:t>
            </w:r>
          </w:p>
        </w:tc>
        <w:tc>
          <w:tcPr>
            <w:tcW w:w="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124,793,156</w:t>
            </w:r>
          </w:p>
        </w:tc>
        <w:tc>
          <w:tcPr>
            <w:tcW w:w="2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110,749,882</w:t>
            </w:r>
          </w:p>
        </w:tc>
        <w:tc>
          <w:tcPr>
            <w:tcW w:w="2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124,299,777</w:t>
            </w:r>
          </w:p>
        </w:tc>
        <w:tc>
          <w:tcPr>
            <w:tcW w:w="2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111,953,881</w:t>
            </w:r>
          </w:p>
        </w:tc>
        <w:tc>
          <w:tcPr>
            <w:tcW w:w="80" w:type="dxa"/>
            <w:vAlign w:val="bottom"/>
            <w:shd w:val="clear" w:color="auto" w:fill="CCEEFF"/>
          </w:tcPr>
          <w:p>
            <w:pPr>
              <w:spacing w:after="0"/>
              <w:rPr>
                <w:sz w:val="12"/>
                <w:szCs w:val="12"/>
                <w:color w:val="auto"/>
              </w:rPr>
            </w:pPr>
          </w:p>
        </w:tc>
      </w:tr>
      <w:tr>
        <w:trPr>
          <w:trHeight w:val="156"/>
        </w:trPr>
        <w:tc>
          <w:tcPr>
            <w:tcW w:w="4100" w:type="dxa"/>
            <w:vAlign w:val="bottom"/>
            <w:gridSpan w:val="2"/>
          </w:tcPr>
          <w:p>
            <w:pPr>
              <w:spacing w:after="0" w:line="155" w:lineRule="exact"/>
              <w:rPr>
                <w:sz w:val="20"/>
                <w:szCs w:val="20"/>
                <w:color w:val="auto"/>
              </w:rPr>
            </w:pPr>
            <w:r>
              <w:rPr>
                <w:rFonts w:ascii="Arial" w:cs="Arial" w:eastAsia="Arial" w:hAnsi="Arial"/>
                <w:sz w:val="14"/>
                <w:szCs w:val="14"/>
                <w:color w:val="auto"/>
              </w:rPr>
              <w:t>Total investments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w w:val="93"/>
              </w:rPr>
              <w:t>1,394,568,116</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w w:val="98"/>
              </w:rPr>
              <w:t>1,340,595,118</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w w:val="96"/>
              </w:rPr>
              <w:t>1,318,854,320</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w w:val="98"/>
              </w:rPr>
              <w:t>1,318,054,766</w:t>
            </w:r>
          </w:p>
        </w:tc>
        <w:tc>
          <w:tcPr>
            <w:tcW w:w="80" w:type="dxa"/>
            <w:vAlign w:val="bottom"/>
          </w:tcPr>
          <w:p>
            <w:pPr>
              <w:spacing w:after="0"/>
              <w:rPr>
                <w:sz w:val="13"/>
                <w:szCs w:val="13"/>
                <w:color w:val="auto"/>
              </w:rPr>
            </w:pPr>
          </w:p>
        </w:tc>
      </w:tr>
      <w:tr>
        <w:trPr>
          <w:trHeight w:val="148"/>
        </w:trPr>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w:t>
            </w:r>
          </w:p>
        </w:tc>
        <w:tc>
          <w:tcPr>
            <w:tcW w:w="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54,401,649</w:t>
            </w:r>
          </w:p>
        </w:tc>
        <w:tc>
          <w:tcPr>
            <w:tcW w:w="2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54,329,248</w:t>
            </w:r>
          </w:p>
        </w:tc>
        <w:tc>
          <w:tcPr>
            <w:tcW w:w="2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66,600,195</w:t>
            </w:r>
          </w:p>
        </w:tc>
        <w:tc>
          <w:tcPr>
            <w:tcW w:w="2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66,518,682</w:t>
            </w:r>
          </w:p>
        </w:tc>
        <w:tc>
          <w:tcPr>
            <w:tcW w:w="80" w:type="dxa"/>
            <w:vAlign w:val="bottom"/>
            <w:shd w:val="clear" w:color="auto" w:fill="CCEEFF"/>
          </w:tcPr>
          <w:p>
            <w:pPr>
              <w:spacing w:after="0"/>
              <w:rPr>
                <w:sz w:val="12"/>
                <w:szCs w:val="12"/>
                <w:color w:val="auto"/>
              </w:rPr>
            </w:pPr>
          </w:p>
        </w:tc>
      </w:tr>
      <w:tr>
        <w:trPr>
          <w:trHeight w:val="156"/>
        </w:trPr>
        <w:tc>
          <w:tcPr>
            <w:tcW w:w="4100" w:type="dxa"/>
            <w:vAlign w:val="bottom"/>
            <w:gridSpan w:val="2"/>
          </w:tcPr>
          <w:p>
            <w:pPr>
              <w:spacing w:after="0" w:line="155" w:lineRule="exact"/>
              <w:rPr>
                <w:sz w:val="20"/>
                <w:szCs w:val="20"/>
                <w:color w:val="auto"/>
              </w:rPr>
            </w:pPr>
            <w:r>
              <w:rPr>
                <w:rFonts w:ascii="Arial" w:cs="Arial" w:eastAsia="Arial" w:hAnsi="Arial"/>
                <w:sz w:val="14"/>
                <w:szCs w:val="14"/>
                <w:color w:val="auto"/>
              </w:rPr>
              <w:t>Total investments, cash and cash equivalents</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3"/>
              </w:rPr>
              <w:t>1,448,969,765</w:t>
            </w:r>
          </w:p>
        </w:tc>
        <w:tc>
          <w:tcPr>
            <w:tcW w:w="240" w:type="dxa"/>
            <w:vAlign w:val="bottom"/>
          </w:tcPr>
          <w:p>
            <w:pPr>
              <w:spacing w:after="0"/>
              <w:rPr>
                <w:sz w:val="13"/>
                <w:szCs w:val="13"/>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8"/>
              </w:rPr>
              <w:t>1,394,924,366</w:t>
            </w:r>
          </w:p>
        </w:tc>
        <w:tc>
          <w:tcPr>
            <w:tcW w:w="240" w:type="dxa"/>
            <w:vAlign w:val="bottom"/>
          </w:tcPr>
          <w:p>
            <w:pPr>
              <w:spacing w:after="0"/>
              <w:rPr>
                <w:sz w:val="13"/>
                <w:szCs w:val="13"/>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6"/>
              </w:rPr>
              <w:t>1,385,454,515</w:t>
            </w:r>
          </w:p>
        </w:tc>
        <w:tc>
          <w:tcPr>
            <w:tcW w:w="260" w:type="dxa"/>
            <w:vAlign w:val="bottom"/>
          </w:tcPr>
          <w:p>
            <w:pPr>
              <w:spacing w:after="0"/>
              <w:rPr>
                <w:sz w:val="13"/>
                <w:szCs w:val="13"/>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8"/>
              </w:rPr>
              <w:t>1,384,573,448</w:t>
            </w:r>
          </w:p>
        </w:tc>
        <w:tc>
          <w:tcPr>
            <w:tcW w:w="80" w:type="dxa"/>
            <w:vAlign w:val="bottom"/>
          </w:tcPr>
          <w:p>
            <w:pPr>
              <w:spacing w:after="0"/>
              <w:rPr>
                <w:sz w:val="13"/>
                <w:szCs w:val="13"/>
                <w:color w:val="auto"/>
              </w:rPr>
            </w:pPr>
          </w:p>
        </w:tc>
      </w:tr>
      <w:tr>
        <w:trPr>
          <w:trHeight w:val="20"/>
        </w:trPr>
        <w:tc>
          <w:tcPr>
            <w:tcW w:w="3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Arial" w:cs="Arial" w:eastAsia="Arial" w:hAnsi="Arial"/>
          <w:sz w:val="13"/>
          <w:szCs w:val="13"/>
          <w:color w:val="auto"/>
        </w:rPr>
        <w:t>The table below describes investments by industry classification and enumerates the percentage, by fair value, of the total portfolio assets (excluding cash equivalents) in such industries</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as of:</w:t>
      </w:r>
    </w:p>
    <w:p>
      <w:pPr>
        <w:spacing w:after="0" w:line="341" w:lineRule="exact"/>
        <w:rPr>
          <w:sz w:val="20"/>
          <w:szCs w:val="20"/>
          <w:color w:val="auto"/>
        </w:rPr>
      </w:pPr>
    </w:p>
    <w:tbl>
      <w:tblPr>
        <w:tblLayout w:type="fixed"/>
        <w:tblInd w:w="1820" w:type="dxa"/>
        <w:tblCellMar>
          <w:top w:w="0" w:type="dxa"/>
          <w:left w:w="0" w:type="dxa"/>
          <w:bottom w:w="0" w:type="dxa"/>
          <w:right w:w="0" w:type="dxa"/>
        </w:tblCellMar>
      </w:tblPr>
      <w:tr>
        <w:trPr>
          <w:trHeight w:val="167"/>
        </w:trPr>
        <w:tc>
          <w:tcPr>
            <w:tcW w:w="36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Industry Classification</w:t>
            </w:r>
          </w:p>
        </w:tc>
        <w:tc>
          <w:tcPr>
            <w:tcW w:w="92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340" w:type="dxa"/>
            <w:vAlign w:val="bottom"/>
            <w:tcBorders>
              <w:bottom w:val="single" w:sz="8" w:color="auto"/>
            </w:tcBorders>
          </w:tcPr>
          <w:p>
            <w:pPr>
              <w:jc w:val="right"/>
              <w:ind w:right="90"/>
              <w:spacing w:after="0"/>
              <w:rPr>
                <w:sz w:val="20"/>
                <w:szCs w:val="20"/>
                <w:color w:val="auto"/>
              </w:rPr>
            </w:pPr>
            <w:r>
              <w:rPr>
                <w:rFonts w:ascii="Arial" w:cs="Arial" w:eastAsia="Arial" w:hAnsi="Arial"/>
                <w:sz w:val="13"/>
                <w:szCs w:val="13"/>
                <w:b w:val="1"/>
                <w:bCs w:val="1"/>
                <w:color w:val="auto"/>
                <w:w w:val="99"/>
              </w:rPr>
              <w:t>December 31, 2014</w:t>
            </w:r>
          </w:p>
        </w:tc>
        <w:tc>
          <w:tcPr>
            <w:tcW w:w="28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3"/>
                <w:szCs w:val="13"/>
                <w:b w:val="1"/>
                <w:bCs w:val="1"/>
                <w:color w:val="auto"/>
                <w:w w:val="88"/>
              </w:rPr>
              <w:t>September 30, 2014</w:t>
            </w: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6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Hotels, Motels, Inns and Gaming</w:t>
            </w: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9%</w:t>
            </w:r>
          </w:p>
        </w:tc>
        <w:tc>
          <w:tcPr>
            <w:tcW w:w="134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8"/>
        </w:trPr>
        <w:tc>
          <w:tcPr>
            <w:tcW w:w="3620" w:type="dxa"/>
            <w:vAlign w:val="bottom"/>
          </w:tcPr>
          <w:p>
            <w:pPr>
              <w:spacing w:after="0" w:line="149" w:lineRule="exact"/>
              <w:rPr>
                <w:sz w:val="20"/>
                <w:szCs w:val="20"/>
                <w:color w:val="auto"/>
              </w:rPr>
            </w:pPr>
            <w:r>
              <w:rPr>
                <w:rFonts w:ascii="Arial" w:cs="Arial" w:eastAsia="Arial" w:hAnsi="Arial"/>
                <w:sz w:val="14"/>
                <w:szCs w:val="14"/>
                <w:color w:val="auto"/>
              </w:rPr>
              <w:t>Personal, Food and Miscellaneous Services</w:t>
            </w:r>
          </w:p>
        </w:tc>
        <w:tc>
          <w:tcPr>
            <w:tcW w:w="23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9</w:t>
            </w:r>
          </w:p>
        </w:tc>
        <w:tc>
          <w:tcPr>
            <w:tcW w:w="28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Consumer Products</w:t>
            </w:r>
          </w:p>
        </w:tc>
        <w:tc>
          <w:tcPr>
            <w:tcW w:w="23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2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tcPr>
          <w:p>
            <w:pPr>
              <w:spacing w:after="0" w:line="149" w:lineRule="exact"/>
              <w:rPr>
                <w:sz w:val="20"/>
                <w:szCs w:val="20"/>
                <w:color w:val="auto"/>
              </w:rPr>
            </w:pPr>
            <w:r>
              <w:rPr>
                <w:rFonts w:ascii="Arial" w:cs="Arial" w:eastAsia="Arial" w:hAnsi="Arial"/>
                <w:sz w:val="14"/>
                <w:szCs w:val="14"/>
                <w:color w:val="auto"/>
              </w:rPr>
              <w:t>Buildings Materials</w:t>
            </w:r>
          </w:p>
        </w:tc>
        <w:tc>
          <w:tcPr>
            <w:tcW w:w="23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7</w:t>
            </w:r>
          </w:p>
        </w:tc>
        <w:tc>
          <w:tcPr>
            <w:tcW w:w="28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Business Services</w:t>
            </w:r>
          </w:p>
        </w:tc>
        <w:tc>
          <w:tcPr>
            <w:tcW w:w="23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2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tcPr>
          <w:p>
            <w:pPr>
              <w:spacing w:after="0" w:line="149" w:lineRule="exact"/>
              <w:rPr>
                <w:sz w:val="20"/>
                <w:szCs w:val="20"/>
                <w:color w:val="auto"/>
              </w:rPr>
            </w:pPr>
            <w:r>
              <w:rPr>
                <w:rFonts w:ascii="Arial" w:cs="Arial" w:eastAsia="Arial" w:hAnsi="Arial"/>
                <w:sz w:val="14"/>
                <w:szCs w:val="14"/>
                <w:color w:val="auto"/>
              </w:rPr>
              <w:t>Energy/Utilities</w:t>
            </w:r>
          </w:p>
        </w:tc>
        <w:tc>
          <w:tcPr>
            <w:tcW w:w="23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7</w:t>
            </w:r>
          </w:p>
        </w:tc>
        <w:tc>
          <w:tcPr>
            <w:tcW w:w="28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Oil and Gas</w:t>
            </w:r>
          </w:p>
        </w:tc>
        <w:tc>
          <w:tcPr>
            <w:tcW w:w="23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2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20" w:type="dxa"/>
            <w:vAlign w:val="bottom"/>
          </w:tcPr>
          <w:p>
            <w:pPr>
              <w:spacing w:after="0" w:line="149" w:lineRule="exact"/>
              <w:rPr>
                <w:sz w:val="20"/>
                <w:szCs w:val="20"/>
                <w:color w:val="auto"/>
              </w:rPr>
            </w:pPr>
            <w:r>
              <w:rPr>
                <w:rFonts w:ascii="Arial" w:cs="Arial" w:eastAsia="Arial" w:hAnsi="Arial"/>
                <w:sz w:val="14"/>
                <w:szCs w:val="14"/>
                <w:color w:val="auto"/>
              </w:rPr>
              <w:t>Distribution</w:t>
            </w:r>
          </w:p>
        </w:tc>
        <w:tc>
          <w:tcPr>
            <w:tcW w:w="23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w:t>
            </w:r>
          </w:p>
        </w:tc>
        <w:tc>
          <w:tcPr>
            <w:tcW w:w="28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Electronics</w:t>
            </w:r>
          </w:p>
        </w:tc>
        <w:tc>
          <w:tcPr>
            <w:tcW w:w="23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2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20" w:type="dxa"/>
            <w:vAlign w:val="bottom"/>
          </w:tcPr>
          <w:p>
            <w:pPr>
              <w:spacing w:after="0" w:line="149" w:lineRule="exact"/>
              <w:rPr>
                <w:sz w:val="20"/>
                <w:szCs w:val="20"/>
                <w:color w:val="auto"/>
              </w:rPr>
            </w:pPr>
            <w:r>
              <w:rPr>
                <w:rFonts w:ascii="Arial" w:cs="Arial" w:eastAsia="Arial" w:hAnsi="Arial"/>
                <w:sz w:val="14"/>
                <w:szCs w:val="14"/>
                <w:color w:val="auto"/>
              </w:rPr>
              <w:t>Healthcare, Education and Childcare</w:t>
            </w:r>
          </w:p>
        </w:tc>
        <w:tc>
          <w:tcPr>
            <w:tcW w:w="23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w:t>
            </w:r>
          </w:p>
        </w:tc>
        <w:tc>
          <w:tcPr>
            <w:tcW w:w="28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Insurance</w:t>
            </w:r>
          </w:p>
        </w:tc>
        <w:tc>
          <w:tcPr>
            <w:tcW w:w="23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2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tcPr>
          <w:p>
            <w:pPr>
              <w:spacing w:after="0" w:line="149" w:lineRule="exact"/>
              <w:rPr>
                <w:sz w:val="20"/>
                <w:szCs w:val="20"/>
                <w:color w:val="auto"/>
              </w:rPr>
            </w:pPr>
            <w:r>
              <w:rPr>
                <w:rFonts w:ascii="Arial" w:cs="Arial" w:eastAsia="Arial" w:hAnsi="Arial"/>
                <w:sz w:val="14"/>
                <w:szCs w:val="14"/>
                <w:color w:val="auto"/>
              </w:rPr>
              <w:t>Auto Sector</w:t>
            </w:r>
          </w:p>
        </w:tc>
        <w:tc>
          <w:tcPr>
            <w:tcW w:w="23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w:t>
            </w:r>
          </w:p>
        </w:tc>
        <w:tc>
          <w:tcPr>
            <w:tcW w:w="28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Buildings and Real Estate</w:t>
            </w:r>
          </w:p>
        </w:tc>
        <w:tc>
          <w:tcPr>
            <w:tcW w:w="23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2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tcPr>
          <w:p>
            <w:pPr>
              <w:spacing w:after="0" w:line="149" w:lineRule="exact"/>
              <w:rPr>
                <w:sz w:val="20"/>
                <w:szCs w:val="20"/>
                <w:color w:val="auto"/>
              </w:rPr>
            </w:pPr>
            <w:r>
              <w:rPr>
                <w:rFonts w:ascii="Arial" w:cs="Arial" w:eastAsia="Arial" w:hAnsi="Arial"/>
                <w:sz w:val="14"/>
                <w:szCs w:val="14"/>
                <w:color w:val="auto"/>
              </w:rPr>
              <w:t>Media</w:t>
            </w:r>
          </w:p>
        </w:tc>
        <w:tc>
          <w:tcPr>
            <w:tcW w:w="23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w:t>
            </w:r>
          </w:p>
        </w:tc>
        <w:tc>
          <w:tcPr>
            <w:tcW w:w="28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Retail</w:t>
            </w:r>
          </w:p>
        </w:tc>
        <w:tc>
          <w:tcPr>
            <w:tcW w:w="23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2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20" w:type="dxa"/>
            <w:vAlign w:val="bottom"/>
          </w:tcPr>
          <w:p>
            <w:pPr>
              <w:spacing w:after="0" w:line="149" w:lineRule="exact"/>
              <w:rPr>
                <w:sz w:val="20"/>
                <w:szCs w:val="20"/>
                <w:color w:val="auto"/>
              </w:rPr>
            </w:pPr>
            <w:r>
              <w:rPr>
                <w:rFonts w:ascii="Arial" w:cs="Arial" w:eastAsia="Arial" w:hAnsi="Arial"/>
                <w:sz w:val="14"/>
                <w:szCs w:val="14"/>
                <w:color w:val="auto"/>
              </w:rPr>
              <w:t>Aerospace and Defense</w:t>
            </w:r>
          </w:p>
        </w:tc>
        <w:tc>
          <w:tcPr>
            <w:tcW w:w="23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w:t>
            </w:r>
          </w:p>
        </w:tc>
        <w:tc>
          <w:tcPr>
            <w:tcW w:w="28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Chemicals, Plastics and Rubber</w:t>
            </w:r>
          </w:p>
        </w:tc>
        <w:tc>
          <w:tcPr>
            <w:tcW w:w="23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2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20" w:type="dxa"/>
            <w:vAlign w:val="bottom"/>
          </w:tcPr>
          <w:p>
            <w:pPr>
              <w:spacing w:after="0" w:line="149" w:lineRule="exact"/>
              <w:rPr>
                <w:sz w:val="20"/>
                <w:szCs w:val="20"/>
                <w:color w:val="auto"/>
              </w:rPr>
            </w:pPr>
            <w:r>
              <w:rPr>
                <w:rFonts w:ascii="Arial" w:cs="Arial" w:eastAsia="Arial" w:hAnsi="Arial"/>
                <w:sz w:val="14"/>
                <w:szCs w:val="14"/>
                <w:color w:val="auto"/>
              </w:rPr>
              <w:t>Communication</w:t>
            </w:r>
          </w:p>
        </w:tc>
        <w:tc>
          <w:tcPr>
            <w:tcW w:w="23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w:t>
            </w:r>
          </w:p>
        </w:tc>
        <w:tc>
          <w:tcPr>
            <w:tcW w:w="28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5"/>
              </w:rPr>
              <w:t>Diversified Natural Resources, Precious Metals and Minerals</w:t>
            </w:r>
          </w:p>
        </w:tc>
        <w:tc>
          <w:tcPr>
            <w:tcW w:w="23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2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tcPr>
          <w:p>
            <w:pPr>
              <w:spacing w:after="0" w:line="149" w:lineRule="exact"/>
              <w:rPr>
                <w:sz w:val="20"/>
                <w:szCs w:val="20"/>
                <w:color w:val="auto"/>
              </w:rPr>
            </w:pPr>
            <w:r>
              <w:rPr>
                <w:rFonts w:ascii="Arial" w:cs="Arial" w:eastAsia="Arial" w:hAnsi="Arial"/>
                <w:sz w:val="14"/>
                <w:szCs w:val="14"/>
                <w:color w:val="auto"/>
              </w:rPr>
              <w:t>Environmental Services</w:t>
            </w:r>
          </w:p>
        </w:tc>
        <w:tc>
          <w:tcPr>
            <w:tcW w:w="23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w:t>
            </w:r>
          </w:p>
        </w:tc>
        <w:tc>
          <w:tcPr>
            <w:tcW w:w="28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Financial Services</w:t>
            </w:r>
          </w:p>
        </w:tc>
        <w:tc>
          <w:tcPr>
            <w:tcW w:w="23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2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tcPr>
          <w:p>
            <w:pPr>
              <w:spacing w:after="0" w:line="149" w:lineRule="exact"/>
              <w:rPr>
                <w:sz w:val="20"/>
                <w:szCs w:val="20"/>
                <w:color w:val="auto"/>
              </w:rPr>
            </w:pPr>
            <w:r>
              <w:rPr>
                <w:rFonts w:ascii="Arial" w:cs="Arial" w:eastAsia="Arial" w:hAnsi="Arial"/>
                <w:sz w:val="14"/>
                <w:szCs w:val="14"/>
                <w:color w:val="auto"/>
              </w:rPr>
              <w:t>Other Media</w:t>
            </w:r>
          </w:p>
        </w:tc>
        <w:tc>
          <w:tcPr>
            <w:tcW w:w="23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w:t>
            </w:r>
          </w:p>
        </w:tc>
        <w:tc>
          <w:tcPr>
            <w:tcW w:w="28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w:t>
            </w:r>
          </w:p>
        </w:tc>
        <w:tc>
          <w:tcPr>
            <w:tcW w:w="1040" w:type="dxa"/>
            <w:vAlign w:val="bottom"/>
            <w:gridSpan w:val="2"/>
            <w:shd w:val="clear" w:color="auto" w:fill="CCEEFF"/>
          </w:tcPr>
          <w:p>
            <w:pPr>
              <w:spacing w:after="0"/>
              <w:rPr>
                <w:sz w:val="12"/>
                <w:szCs w:val="12"/>
                <w:color w:val="auto"/>
              </w:rPr>
            </w:pPr>
          </w:p>
        </w:tc>
        <w:tc>
          <w:tcPr>
            <w:tcW w:w="13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280" w:type="dxa"/>
            <w:vAlign w:val="bottom"/>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620" w:type="dxa"/>
            <w:vAlign w:val="bottom"/>
          </w:tcPr>
          <w:p>
            <w:pPr>
              <w:spacing w:after="0" w:line="155" w:lineRule="exact"/>
              <w:rPr>
                <w:sz w:val="20"/>
                <w:szCs w:val="20"/>
                <w:color w:val="auto"/>
              </w:rPr>
            </w:pPr>
            <w:r>
              <w:rPr>
                <w:rFonts w:ascii="Arial" w:cs="Arial" w:eastAsia="Arial" w:hAnsi="Arial"/>
                <w:sz w:val="14"/>
                <w:szCs w:val="14"/>
                <w:color w:val="auto"/>
              </w:rPr>
              <w:t>Total</w:t>
            </w: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100%</w:t>
            </w:r>
          </w:p>
        </w:tc>
        <w:tc>
          <w:tcPr>
            <w:tcW w:w="134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920" w:type="dxa"/>
            <w:vAlign w:val="bottom"/>
            <w:vMerge w:val="restart"/>
          </w:tcPr>
          <w:p>
            <w:pPr>
              <w:jc w:val="right"/>
              <w:ind w:right="588"/>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3620" w:type="dxa"/>
            <w:vAlign w:val="bottom"/>
          </w:tcPr>
          <w:p>
            <w:pPr>
              <w:spacing w:after="0"/>
              <w:rPr>
                <w:sz w:val="24"/>
                <w:szCs w:val="24"/>
                <w:color w:val="auto"/>
              </w:rPr>
            </w:pPr>
          </w:p>
        </w:tc>
        <w:tc>
          <w:tcPr>
            <w:tcW w:w="9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459" w:right="3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3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300"/>
        <w:spacing w:after="0" w:line="226" w:lineRule="auto"/>
        <w:rPr>
          <w:sz w:val="20"/>
          <w:szCs w:val="20"/>
          <w:color w:val="auto"/>
        </w:rPr>
      </w:pPr>
      <w:r>
        <w:rPr>
          <w:rFonts w:ascii="Arial" w:cs="Arial" w:eastAsia="Arial" w:hAnsi="Arial"/>
          <w:sz w:val="14"/>
          <w:szCs w:val="14"/>
          <w:b w:val="1"/>
          <w:bCs w:val="1"/>
          <w:color w:val="auto"/>
        </w:rPr>
        <w:t>NOTES TO CONSOLIDATED FINANCIAL STATEMENTS – (Continued)</w:t>
      </w:r>
    </w:p>
    <w:p>
      <w:pPr>
        <w:jc w:val="center"/>
        <w:ind w:right="-19"/>
        <w:spacing w:after="0" w:line="221" w:lineRule="auto"/>
        <w:rPr>
          <w:sz w:val="20"/>
          <w:szCs w:val="20"/>
          <w:color w:val="auto"/>
        </w:rPr>
      </w:pPr>
      <w:r>
        <w:rPr>
          <w:rFonts w:ascii="Arial" w:cs="Arial" w:eastAsia="Arial" w:hAnsi="Arial"/>
          <w:sz w:val="14"/>
          <w:szCs w:val="14"/>
          <w:b w:val="1"/>
          <w:bCs w:val="1"/>
          <w:color w:val="auto"/>
        </w:rPr>
        <w:t>DECEMBER 31, 2014</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 FAIR VALUE OF FINANCIAL INSTRUMENTS</w:t>
      </w:r>
    </w:p>
    <w:p>
      <w:pPr>
        <w:spacing w:after="0" w:line="100" w:lineRule="exact"/>
        <w:rPr>
          <w:sz w:val="20"/>
          <w:szCs w:val="20"/>
          <w:color w:val="auto"/>
        </w:rPr>
      </w:pPr>
    </w:p>
    <w:p>
      <w:pPr>
        <w:ind w:firstLine="562"/>
        <w:spacing w:after="0" w:line="251" w:lineRule="auto"/>
        <w:rPr>
          <w:sz w:val="20"/>
          <w:szCs w:val="20"/>
          <w:color w:val="auto"/>
        </w:rPr>
      </w:pPr>
      <w:r>
        <w:rPr>
          <w:rFonts w:ascii="Arial" w:cs="Arial" w:eastAsia="Arial" w:hAnsi="Arial"/>
          <w:sz w:val="13"/>
          <w:szCs w:val="13"/>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69" w:lineRule="exact"/>
        <w:rPr>
          <w:sz w:val="20"/>
          <w:szCs w:val="20"/>
          <w:color w:val="auto"/>
        </w:rPr>
      </w:pPr>
    </w:p>
    <w:p>
      <w:pPr>
        <w:ind w:left="560"/>
        <w:spacing w:after="0"/>
        <w:rPr>
          <w:sz w:val="20"/>
          <w:szCs w:val="20"/>
          <w:color w:val="auto"/>
        </w:rPr>
      </w:pPr>
      <w:r>
        <w:rPr>
          <w:rFonts w:ascii="Arial" w:cs="Arial" w:eastAsia="Arial" w:hAnsi="Arial"/>
          <w:sz w:val="14"/>
          <w:szCs w:val="14"/>
          <w:color w:val="auto"/>
        </w:rPr>
        <w:t>ASC 820 classifies the inputs used to measure these fair values into the following hierarchies:</w:t>
      </w:r>
    </w:p>
    <w:p>
      <w:pPr>
        <w:spacing w:after="0" w:line="109" w:lineRule="exact"/>
        <w:rPr>
          <w:sz w:val="20"/>
          <w:szCs w:val="20"/>
          <w:color w:val="auto"/>
        </w:rPr>
      </w:pPr>
    </w:p>
    <w:p>
      <w:pPr>
        <w:ind w:left="580"/>
        <w:spacing w:after="0"/>
        <w:tabs>
          <w:tab w:leader="none" w:pos="1560" w:val="left"/>
        </w:tabs>
        <w:rPr>
          <w:sz w:val="20"/>
          <w:szCs w:val="20"/>
          <w:color w:val="auto"/>
        </w:rPr>
      </w:pPr>
      <w:r>
        <w:rPr>
          <w:rFonts w:ascii="Arial" w:cs="Arial" w:eastAsia="Arial" w:hAnsi="Arial"/>
          <w:sz w:val="14"/>
          <w:szCs w:val="14"/>
          <w:color w:val="auto"/>
        </w:rPr>
        <w:t>Level 1:</w:t>
      </w:r>
      <w:r>
        <w:rPr>
          <w:sz w:val="20"/>
          <w:szCs w:val="20"/>
          <w:color w:val="auto"/>
        </w:rPr>
        <w:tab/>
      </w:r>
      <w:r>
        <w:rPr>
          <w:rFonts w:ascii="Arial" w:cs="Arial" w:eastAsia="Arial" w:hAnsi="Arial"/>
          <w:sz w:val="12"/>
          <w:szCs w:val="12"/>
          <w:color w:val="auto"/>
        </w:rPr>
        <w:t>Inputs that are quoted prices (unadjusted) in active markets for identical assets or liabilities, accessible by us at the measurement date.</w:t>
      </w:r>
    </w:p>
    <w:p>
      <w:pPr>
        <w:spacing w:after="0" w:line="96" w:lineRule="exact"/>
        <w:rPr>
          <w:sz w:val="20"/>
          <w:szCs w:val="20"/>
          <w:color w:val="auto"/>
        </w:rPr>
      </w:pPr>
    </w:p>
    <w:p>
      <w:pPr>
        <w:ind w:left="1580" w:right="740" w:hanging="1002"/>
        <w:spacing w:after="0" w:line="238" w:lineRule="auto"/>
        <w:tabs>
          <w:tab w:leader="none" w:pos="1560" w:val="left"/>
        </w:tabs>
        <w:rPr>
          <w:sz w:val="20"/>
          <w:szCs w:val="20"/>
          <w:color w:val="auto"/>
        </w:rPr>
      </w:pPr>
      <w:r>
        <w:rPr>
          <w:rFonts w:ascii="Arial" w:cs="Arial" w:eastAsia="Arial" w:hAnsi="Arial"/>
          <w:sz w:val="14"/>
          <w:szCs w:val="14"/>
          <w:color w:val="auto"/>
        </w:rPr>
        <w:t>Level 2:</w:t>
      </w:r>
      <w:r>
        <w:rPr>
          <w:sz w:val="20"/>
          <w:szCs w:val="20"/>
          <w:color w:val="auto"/>
        </w:rPr>
        <w:tab/>
      </w:r>
      <w:r>
        <w:rPr>
          <w:rFonts w:ascii="Arial" w:cs="Arial" w:eastAsia="Arial" w:hAnsi="Arial"/>
          <w:sz w:val="14"/>
          <w:szCs w:val="14"/>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75" w:lineRule="exact"/>
        <w:rPr>
          <w:sz w:val="20"/>
          <w:szCs w:val="20"/>
          <w:color w:val="auto"/>
        </w:rPr>
      </w:pPr>
    </w:p>
    <w:p>
      <w:pPr>
        <w:ind w:left="1580" w:right="740" w:hanging="1002"/>
        <w:spacing w:after="0" w:line="253" w:lineRule="auto"/>
        <w:tabs>
          <w:tab w:leader="none" w:pos="1560" w:val="left"/>
        </w:tabs>
        <w:rPr>
          <w:sz w:val="20"/>
          <w:szCs w:val="20"/>
          <w:color w:val="auto"/>
        </w:rPr>
      </w:pPr>
      <w:r>
        <w:rPr>
          <w:rFonts w:ascii="Arial" w:cs="Arial" w:eastAsia="Arial" w:hAnsi="Arial"/>
          <w:sz w:val="14"/>
          <w:szCs w:val="14"/>
          <w:color w:val="auto"/>
        </w:rPr>
        <w:t>Level 3:</w:t>
      </w:r>
      <w:r>
        <w:rPr>
          <w:sz w:val="20"/>
          <w:szCs w:val="20"/>
          <w:color w:val="auto"/>
        </w:rPr>
        <w:tab/>
      </w:r>
      <w:r>
        <w:rPr>
          <w:rFonts w:ascii="Arial" w:cs="Arial" w:eastAsia="Arial" w:hAnsi="Arial"/>
          <w:sz w:val="14"/>
          <w:szCs w:val="14"/>
          <w:color w:val="auto"/>
        </w:rPr>
        <w:t>Inputs that are unobservable for an asset or liability because they are based on our own assumptions about how market participants would price the asset or liability.</w:t>
      </w:r>
    </w:p>
    <w:p>
      <w:pPr>
        <w:spacing w:after="0" w:line="66" w:lineRule="exact"/>
        <w:rPr>
          <w:sz w:val="20"/>
          <w:szCs w:val="20"/>
          <w:color w:val="auto"/>
        </w:rPr>
      </w:pPr>
    </w:p>
    <w:p>
      <w:pPr>
        <w:ind w:right="40" w:firstLine="562"/>
        <w:spacing w:after="0" w:line="233" w:lineRule="auto"/>
        <w:rPr>
          <w:sz w:val="20"/>
          <w:szCs w:val="20"/>
          <w:color w:val="auto"/>
        </w:rPr>
      </w:pPr>
      <w:r>
        <w:rPr>
          <w:rFonts w:ascii="Arial" w:cs="Arial" w:eastAsia="Arial" w:hAnsi="Arial"/>
          <w:sz w:val="14"/>
          <w:szCs w:val="14"/>
          <w:color w:val="auto"/>
        </w:rPr>
        <w:t>A financial instrument’s categorization within the valuation hierarchy is based upon the lowest level of input that is significant to the fair value measurement. Generally, most of our investments, our 2019 Notes and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 A review of fair value hierarchy classifications is conducted on a quarterly basis.</w:t>
      </w:r>
    </w:p>
    <w:p>
      <w:pPr>
        <w:spacing w:after="0" w:line="77" w:lineRule="exact"/>
        <w:rPr>
          <w:sz w:val="20"/>
          <w:szCs w:val="20"/>
          <w:color w:val="auto"/>
        </w:rPr>
      </w:pPr>
    </w:p>
    <w:p>
      <w:pPr>
        <w:ind w:right="20" w:firstLine="562"/>
        <w:spacing w:after="0" w:line="231" w:lineRule="auto"/>
        <w:rPr>
          <w:sz w:val="20"/>
          <w:szCs w:val="20"/>
          <w:color w:val="auto"/>
        </w:rPr>
      </w:pPr>
      <w:r>
        <w:rPr>
          <w:rFonts w:ascii="Arial" w:cs="Arial" w:eastAsia="Arial" w:hAnsi="Arial"/>
          <w:sz w:val="14"/>
          <w:szCs w:val="14"/>
          <w:color w:val="auto"/>
        </w:rPr>
        <w:t>The inputs into the determination of fair value may require significant management judgment or estimation. Even if observable market data are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was available. Corroborating evidence that would result in classifying these non-binding broker/dealer bids as a Level 2 asset includes observable market-based transactions for the same or similar assets or other relevant observable market-based inputs that may be used in pricing an asset.</w:t>
      </w:r>
    </w:p>
    <w:p>
      <w:pPr>
        <w:spacing w:after="0" w:line="76" w:lineRule="exact"/>
        <w:rPr>
          <w:sz w:val="20"/>
          <w:szCs w:val="20"/>
          <w:color w:val="auto"/>
        </w:rPr>
      </w:pPr>
    </w:p>
    <w:p>
      <w:pPr>
        <w:ind w:right="60" w:firstLine="562"/>
        <w:spacing w:after="0" w:line="229" w:lineRule="auto"/>
        <w:rPr>
          <w:sz w:val="20"/>
          <w:szCs w:val="20"/>
          <w:color w:val="auto"/>
        </w:rPr>
      </w:pPr>
      <w:r>
        <w:rPr>
          <w:rFonts w:ascii="Arial" w:cs="Arial" w:eastAsia="Arial" w:hAnsi="Arial"/>
          <w:sz w:val="14"/>
          <w:szCs w:val="14"/>
          <w:color w:val="auto"/>
        </w:rPr>
        <w:t>Our investments are generally structured as debt and equity investments in the form of senior secured loans, mezzanine debt and equity co-investments. The transaction price, excluding transaction costs, is typically the best estimate of fair value at inception.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w:t>
      </w:r>
    </w:p>
    <w:p>
      <w:pPr>
        <w:spacing w:after="0" w:line="77" w:lineRule="exact"/>
        <w:rPr>
          <w:sz w:val="20"/>
          <w:szCs w:val="20"/>
          <w:color w:val="auto"/>
        </w:rPr>
      </w:pPr>
    </w:p>
    <w:p>
      <w:pPr>
        <w:ind w:right="160" w:firstLine="562"/>
        <w:spacing w:after="0" w:line="233" w:lineRule="auto"/>
        <w:rPr>
          <w:sz w:val="20"/>
          <w:szCs w:val="20"/>
          <w:color w:val="auto"/>
        </w:rPr>
      </w:pPr>
      <w:r>
        <w:rPr>
          <w:rFonts w:ascii="Arial" w:cs="Arial" w:eastAsia="Arial" w:hAnsi="Arial"/>
          <w:sz w:val="14"/>
          <w:szCs w:val="14"/>
          <w:color w:val="auto"/>
        </w:rPr>
        <w:t>A review of fair value hierarchy classifications is conducted on a quarterly basis. Changes in our ability to observe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 During the three months ended December 31, 2014 and 2013, our ability to observe valuation inputs has resulted in one reclassification from Level 2 to 3 and no reclassification of assets between levels, respectively.</w:t>
      </w:r>
    </w:p>
    <w:p>
      <w:pPr>
        <w:spacing w:after="0" w:line="77" w:lineRule="exact"/>
        <w:rPr>
          <w:sz w:val="20"/>
          <w:szCs w:val="20"/>
          <w:color w:val="auto"/>
        </w:rPr>
      </w:pPr>
    </w:p>
    <w:p>
      <w:pPr>
        <w:ind w:right="60" w:firstLine="562"/>
        <w:spacing w:after="0" w:line="238" w:lineRule="auto"/>
        <w:rPr>
          <w:sz w:val="20"/>
          <w:szCs w:val="20"/>
          <w:color w:val="auto"/>
        </w:rPr>
      </w:pPr>
      <w:r>
        <w:rPr>
          <w:rFonts w:ascii="Arial" w:cs="Arial" w:eastAsia="Arial" w:hAnsi="Arial"/>
          <w:sz w:val="14"/>
          <w:szCs w:val="14"/>
          <w:color w:val="auto"/>
        </w:rPr>
        <w:t>In addition to using the above inputs in cash equivalents, investments, our Notes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75" w:lineRule="exact"/>
        <w:rPr>
          <w:sz w:val="20"/>
          <w:szCs w:val="20"/>
          <w:color w:val="auto"/>
        </w:rPr>
      </w:pPr>
    </w:p>
    <w:p>
      <w:pPr>
        <w:jc w:val="both"/>
        <w:ind w:right="80" w:firstLine="562"/>
        <w:spacing w:after="0" w:line="233" w:lineRule="auto"/>
        <w:rPr>
          <w:sz w:val="20"/>
          <w:szCs w:val="20"/>
          <w:color w:val="auto"/>
        </w:rPr>
      </w:pPr>
      <w:r>
        <w:rPr>
          <w:rFonts w:ascii="Arial" w:cs="Arial" w:eastAsia="Arial" w:hAnsi="Arial"/>
          <w:sz w:val="14"/>
          <w:szCs w:val="14"/>
          <w:color w:val="auto"/>
        </w:rPr>
        <w:t>As outlined in the table below, some of our Level 3 investments using a market approach valuation technique are valued using the average of the bids from brokers or dealers. The bids include a disclaimer, have no corroborating evidence and may be the result of consensus pricing. The Investment Adviser assesses the source and reliability of bids from brokers or dealers. If the board of directors has a bona fide reason to believe any such bids do not reflect the fair value on an investment, it may independently value such investment by using the valuation procedure that it uses with respect to assets for which market quotations are not readily available.</w:t>
      </w:r>
    </w:p>
    <w:p>
      <w:pPr>
        <w:spacing w:after="0" w:line="77" w:lineRule="exact"/>
        <w:rPr>
          <w:sz w:val="20"/>
          <w:szCs w:val="20"/>
          <w:color w:val="auto"/>
        </w:rPr>
      </w:pPr>
    </w:p>
    <w:p>
      <w:pPr>
        <w:ind w:right="80" w:firstLine="562"/>
        <w:spacing w:after="0" w:line="245" w:lineRule="auto"/>
        <w:rPr>
          <w:sz w:val="20"/>
          <w:szCs w:val="20"/>
          <w:color w:val="auto"/>
        </w:rPr>
      </w:pPr>
      <w:r>
        <w:rPr>
          <w:rFonts w:ascii="Arial" w:cs="Arial" w:eastAsia="Arial" w:hAnsi="Arial"/>
          <w:sz w:val="13"/>
          <w:szCs w:val="13"/>
          <w:color w:val="auto"/>
        </w:rPr>
        <w:t>The remainder of our portfolio, including our long-term Credit Facility, is valued using a market comparable or an enterprise market value technique.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excluding transaction costs, is used to corroborate the valuation. When using earnings multiples to value a portfolio company, the multiple used requires the use of judgment and estimates in determining how a market participant would price such an asset.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1240"/>
          </w:cols>
          <w:pgMar w:left="320" w:top="459" w:right="3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3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300"/>
        <w:spacing w:after="0" w:line="226" w:lineRule="auto"/>
        <w:rPr>
          <w:sz w:val="20"/>
          <w:szCs w:val="20"/>
          <w:color w:val="auto"/>
        </w:rPr>
      </w:pPr>
      <w:r>
        <w:rPr>
          <w:rFonts w:ascii="Arial" w:cs="Arial" w:eastAsia="Arial" w:hAnsi="Arial"/>
          <w:sz w:val="14"/>
          <w:szCs w:val="14"/>
          <w:b w:val="1"/>
          <w:bCs w:val="1"/>
          <w:color w:val="auto"/>
        </w:rPr>
        <w:t>NOTES TO CONSOLIDATED FINANCIAL STATEMENTS – (Continued)</w:t>
      </w:r>
    </w:p>
    <w:p>
      <w:pPr>
        <w:jc w:val="center"/>
        <w:ind w:right="-219"/>
        <w:spacing w:after="0" w:line="221" w:lineRule="auto"/>
        <w:rPr>
          <w:sz w:val="20"/>
          <w:szCs w:val="20"/>
          <w:color w:val="auto"/>
        </w:rPr>
      </w:pPr>
      <w:r>
        <w:rPr>
          <w:rFonts w:ascii="Arial" w:cs="Arial" w:eastAsia="Arial" w:hAnsi="Arial"/>
          <w:sz w:val="14"/>
          <w:szCs w:val="14"/>
          <w:b w:val="1"/>
          <w:bCs w:val="1"/>
          <w:color w:val="auto"/>
        </w:rPr>
        <w:t>DECEMBER 31, 2014</w:t>
      </w:r>
    </w:p>
    <w:p>
      <w:pPr>
        <w:spacing w:after="0" w:line="1" w:lineRule="exact"/>
        <w:rPr>
          <w:sz w:val="20"/>
          <w:szCs w:val="20"/>
          <w:color w:val="auto"/>
        </w:rPr>
      </w:pPr>
    </w:p>
    <w:p>
      <w:pPr>
        <w:jc w:val="center"/>
        <w:ind w:right="-219"/>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4"/>
          <w:szCs w:val="14"/>
          <w:color w:val="auto"/>
        </w:rPr>
        <w:t>Our Level 3 valuations techniques, unobservable inputs and ranges were categorized as follows for ASC 820 purposes: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9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Asset Category</w:t>
            </w:r>
          </w:p>
        </w:tc>
        <w:tc>
          <w:tcPr>
            <w:tcW w:w="140" w:type="dxa"/>
            <w:vAlign w:val="bottom"/>
          </w:tcPr>
          <w:p>
            <w:pPr>
              <w:spacing w:after="0"/>
              <w:rPr>
                <w:sz w:val="13"/>
                <w:szCs w:val="13"/>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w w:val="95"/>
              </w:rPr>
              <w:t>Fair Value at</w:t>
            </w: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jc w:val="center"/>
              <w:spacing w:after="0"/>
              <w:rPr>
                <w:sz w:val="20"/>
                <w:szCs w:val="20"/>
                <w:color w:val="auto"/>
              </w:rPr>
            </w:pPr>
            <w:r>
              <w:rPr>
                <w:rFonts w:ascii="Arial" w:cs="Arial" w:eastAsia="Arial" w:hAnsi="Arial"/>
                <w:sz w:val="13"/>
                <w:szCs w:val="13"/>
                <w:b w:val="1"/>
                <w:bCs w:val="1"/>
                <w:color w:val="auto"/>
                <w:w w:val="87"/>
              </w:rPr>
              <w:t>Range of Input</w:t>
            </w:r>
          </w:p>
        </w:tc>
        <w:tc>
          <w:tcPr>
            <w:tcW w:w="0" w:type="dxa"/>
            <w:vAlign w:val="bottom"/>
          </w:tcPr>
          <w:p>
            <w:pPr>
              <w:spacing w:after="0"/>
              <w:rPr>
                <w:sz w:val="1"/>
                <w:szCs w:val="1"/>
                <w:color w:val="auto"/>
              </w:rPr>
            </w:pPr>
          </w:p>
        </w:tc>
      </w:tr>
      <w:tr>
        <w:trPr>
          <w:trHeight w:val="153"/>
        </w:trPr>
        <w:tc>
          <w:tcPr>
            <w:tcW w:w="4940" w:type="dxa"/>
            <w:vAlign w:val="bottom"/>
            <w:gridSpan w:val="2"/>
            <w:vMerge w:val="continue"/>
          </w:tcPr>
          <w:p>
            <w:pPr>
              <w:spacing w:after="0"/>
              <w:rPr>
                <w:sz w:val="13"/>
                <w:szCs w:val="13"/>
                <w:color w:val="auto"/>
              </w:rPr>
            </w:pPr>
          </w:p>
        </w:tc>
        <w:tc>
          <w:tcPr>
            <w:tcW w:w="1260" w:type="dxa"/>
            <w:vAlign w:val="bottom"/>
            <w:gridSpan w:val="3"/>
          </w:tcPr>
          <w:p>
            <w:pPr>
              <w:ind w:left="40"/>
              <w:spacing w:after="0"/>
              <w:rPr>
                <w:sz w:val="20"/>
                <w:szCs w:val="20"/>
                <w:color w:val="auto"/>
              </w:rPr>
            </w:pPr>
            <w:r>
              <w:rPr>
                <w:rFonts w:ascii="Arial" w:cs="Arial" w:eastAsia="Arial" w:hAnsi="Arial"/>
                <w:sz w:val="13"/>
                <w:szCs w:val="13"/>
                <w:b w:val="1"/>
                <w:bCs w:val="1"/>
                <w:color w:val="auto"/>
              </w:rPr>
              <w:t>December 31, 2014</w:t>
            </w:r>
          </w:p>
        </w:tc>
        <w:tc>
          <w:tcPr>
            <w:tcW w:w="15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6"/>
              </w:rPr>
              <w:t>Valuation Technique</w:t>
            </w:r>
          </w:p>
        </w:tc>
        <w:tc>
          <w:tcPr>
            <w:tcW w:w="16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7"/>
              </w:rPr>
              <w:t>Unobservable Input</w:t>
            </w:r>
          </w:p>
        </w:tc>
        <w:tc>
          <w:tcPr>
            <w:tcW w:w="1440" w:type="dxa"/>
            <w:vAlign w:val="bottom"/>
          </w:tcPr>
          <w:p>
            <w:pPr>
              <w:jc w:val="center"/>
              <w:spacing w:after="0"/>
              <w:rPr>
                <w:sz w:val="20"/>
                <w:szCs w:val="20"/>
                <w:color w:val="auto"/>
              </w:rPr>
            </w:pPr>
            <w:r>
              <w:rPr>
                <w:rFonts w:ascii="Arial" w:cs="Arial" w:eastAsia="Arial" w:hAnsi="Arial"/>
                <w:sz w:val="13"/>
                <w:szCs w:val="13"/>
                <w:b w:val="1"/>
                <w:bCs w:val="1"/>
                <w:color w:val="auto"/>
                <w:w w:val="85"/>
              </w:rPr>
              <w:t>(Weighted Average)</w:t>
            </w:r>
          </w:p>
        </w:tc>
        <w:tc>
          <w:tcPr>
            <w:tcW w:w="0" w:type="dxa"/>
            <w:vAlign w:val="bottom"/>
          </w:tcPr>
          <w:p>
            <w:pPr>
              <w:spacing w:after="0"/>
              <w:rPr>
                <w:sz w:val="1"/>
                <w:szCs w:val="1"/>
                <w:color w:val="auto"/>
              </w:rPr>
            </w:pPr>
          </w:p>
        </w:tc>
      </w:tr>
      <w:tr>
        <w:trPr>
          <w:trHeight w:val="142"/>
        </w:trPr>
        <w:tc>
          <w:tcPr>
            <w:tcW w:w="48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Debt investments</w:t>
            </w: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294,968,658</w:t>
            </w:r>
          </w:p>
        </w:tc>
        <w:tc>
          <w:tcPr>
            <w:tcW w:w="180" w:type="dxa"/>
            <w:vAlign w:val="bottom"/>
            <w:tcBorders>
              <w:top w:val="single" w:sz="8" w:color="CCEEFF"/>
            </w:tcBorders>
            <w:shd w:val="clear" w:color="auto" w:fill="CCEEFF"/>
          </w:tcPr>
          <w:p>
            <w:pPr>
              <w:spacing w:after="0"/>
              <w:rPr>
                <w:sz w:val="12"/>
                <w:szCs w:val="12"/>
                <w:color w:val="auto"/>
              </w:rPr>
            </w:pPr>
          </w:p>
        </w:tc>
        <w:tc>
          <w:tcPr>
            <w:tcW w:w="144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4"/>
              </w:rPr>
              <w:t>Market Comparable</w:t>
            </w:r>
          </w:p>
        </w:tc>
        <w:tc>
          <w:tcPr>
            <w:tcW w:w="100" w:type="dxa"/>
            <w:vAlign w:val="bottom"/>
            <w:tcBorders>
              <w:top w:val="single" w:sz="8" w:color="CCEEFF"/>
            </w:tcBorders>
            <w:shd w:val="clear" w:color="auto" w:fill="CCEEFF"/>
          </w:tcPr>
          <w:p>
            <w:pPr>
              <w:spacing w:after="0"/>
              <w:rPr>
                <w:sz w:val="12"/>
                <w:szCs w:val="12"/>
                <w:color w:val="auto"/>
              </w:rPr>
            </w:pPr>
          </w:p>
        </w:tc>
        <w:tc>
          <w:tcPr>
            <w:tcW w:w="150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4"/>
              </w:rPr>
              <w:t>Broker/Dealer bid quotes</w:t>
            </w:r>
          </w:p>
        </w:tc>
        <w:tc>
          <w:tcPr>
            <w:tcW w:w="100" w:type="dxa"/>
            <w:vAlign w:val="bottom"/>
            <w:tcBorders>
              <w:top w:val="single" w:sz="8" w:color="CCEEFF"/>
            </w:tcBorders>
            <w:shd w:val="clear" w:color="auto" w:fill="CCEEFF"/>
          </w:tcPr>
          <w:p>
            <w:pPr>
              <w:spacing w:after="0"/>
              <w:rPr>
                <w:sz w:val="12"/>
                <w:szCs w:val="12"/>
                <w:color w:val="auto"/>
              </w:rPr>
            </w:pPr>
          </w:p>
        </w:tc>
        <w:tc>
          <w:tcPr>
            <w:tcW w:w="144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8"/>
        </w:trPr>
        <w:tc>
          <w:tcPr>
            <w:tcW w:w="4940" w:type="dxa"/>
            <w:vAlign w:val="bottom"/>
            <w:gridSpan w:val="2"/>
          </w:tcPr>
          <w:p>
            <w:pPr>
              <w:spacing w:after="0" w:line="149" w:lineRule="exact"/>
              <w:rPr>
                <w:sz w:val="20"/>
                <w:szCs w:val="20"/>
                <w:color w:val="auto"/>
              </w:rPr>
            </w:pPr>
            <w:r>
              <w:rPr>
                <w:rFonts w:ascii="Arial" w:cs="Arial" w:eastAsia="Arial" w:hAnsi="Arial"/>
                <w:sz w:val="14"/>
                <w:szCs w:val="14"/>
                <w:color w:val="auto"/>
              </w:rPr>
              <w:t>Debt investments</w:t>
            </w:r>
          </w:p>
        </w:tc>
        <w:tc>
          <w:tcPr>
            <w:tcW w:w="140" w:type="dxa"/>
            <w:vAlign w:val="bottom"/>
          </w:tcPr>
          <w:p>
            <w:pPr>
              <w:spacing w:after="0"/>
              <w:rPr>
                <w:sz w:val="12"/>
                <w:szCs w:val="12"/>
                <w:color w:val="auto"/>
              </w:rPr>
            </w:pPr>
          </w:p>
        </w:tc>
        <w:tc>
          <w:tcPr>
            <w:tcW w:w="11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923,554,578</w:t>
            </w:r>
          </w:p>
        </w:tc>
        <w:tc>
          <w:tcPr>
            <w:tcW w:w="15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4"/>
              </w:rPr>
              <w:t>Market Comparable</w:t>
            </w:r>
          </w:p>
        </w:tc>
        <w:tc>
          <w:tcPr>
            <w:tcW w:w="160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7"/>
              </w:rPr>
              <w:t>Market Yield</w:t>
            </w: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94"/>
              </w:rPr>
              <w:t>10.0% – 35.0% (14.5%)</w:t>
            </w:r>
          </w:p>
        </w:tc>
        <w:tc>
          <w:tcPr>
            <w:tcW w:w="0" w:type="dxa"/>
            <w:vAlign w:val="bottom"/>
          </w:tcPr>
          <w:p>
            <w:pPr>
              <w:spacing w:after="0"/>
              <w:rPr>
                <w:sz w:val="1"/>
                <w:szCs w:val="1"/>
                <w:color w:val="auto"/>
              </w:rPr>
            </w:pPr>
          </w:p>
        </w:tc>
      </w:tr>
      <w:tr>
        <w:trPr>
          <w:trHeight w:val="149"/>
        </w:trPr>
        <w:tc>
          <w:tcPr>
            <w:tcW w:w="4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Equity investments</w:t>
            </w: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110,732,775</w:t>
            </w:r>
          </w:p>
        </w:tc>
        <w:tc>
          <w:tcPr>
            <w:tcW w:w="15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3"/>
              </w:rPr>
              <w:t>Enterprise Market Value</w:t>
            </w:r>
          </w:p>
        </w:tc>
        <w:tc>
          <w:tcPr>
            <w:tcW w:w="160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rPr>
              <w:t>EBITDA multiple</w:t>
            </w:r>
          </w:p>
        </w:tc>
        <w:tc>
          <w:tcPr>
            <w:tcW w:w="14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3.4x – 11.0x (8.3x)</w:t>
            </w:r>
          </w:p>
        </w:tc>
        <w:tc>
          <w:tcPr>
            <w:tcW w:w="0" w:type="dxa"/>
            <w:vAlign w:val="bottom"/>
          </w:tcPr>
          <w:p>
            <w:pPr>
              <w:spacing w:after="0"/>
              <w:rPr>
                <w:sz w:val="1"/>
                <w:szCs w:val="1"/>
                <w:color w:val="auto"/>
              </w:rPr>
            </w:pPr>
          </w:p>
        </w:tc>
      </w:tr>
      <w:tr>
        <w:trPr>
          <w:trHeight w:val="155"/>
        </w:trPr>
        <w:tc>
          <w:tcPr>
            <w:tcW w:w="4940" w:type="dxa"/>
            <w:vAlign w:val="bottom"/>
            <w:gridSpan w:val="2"/>
          </w:tcPr>
          <w:p>
            <w:pPr>
              <w:ind w:left="360"/>
              <w:spacing w:after="0" w:line="155" w:lineRule="exact"/>
              <w:rPr>
                <w:sz w:val="20"/>
                <w:szCs w:val="20"/>
                <w:color w:val="auto"/>
              </w:rPr>
            </w:pPr>
            <w:r>
              <w:rPr>
                <w:rFonts w:ascii="Arial" w:cs="Arial" w:eastAsia="Arial" w:hAnsi="Arial"/>
                <w:sz w:val="14"/>
                <w:szCs w:val="14"/>
                <w:color w:val="auto"/>
              </w:rPr>
              <w:t>Total Level 3 investments</w:t>
            </w: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1,329,256,011</w:t>
            </w:r>
          </w:p>
        </w:tc>
        <w:tc>
          <w:tcPr>
            <w:tcW w:w="1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94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color w:val="auto"/>
              </w:rPr>
              <w:t>Long-Term Credit Facility</w:t>
            </w:r>
          </w:p>
        </w:tc>
        <w:tc>
          <w:tcPr>
            <w:tcW w:w="14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rPr>
              <w:t>122,316,693</w:t>
            </w:r>
          </w:p>
        </w:tc>
        <w:tc>
          <w:tcPr>
            <w:tcW w:w="1540" w:type="dxa"/>
            <w:vAlign w:val="bottom"/>
            <w:gridSpan w:val="2"/>
            <w:shd w:val="clear" w:color="auto" w:fill="CCEEFF"/>
          </w:tcPr>
          <w:p>
            <w:pPr>
              <w:jc w:val="center"/>
              <w:ind w:right="100"/>
              <w:spacing w:after="0" w:line="143" w:lineRule="exact"/>
              <w:rPr>
                <w:sz w:val="20"/>
                <w:szCs w:val="20"/>
                <w:color w:val="auto"/>
              </w:rPr>
            </w:pPr>
            <w:r>
              <w:rPr>
                <w:rFonts w:ascii="Arial" w:cs="Arial" w:eastAsia="Arial" w:hAnsi="Arial"/>
                <w:sz w:val="14"/>
                <w:szCs w:val="14"/>
                <w:color w:val="auto"/>
                <w:w w:val="94"/>
              </w:rPr>
              <w:t>Market Comparable</w:t>
            </w:r>
          </w:p>
        </w:tc>
        <w:tc>
          <w:tcPr>
            <w:tcW w:w="1600" w:type="dxa"/>
            <w:vAlign w:val="bottom"/>
            <w:gridSpan w:val="2"/>
            <w:shd w:val="clear" w:color="auto" w:fill="CCEEFF"/>
          </w:tcPr>
          <w:p>
            <w:pPr>
              <w:jc w:val="center"/>
              <w:ind w:right="80"/>
              <w:spacing w:after="0" w:line="143" w:lineRule="exact"/>
              <w:rPr>
                <w:sz w:val="20"/>
                <w:szCs w:val="20"/>
                <w:color w:val="auto"/>
              </w:rPr>
            </w:pPr>
            <w:r>
              <w:rPr>
                <w:rFonts w:ascii="Arial" w:cs="Arial" w:eastAsia="Arial" w:hAnsi="Arial"/>
                <w:sz w:val="14"/>
                <w:szCs w:val="14"/>
                <w:color w:val="auto"/>
                <w:w w:val="97"/>
              </w:rPr>
              <w:t>Market Yield</w:t>
            </w:r>
          </w:p>
        </w:tc>
        <w:tc>
          <w:tcPr>
            <w:tcW w:w="144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93"/>
              </w:rPr>
              <w:t>3.9%</w:t>
            </w:r>
          </w:p>
        </w:tc>
        <w:tc>
          <w:tcPr>
            <w:tcW w:w="0" w:type="dxa"/>
            <w:vAlign w:val="bottom"/>
          </w:tcPr>
          <w:p>
            <w:pPr>
              <w:spacing w:after="0"/>
              <w:rPr>
                <w:sz w:val="1"/>
                <w:szCs w:val="1"/>
                <w:color w:val="auto"/>
              </w:rPr>
            </w:pPr>
          </w:p>
        </w:tc>
      </w:tr>
      <w:tr>
        <w:trPr>
          <w:trHeight w:val="20"/>
        </w:trPr>
        <w:tc>
          <w:tcPr>
            <w:tcW w:w="4940" w:type="dxa"/>
            <w:vAlign w:val="bottom"/>
            <w:gridSpan w:val="2"/>
            <w:vMerge w:val="restart"/>
          </w:tcPr>
          <w:p>
            <w:pPr>
              <w:spacing w:after="0"/>
              <w:rPr>
                <w:sz w:val="20"/>
                <w:szCs w:val="20"/>
                <w:color w:val="auto"/>
              </w:rPr>
            </w:pPr>
            <w:r>
              <w:rPr>
                <w:rFonts w:ascii="Arial" w:cs="Arial" w:eastAsia="Arial" w:hAnsi="Arial"/>
                <w:sz w:val="14"/>
                <w:szCs w:val="14"/>
                <w:color w:val="auto"/>
              </w:rPr>
              <w:t>2019 Notes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4"/>
              </w:rPr>
              <w:t>Market Comparable</w:t>
            </w:r>
          </w:p>
        </w:tc>
        <w:tc>
          <w:tcPr>
            <w:tcW w:w="160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4"/>
              </w:rPr>
              <w:t>Broker/Dealer bid quotes</w:t>
            </w:r>
          </w:p>
        </w:tc>
        <w:tc>
          <w:tcPr>
            <w:tcW w:w="1440" w:type="dxa"/>
            <w:vAlign w:val="bottom"/>
            <w:vMerge w:val="restart"/>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line="20" w:lineRule="exact"/>
              <w:rPr>
                <w:sz w:val="1"/>
                <w:szCs w:val="1"/>
                <w:color w:val="auto"/>
              </w:rPr>
            </w:pPr>
          </w:p>
        </w:tc>
      </w:tr>
      <w:tr>
        <w:trPr>
          <w:trHeight w:val="143"/>
        </w:trPr>
        <w:tc>
          <w:tcPr>
            <w:tcW w:w="4940" w:type="dxa"/>
            <w:vAlign w:val="bottom"/>
            <w:gridSpan w:val="2"/>
            <w:vMerge w:val="continue"/>
          </w:tcPr>
          <w:p>
            <w:pPr>
              <w:spacing w:after="0"/>
              <w:rPr>
                <w:sz w:val="12"/>
                <w:szCs w:val="12"/>
                <w:color w:val="auto"/>
              </w:rPr>
            </w:pPr>
          </w:p>
        </w:tc>
        <w:tc>
          <w:tcPr>
            <w:tcW w:w="140" w:type="dxa"/>
            <w:vAlign w:val="bottom"/>
            <w:tcBorders>
              <w:bottom w:val="single" w:sz="8" w:color="auto"/>
            </w:tcBorders>
          </w:tcPr>
          <w:p>
            <w:pPr>
              <w:spacing w:after="0" w:line="143"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250,446,250</w:t>
            </w:r>
          </w:p>
        </w:tc>
        <w:tc>
          <w:tcPr>
            <w:tcW w:w="18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3"/>
        </w:trPr>
        <w:tc>
          <w:tcPr>
            <w:tcW w:w="49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Asset Category</w:t>
            </w:r>
          </w:p>
        </w:tc>
        <w:tc>
          <w:tcPr>
            <w:tcW w:w="140" w:type="dxa"/>
            <w:vAlign w:val="bottom"/>
          </w:tcPr>
          <w:p>
            <w:pPr>
              <w:spacing w:after="0"/>
              <w:rPr>
                <w:sz w:val="24"/>
                <w:szCs w:val="24"/>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w w:val="95"/>
              </w:rPr>
              <w:t>Fair Value at</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3"/>
                <w:szCs w:val="13"/>
                <w:b w:val="1"/>
                <w:bCs w:val="1"/>
                <w:color w:val="auto"/>
                <w:w w:val="87"/>
              </w:rPr>
              <w:t>Range of Input</w:t>
            </w:r>
          </w:p>
        </w:tc>
        <w:tc>
          <w:tcPr>
            <w:tcW w:w="0" w:type="dxa"/>
            <w:vAlign w:val="bottom"/>
          </w:tcPr>
          <w:p>
            <w:pPr>
              <w:spacing w:after="0"/>
              <w:rPr>
                <w:sz w:val="1"/>
                <w:szCs w:val="1"/>
                <w:color w:val="auto"/>
              </w:rPr>
            </w:pPr>
          </w:p>
        </w:tc>
      </w:tr>
      <w:tr>
        <w:trPr>
          <w:trHeight w:val="153"/>
        </w:trPr>
        <w:tc>
          <w:tcPr>
            <w:tcW w:w="4940" w:type="dxa"/>
            <w:vAlign w:val="bottom"/>
            <w:gridSpan w:val="2"/>
            <w:vMerge w:val="continue"/>
          </w:tcPr>
          <w:p>
            <w:pPr>
              <w:spacing w:after="0"/>
              <w:rPr>
                <w:sz w:val="13"/>
                <w:szCs w:val="13"/>
                <w:color w:val="auto"/>
              </w:rPr>
            </w:pPr>
          </w:p>
        </w:tc>
        <w:tc>
          <w:tcPr>
            <w:tcW w:w="1260" w:type="dxa"/>
            <w:vAlign w:val="bottom"/>
            <w:gridSpan w:val="3"/>
          </w:tcPr>
          <w:p>
            <w:pPr>
              <w:ind w:left="20"/>
              <w:spacing w:after="0"/>
              <w:rPr>
                <w:sz w:val="20"/>
                <w:szCs w:val="20"/>
                <w:color w:val="auto"/>
              </w:rPr>
            </w:pPr>
            <w:r>
              <w:rPr>
                <w:rFonts w:ascii="Arial" w:cs="Arial" w:eastAsia="Arial" w:hAnsi="Arial"/>
                <w:sz w:val="13"/>
                <w:szCs w:val="13"/>
                <w:b w:val="1"/>
                <w:bCs w:val="1"/>
                <w:color w:val="auto"/>
              </w:rPr>
              <w:t>September 30, 2014</w:t>
            </w:r>
          </w:p>
        </w:tc>
        <w:tc>
          <w:tcPr>
            <w:tcW w:w="15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6"/>
              </w:rPr>
              <w:t>Valuation Technique</w:t>
            </w:r>
          </w:p>
        </w:tc>
        <w:tc>
          <w:tcPr>
            <w:tcW w:w="16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7"/>
              </w:rPr>
              <w:t>Unobservable Input</w:t>
            </w:r>
          </w:p>
        </w:tc>
        <w:tc>
          <w:tcPr>
            <w:tcW w:w="1440" w:type="dxa"/>
            <w:vAlign w:val="bottom"/>
          </w:tcPr>
          <w:p>
            <w:pPr>
              <w:jc w:val="center"/>
              <w:spacing w:after="0"/>
              <w:rPr>
                <w:sz w:val="20"/>
                <w:szCs w:val="20"/>
                <w:color w:val="auto"/>
              </w:rPr>
            </w:pPr>
            <w:r>
              <w:rPr>
                <w:rFonts w:ascii="Arial" w:cs="Arial" w:eastAsia="Arial" w:hAnsi="Arial"/>
                <w:sz w:val="13"/>
                <w:szCs w:val="13"/>
                <w:b w:val="1"/>
                <w:bCs w:val="1"/>
                <w:color w:val="auto"/>
                <w:w w:val="85"/>
              </w:rPr>
              <w:t>(Weighted Average)</w:t>
            </w:r>
          </w:p>
        </w:tc>
        <w:tc>
          <w:tcPr>
            <w:tcW w:w="0" w:type="dxa"/>
            <w:vAlign w:val="bottom"/>
          </w:tcPr>
          <w:p>
            <w:pPr>
              <w:spacing w:after="0"/>
              <w:rPr>
                <w:sz w:val="1"/>
                <w:szCs w:val="1"/>
                <w:color w:val="auto"/>
              </w:rPr>
            </w:pPr>
          </w:p>
        </w:tc>
      </w:tr>
      <w:tr>
        <w:trPr>
          <w:trHeight w:val="142"/>
        </w:trPr>
        <w:tc>
          <w:tcPr>
            <w:tcW w:w="48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Debt investments</w:t>
            </w: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480,344,879</w:t>
            </w:r>
          </w:p>
        </w:tc>
        <w:tc>
          <w:tcPr>
            <w:tcW w:w="180" w:type="dxa"/>
            <w:vAlign w:val="bottom"/>
            <w:tcBorders>
              <w:top w:val="single" w:sz="8" w:color="CCEEFF"/>
            </w:tcBorders>
            <w:shd w:val="clear" w:color="auto" w:fill="CCEEFF"/>
          </w:tcPr>
          <w:p>
            <w:pPr>
              <w:spacing w:after="0"/>
              <w:rPr>
                <w:sz w:val="12"/>
                <w:szCs w:val="12"/>
                <w:color w:val="auto"/>
              </w:rPr>
            </w:pPr>
          </w:p>
        </w:tc>
        <w:tc>
          <w:tcPr>
            <w:tcW w:w="144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4"/>
              </w:rPr>
              <w:t>Market Comparable</w:t>
            </w:r>
          </w:p>
        </w:tc>
        <w:tc>
          <w:tcPr>
            <w:tcW w:w="100" w:type="dxa"/>
            <w:vAlign w:val="bottom"/>
            <w:tcBorders>
              <w:top w:val="single" w:sz="8" w:color="CCEEFF"/>
            </w:tcBorders>
            <w:shd w:val="clear" w:color="auto" w:fill="CCEEFF"/>
          </w:tcPr>
          <w:p>
            <w:pPr>
              <w:spacing w:after="0"/>
              <w:rPr>
                <w:sz w:val="12"/>
                <w:szCs w:val="12"/>
                <w:color w:val="auto"/>
              </w:rPr>
            </w:pPr>
          </w:p>
        </w:tc>
        <w:tc>
          <w:tcPr>
            <w:tcW w:w="150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4"/>
              </w:rPr>
              <w:t>Broker/Dealer bid quotes</w:t>
            </w:r>
          </w:p>
        </w:tc>
        <w:tc>
          <w:tcPr>
            <w:tcW w:w="100" w:type="dxa"/>
            <w:vAlign w:val="bottom"/>
            <w:tcBorders>
              <w:top w:val="single" w:sz="8" w:color="CCEEFF"/>
            </w:tcBorders>
            <w:shd w:val="clear" w:color="auto" w:fill="CCEEFF"/>
          </w:tcPr>
          <w:p>
            <w:pPr>
              <w:spacing w:after="0"/>
              <w:rPr>
                <w:sz w:val="12"/>
                <w:szCs w:val="12"/>
                <w:color w:val="auto"/>
              </w:rPr>
            </w:pPr>
          </w:p>
        </w:tc>
        <w:tc>
          <w:tcPr>
            <w:tcW w:w="144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8"/>
        </w:trPr>
        <w:tc>
          <w:tcPr>
            <w:tcW w:w="4940" w:type="dxa"/>
            <w:vAlign w:val="bottom"/>
            <w:gridSpan w:val="2"/>
          </w:tcPr>
          <w:p>
            <w:pPr>
              <w:spacing w:after="0" w:line="149" w:lineRule="exact"/>
              <w:rPr>
                <w:sz w:val="20"/>
                <w:szCs w:val="20"/>
                <w:color w:val="auto"/>
              </w:rPr>
            </w:pPr>
            <w:r>
              <w:rPr>
                <w:rFonts w:ascii="Arial" w:cs="Arial" w:eastAsia="Arial" w:hAnsi="Arial"/>
                <w:sz w:val="14"/>
                <w:szCs w:val="14"/>
                <w:color w:val="auto"/>
              </w:rPr>
              <w:t>Debt investments</w:t>
            </w:r>
          </w:p>
        </w:tc>
        <w:tc>
          <w:tcPr>
            <w:tcW w:w="140" w:type="dxa"/>
            <w:vAlign w:val="bottom"/>
          </w:tcPr>
          <w:p>
            <w:pPr>
              <w:spacing w:after="0"/>
              <w:rPr>
                <w:sz w:val="12"/>
                <w:szCs w:val="12"/>
                <w:color w:val="auto"/>
              </w:rPr>
            </w:pPr>
          </w:p>
        </w:tc>
        <w:tc>
          <w:tcPr>
            <w:tcW w:w="11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681,131,020</w:t>
            </w:r>
          </w:p>
        </w:tc>
        <w:tc>
          <w:tcPr>
            <w:tcW w:w="15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4"/>
              </w:rPr>
              <w:t>Market Comparable</w:t>
            </w:r>
          </w:p>
        </w:tc>
        <w:tc>
          <w:tcPr>
            <w:tcW w:w="160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7"/>
              </w:rPr>
              <w:t>Market Yield</w:t>
            </w: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94"/>
              </w:rPr>
              <w:t>9.7% – 21.3% (13.2%)</w:t>
            </w:r>
          </w:p>
        </w:tc>
        <w:tc>
          <w:tcPr>
            <w:tcW w:w="0" w:type="dxa"/>
            <w:vAlign w:val="bottom"/>
          </w:tcPr>
          <w:p>
            <w:pPr>
              <w:spacing w:after="0"/>
              <w:rPr>
                <w:sz w:val="1"/>
                <w:szCs w:val="1"/>
                <w:color w:val="auto"/>
              </w:rPr>
            </w:pPr>
          </w:p>
        </w:tc>
      </w:tr>
      <w:tr>
        <w:trPr>
          <w:trHeight w:val="148"/>
        </w:trPr>
        <w:tc>
          <w:tcPr>
            <w:tcW w:w="4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Equity investments</w:t>
            </w: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12,163,865</w:t>
            </w:r>
          </w:p>
        </w:tc>
        <w:tc>
          <w:tcPr>
            <w:tcW w:w="15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4"/>
              </w:rPr>
              <w:t>Market Comparable</w:t>
            </w:r>
          </w:p>
        </w:tc>
        <w:tc>
          <w:tcPr>
            <w:tcW w:w="160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4"/>
              </w:rPr>
              <w:t>Broker/Dealer bid quotes</w:t>
            </w:r>
          </w:p>
        </w:tc>
        <w:tc>
          <w:tcPr>
            <w:tcW w:w="14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8"/>
        </w:trPr>
        <w:tc>
          <w:tcPr>
            <w:tcW w:w="4940" w:type="dxa"/>
            <w:vAlign w:val="bottom"/>
            <w:gridSpan w:val="2"/>
          </w:tcPr>
          <w:p>
            <w:pPr>
              <w:spacing w:after="0" w:line="149" w:lineRule="exact"/>
              <w:rPr>
                <w:sz w:val="20"/>
                <w:szCs w:val="20"/>
                <w:color w:val="auto"/>
              </w:rPr>
            </w:pPr>
            <w:r>
              <w:rPr>
                <w:rFonts w:ascii="Arial" w:cs="Arial" w:eastAsia="Arial" w:hAnsi="Arial"/>
                <w:sz w:val="14"/>
                <w:szCs w:val="14"/>
                <w:color w:val="auto"/>
              </w:rPr>
              <w:t>Equity investments</w:t>
            </w:r>
          </w:p>
        </w:tc>
        <w:tc>
          <w:tcPr>
            <w:tcW w:w="140" w:type="dxa"/>
            <w:vAlign w:val="bottom"/>
          </w:tcPr>
          <w:p>
            <w:pPr>
              <w:spacing w:after="0"/>
              <w:rPr>
                <w:sz w:val="12"/>
                <w:szCs w:val="12"/>
                <w:color w:val="auto"/>
              </w:rPr>
            </w:pPr>
          </w:p>
        </w:tc>
        <w:tc>
          <w:tcPr>
            <w:tcW w:w="11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99,698,372</w:t>
            </w:r>
          </w:p>
        </w:tc>
        <w:tc>
          <w:tcPr>
            <w:tcW w:w="15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3"/>
              </w:rPr>
              <w:t>Enterprise Market Value</w:t>
            </w:r>
          </w:p>
        </w:tc>
        <w:tc>
          <w:tcPr>
            <w:tcW w:w="160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rPr>
              <w:t>EBITDA multiple</w:t>
            </w: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96"/>
              </w:rPr>
              <w:t>3.3x – 14.0x (8.8x)</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494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Total Level 3 investments</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1,273,338,136</w:t>
            </w:r>
          </w:p>
        </w:tc>
        <w:tc>
          <w:tcPr>
            <w:tcW w:w="1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940" w:type="dxa"/>
            <w:vAlign w:val="bottom"/>
            <w:gridSpan w:val="2"/>
            <w:vMerge w:val="restart"/>
          </w:tcPr>
          <w:p>
            <w:pPr>
              <w:spacing w:after="0"/>
              <w:rPr>
                <w:sz w:val="20"/>
                <w:szCs w:val="20"/>
                <w:color w:val="auto"/>
              </w:rPr>
            </w:pPr>
            <w:r>
              <w:rPr>
                <w:rFonts w:ascii="Arial" w:cs="Arial" w:eastAsia="Arial" w:hAnsi="Arial"/>
                <w:sz w:val="14"/>
                <w:szCs w:val="14"/>
                <w:color w:val="auto"/>
              </w:rPr>
              <w:t>Long-Term Credit Facility</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4"/>
              </w:rPr>
              <w:t>Market Comparable</w:t>
            </w:r>
          </w:p>
        </w:tc>
        <w:tc>
          <w:tcPr>
            <w:tcW w:w="1600" w:type="dxa"/>
            <w:vAlign w:val="bottom"/>
            <w:gridSpan w:val="2"/>
            <w:vMerge w:val="restart"/>
          </w:tcPr>
          <w:p>
            <w:pPr>
              <w:jc w:val="center"/>
              <w:ind w:right="80"/>
              <w:spacing w:after="0"/>
              <w:rPr>
                <w:sz w:val="20"/>
                <w:szCs w:val="20"/>
                <w:color w:val="auto"/>
              </w:rPr>
            </w:pPr>
            <w:r>
              <w:rPr>
                <w:rFonts w:ascii="Arial" w:cs="Arial" w:eastAsia="Arial" w:hAnsi="Arial"/>
                <w:sz w:val="14"/>
                <w:szCs w:val="14"/>
                <w:color w:val="auto"/>
                <w:w w:val="97"/>
              </w:rPr>
              <w:t>Market Yield</w:t>
            </w:r>
          </w:p>
        </w:tc>
        <w:tc>
          <w:tcPr>
            <w:tcW w:w="1440" w:type="dxa"/>
            <w:vAlign w:val="bottom"/>
            <w:vMerge w:val="restart"/>
          </w:tcPr>
          <w:p>
            <w:pPr>
              <w:jc w:val="center"/>
              <w:spacing w:after="0"/>
              <w:rPr>
                <w:sz w:val="20"/>
                <w:szCs w:val="20"/>
                <w:color w:val="auto"/>
              </w:rPr>
            </w:pPr>
            <w:r>
              <w:rPr>
                <w:rFonts w:ascii="Arial" w:cs="Arial" w:eastAsia="Arial" w:hAnsi="Arial"/>
                <w:sz w:val="14"/>
                <w:szCs w:val="14"/>
                <w:color w:val="auto"/>
                <w:w w:val="93"/>
              </w:rPr>
              <w:t>4.1%</w:t>
            </w:r>
          </w:p>
        </w:tc>
        <w:tc>
          <w:tcPr>
            <w:tcW w:w="0" w:type="dxa"/>
            <w:vAlign w:val="bottom"/>
          </w:tcPr>
          <w:p>
            <w:pPr>
              <w:spacing w:after="0" w:line="20" w:lineRule="exact"/>
              <w:rPr>
                <w:sz w:val="1"/>
                <w:szCs w:val="1"/>
                <w:color w:val="auto"/>
              </w:rPr>
            </w:pPr>
          </w:p>
        </w:tc>
      </w:tr>
      <w:tr>
        <w:trPr>
          <w:trHeight w:val="143"/>
        </w:trPr>
        <w:tc>
          <w:tcPr>
            <w:tcW w:w="4940" w:type="dxa"/>
            <w:vAlign w:val="bottom"/>
            <w:gridSpan w:val="2"/>
            <w:vMerge w:val="continue"/>
          </w:tcPr>
          <w:p>
            <w:pPr>
              <w:spacing w:after="0"/>
              <w:rPr>
                <w:sz w:val="12"/>
                <w:szCs w:val="12"/>
                <w:color w:val="auto"/>
              </w:rPr>
            </w:pPr>
          </w:p>
        </w:tc>
        <w:tc>
          <w:tcPr>
            <w:tcW w:w="140" w:type="dxa"/>
            <w:vAlign w:val="bottom"/>
            <w:tcBorders>
              <w:bottom w:val="single" w:sz="8" w:color="auto"/>
            </w:tcBorders>
          </w:tcPr>
          <w:p>
            <w:pPr>
              <w:spacing w:after="0" w:line="143"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53,497,620</w:t>
            </w:r>
          </w:p>
        </w:tc>
        <w:tc>
          <w:tcPr>
            <w:tcW w:w="18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94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color w:val="auto"/>
              </w:rPr>
              <w:t>2019 Notes</w:t>
            </w:r>
          </w:p>
        </w:tc>
        <w:tc>
          <w:tcPr>
            <w:tcW w:w="14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rPr>
              <w:t>251,350,250</w:t>
            </w:r>
          </w:p>
        </w:tc>
        <w:tc>
          <w:tcPr>
            <w:tcW w:w="1540" w:type="dxa"/>
            <w:vAlign w:val="bottom"/>
            <w:gridSpan w:val="2"/>
            <w:shd w:val="clear" w:color="auto" w:fill="CCEEFF"/>
          </w:tcPr>
          <w:p>
            <w:pPr>
              <w:jc w:val="center"/>
              <w:ind w:right="100"/>
              <w:spacing w:after="0" w:line="143" w:lineRule="exact"/>
              <w:rPr>
                <w:sz w:val="20"/>
                <w:szCs w:val="20"/>
                <w:color w:val="auto"/>
              </w:rPr>
            </w:pPr>
            <w:r>
              <w:rPr>
                <w:rFonts w:ascii="Arial" w:cs="Arial" w:eastAsia="Arial" w:hAnsi="Arial"/>
                <w:sz w:val="14"/>
                <w:szCs w:val="14"/>
                <w:color w:val="auto"/>
                <w:w w:val="94"/>
              </w:rPr>
              <w:t>Market Comparable</w:t>
            </w:r>
          </w:p>
        </w:tc>
        <w:tc>
          <w:tcPr>
            <w:tcW w:w="1600" w:type="dxa"/>
            <w:vAlign w:val="bottom"/>
            <w:gridSpan w:val="2"/>
            <w:shd w:val="clear" w:color="auto" w:fill="CCEEFF"/>
          </w:tcPr>
          <w:p>
            <w:pPr>
              <w:jc w:val="center"/>
              <w:ind w:right="100"/>
              <w:spacing w:after="0" w:line="143" w:lineRule="exact"/>
              <w:rPr>
                <w:sz w:val="20"/>
                <w:szCs w:val="20"/>
                <w:color w:val="auto"/>
              </w:rPr>
            </w:pPr>
            <w:r>
              <w:rPr>
                <w:rFonts w:ascii="Arial" w:cs="Arial" w:eastAsia="Arial" w:hAnsi="Arial"/>
                <w:sz w:val="14"/>
                <w:szCs w:val="14"/>
                <w:color w:val="auto"/>
                <w:w w:val="94"/>
              </w:rPr>
              <w:t>Broker/Dealer bid quotes</w:t>
            </w:r>
          </w:p>
        </w:tc>
        <w:tc>
          <w:tcPr>
            <w:tcW w:w="144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Arial" w:cs="Arial" w:eastAsia="Arial" w:hAnsi="Arial"/>
          <w:sz w:val="14"/>
          <w:szCs w:val="14"/>
          <w:color w:val="auto"/>
        </w:rPr>
        <w:t>Our investments, cash and cash equivalents, Credit Facility, our Notes were categorized as follows in the fair value hierarchy for ASC 820 purposes: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240" w:type="dxa"/>
            <w:vAlign w:val="bottom"/>
            <w:vMerge w:val="restart"/>
          </w:tcPr>
          <w:p>
            <w:pPr>
              <w:spacing w:after="0"/>
              <w:rPr>
                <w:sz w:val="20"/>
                <w:szCs w:val="20"/>
                <w:color w:val="auto"/>
              </w:rPr>
            </w:pPr>
            <w:r>
              <w:rPr>
                <w:rFonts w:ascii="Arial" w:cs="Arial" w:eastAsia="Arial" w:hAnsi="Arial"/>
                <w:sz w:val="13"/>
                <w:szCs w:val="13"/>
                <w:b w:val="1"/>
                <w:bCs w:val="1"/>
                <w:color w:val="auto"/>
              </w:rPr>
              <w:t>Description</w:t>
            </w:r>
          </w:p>
        </w:tc>
        <w:tc>
          <w:tcPr>
            <w:tcW w:w="1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60" w:type="dxa"/>
            <w:vAlign w:val="bottom"/>
            <w:tcBorders>
              <w:bottom w:val="single" w:sz="8" w:color="auto"/>
            </w:tcBorders>
            <w:gridSpan w:val="6"/>
          </w:tcPr>
          <w:p>
            <w:pPr>
              <w:jc w:val="right"/>
              <w:ind w:right="500"/>
              <w:spacing w:after="0"/>
              <w:rPr>
                <w:sz w:val="20"/>
                <w:szCs w:val="20"/>
                <w:color w:val="auto"/>
              </w:rPr>
            </w:pPr>
            <w:r>
              <w:rPr>
                <w:rFonts w:ascii="Arial" w:cs="Arial" w:eastAsia="Arial" w:hAnsi="Arial"/>
                <w:sz w:val="13"/>
                <w:szCs w:val="13"/>
                <w:b w:val="1"/>
                <w:bCs w:val="1"/>
                <w:color w:val="auto"/>
                <w:w w:val="87"/>
              </w:rPr>
              <w:t>Fair Value at December 31, 2014</w:t>
            </w: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4240" w:type="dxa"/>
            <w:vAlign w:val="bottom"/>
            <w:vMerge w:val="continue"/>
          </w:tcPr>
          <w:p>
            <w:pPr>
              <w:spacing w:after="0"/>
              <w:rPr>
                <w:sz w:val="11"/>
                <w:szCs w:val="11"/>
                <w:color w:val="auto"/>
              </w:rPr>
            </w:pPr>
          </w:p>
        </w:tc>
        <w:tc>
          <w:tcPr>
            <w:tcW w:w="1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100"/>
              <w:spacing w:after="0" w:line="129" w:lineRule="exact"/>
              <w:rPr>
                <w:sz w:val="20"/>
                <w:szCs w:val="20"/>
                <w:color w:val="auto"/>
              </w:rPr>
            </w:pPr>
            <w:r>
              <w:rPr>
                <w:rFonts w:ascii="Arial" w:cs="Arial" w:eastAsia="Arial" w:hAnsi="Arial"/>
                <w:sz w:val="13"/>
                <w:szCs w:val="13"/>
                <w:b w:val="1"/>
                <w:bCs w:val="1"/>
                <w:color w:val="auto"/>
              </w:rPr>
              <w:t>Fair Value</w:t>
            </w:r>
          </w:p>
        </w:tc>
        <w:tc>
          <w:tcPr>
            <w:tcW w:w="80" w:type="dxa"/>
            <w:vAlign w:val="bottom"/>
          </w:tcPr>
          <w:p>
            <w:pPr>
              <w:spacing w:after="0"/>
              <w:rPr>
                <w:sz w:val="11"/>
                <w:szCs w:val="11"/>
                <w:color w:val="auto"/>
              </w:rPr>
            </w:pPr>
          </w:p>
        </w:tc>
        <w:tc>
          <w:tcPr>
            <w:tcW w:w="940" w:type="dxa"/>
            <w:vAlign w:val="bottom"/>
            <w:gridSpan w:val="2"/>
          </w:tcPr>
          <w:p>
            <w:pPr>
              <w:ind w:left="160"/>
              <w:spacing w:after="0" w:line="129" w:lineRule="exact"/>
              <w:rPr>
                <w:sz w:val="20"/>
                <w:szCs w:val="20"/>
                <w:color w:val="auto"/>
              </w:rPr>
            </w:pPr>
            <w:r>
              <w:rPr>
                <w:rFonts w:ascii="Arial" w:cs="Arial" w:eastAsia="Arial" w:hAnsi="Arial"/>
                <w:sz w:val="13"/>
                <w:szCs w:val="13"/>
                <w:b w:val="1"/>
                <w:bCs w:val="1"/>
                <w:color w:val="auto"/>
              </w:rPr>
              <w:t>Level 1</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tcPr>
          <w:p>
            <w:pPr>
              <w:jc w:val="right"/>
              <w:ind w:right="540"/>
              <w:spacing w:after="0" w:line="129" w:lineRule="exact"/>
              <w:rPr>
                <w:sz w:val="20"/>
                <w:szCs w:val="20"/>
                <w:color w:val="auto"/>
              </w:rPr>
            </w:pPr>
            <w:r>
              <w:rPr>
                <w:rFonts w:ascii="Arial" w:cs="Arial" w:eastAsia="Arial" w:hAnsi="Arial"/>
                <w:sz w:val="13"/>
                <w:szCs w:val="13"/>
                <w:b w:val="1"/>
                <w:bCs w:val="1"/>
                <w:color w:val="auto"/>
              </w:rPr>
              <w:t>Level 2</w:t>
            </w:r>
          </w:p>
        </w:tc>
        <w:tc>
          <w:tcPr>
            <w:tcW w:w="120" w:type="dxa"/>
            <w:vAlign w:val="bottom"/>
          </w:tcPr>
          <w:p>
            <w:pPr>
              <w:spacing w:after="0"/>
              <w:rPr>
                <w:sz w:val="11"/>
                <w:szCs w:val="11"/>
                <w:color w:val="auto"/>
              </w:rPr>
            </w:pPr>
          </w:p>
        </w:tc>
        <w:tc>
          <w:tcPr>
            <w:tcW w:w="860" w:type="dxa"/>
            <w:vAlign w:val="bottom"/>
          </w:tcPr>
          <w:p>
            <w:pPr>
              <w:jc w:val="right"/>
              <w:ind w:right="209"/>
              <w:spacing w:after="0" w:line="129" w:lineRule="exact"/>
              <w:rPr>
                <w:sz w:val="20"/>
                <w:szCs w:val="20"/>
                <w:color w:val="auto"/>
              </w:rPr>
            </w:pPr>
            <w:r>
              <w:rPr>
                <w:rFonts w:ascii="Arial" w:cs="Arial" w:eastAsia="Arial" w:hAnsi="Arial"/>
                <w:sz w:val="13"/>
                <w:szCs w:val="13"/>
                <w:b w:val="1"/>
                <w:bCs w:val="1"/>
                <w:color w:val="auto"/>
              </w:rPr>
              <w:t>Level 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2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Debt investments</w:t>
            </w:r>
          </w:p>
        </w:tc>
        <w:tc>
          <w:tcPr>
            <w:tcW w:w="17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1,229,845,236</w:t>
            </w:r>
          </w:p>
        </w:tc>
        <w:tc>
          <w:tcPr>
            <w:tcW w:w="3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9"/>
              </w:rPr>
              <w:t>11,322,000</w:t>
            </w:r>
          </w:p>
        </w:tc>
        <w:tc>
          <w:tcPr>
            <w:tcW w:w="3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1,218,523,236</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line="149" w:lineRule="exact"/>
              <w:rPr>
                <w:sz w:val="20"/>
                <w:szCs w:val="20"/>
                <w:color w:val="auto"/>
              </w:rPr>
            </w:pPr>
            <w:r>
              <w:rPr>
                <w:rFonts w:ascii="Arial" w:cs="Arial" w:eastAsia="Arial" w:hAnsi="Arial"/>
                <w:sz w:val="14"/>
                <w:szCs w:val="14"/>
                <w:color w:val="auto"/>
              </w:rPr>
              <w:t>Equity investments</w:t>
            </w:r>
          </w:p>
        </w:tc>
        <w:tc>
          <w:tcPr>
            <w:tcW w:w="1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110,749,882</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17,107</w:t>
            </w:r>
          </w:p>
        </w:tc>
        <w:tc>
          <w:tcPr>
            <w:tcW w:w="12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110,732,775</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24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Total investments</w:t>
            </w:r>
          </w:p>
        </w:tc>
        <w:tc>
          <w:tcPr>
            <w:tcW w:w="1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1,340,595,118</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99"/>
              </w:rPr>
              <w:t>11,339,107</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3"/>
              </w:rPr>
              <w:t>1,329,256,011</w:t>
            </w:r>
          </w:p>
        </w:tc>
        <w:tc>
          <w:tcPr>
            <w:tcW w:w="0" w:type="dxa"/>
            <w:vAlign w:val="bottom"/>
          </w:tcPr>
          <w:p>
            <w:pPr>
              <w:spacing w:after="0"/>
              <w:rPr>
                <w:sz w:val="1"/>
                <w:szCs w:val="1"/>
                <w:color w:val="auto"/>
              </w:rPr>
            </w:pPr>
          </w:p>
        </w:tc>
      </w:tr>
      <w:tr>
        <w:trPr>
          <w:trHeight w:val="148"/>
        </w:trPr>
        <w:tc>
          <w:tcPr>
            <w:tcW w:w="4240" w:type="dxa"/>
            <w:vAlign w:val="bottom"/>
          </w:tcPr>
          <w:p>
            <w:pPr>
              <w:spacing w:after="0" w:line="149" w:lineRule="exact"/>
              <w:rPr>
                <w:sz w:val="20"/>
                <w:szCs w:val="20"/>
                <w:color w:val="auto"/>
              </w:rPr>
            </w:pPr>
            <w:r>
              <w:rPr>
                <w:rFonts w:ascii="Arial" w:cs="Arial" w:eastAsia="Arial" w:hAnsi="Arial"/>
                <w:sz w:val="14"/>
                <w:szCs w:val="14"/>
                <w:color w:val="auto"/>
              </w:rPr>
              <w:t>Cash and cash equivalents</w:t>
            </w:r>
          </w:p>
        </w:tc>
        <w:tc>
          <w:tcPr>
            <w:tcW w:w="1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54,329,248</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54,329,248</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424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Total investments, cash and cash equivalents</w:t>
            </w:r>
          </w:p>
        </w:tc>
        <w:tc>
          <w:tcPr>
            <w:tcW w:w="1960" w:type="dxa"/>
            <w:vAlign w:val="bottom"/>
            <w:gridSpan w:val="2"/>
            <w:shd w:val="clear" w:color="auto" w:fill="CCEEFF"/>
          </w:tcPr>
          <w:p>
            <w:pPr>
              <w:spacing w:after="0"/>
              <w:rPr>
                <w:sz w:val="12"/>
                <w:szCs w:val="12"/>
                <w:color w:val="auto"/>
              </w:rPr>
            </w:pP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1,394,924,366</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54,329,248</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99"/>
              </w:rPr>
              <w:t>11,339,107</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3"/>
              </w:rPr>
              <w:t>1,329,256,011</w:t>
            </w: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Arial" w:cs="Arial" w:eastAsia="Arial" w:hAnsi="Arial"/>
                <w:sz w:val="14"/>
                <w:szCs w:val="14"/>
                <w:color w:val="auto"/>
              </w:rPr>
              <w:t>Long-Term Credit Facility</w:t>
            </w:r>
          </w:p>
        </w:tc>
        <w:tc>
          <w:tcPr>
            <w:tcW w:w="1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240" w:type="dxa"/>
            <w:vAlign w:val="bottom"/>
            <w:vMerge w:val="continue"/>
          </w:tcPr>
          <w:p>
            <w:pPr>
              <w:spacing w:after="0"/>
              <w:rPr>
                <w:sz w:val="12"/>
                <w:szCs w:val="12"/>
                <w:color w:val="auto"/>
              </w:rPr>
            </w:pPr>
          </w:p>
        </w:tc>
        <w:tc>
          <w:tcPr>
            <w:tcW w:w="1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jc w:val="right"/>
              <w:ind w:right="28"/>
              <w:spacing w:after="0" w:line="143" w:lineRule="exact"/>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line="143" w:lineRule="exact"/>
              <w:rPr>
                <w:sz w:val="20"/>
                <w:szCs w:val="20"/>
                <w:color w:val="auto"/>
              </w:rPr>
            </w:pPr>
            <w:r>
              <w:rPr>
                <w:rFonts w:ascii="Arial" w:cs="Arial" w:eastAsia="Arial" w:hAnsi="Arial"/>
                <w:sz w:val="14"/>
                <w:szCs w:val="14"/>
                <w:color w:val="auto"/>
              </w:rPr>
              <w:t>122,316,693</w:t>
            </w:r>
          </w:p>
        </w:tc>
        <w:tc>
          <w:tcPr>
            <w:tcW w:w="3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jc w:val="right"/>
              <w:ind w:right="8"/>
              <w:spacing w:after="0" w:line="143"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20" w:type="dxa"/>
            <w:vAlign w:val="bottom"/>
          </w:tcPr>
          <w:p>
            <w:pPr>
              <w:jc w:val="right"/>
              <w:spacing w:after="0" w:line="143" w:lineRule="exact"/>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line="143" w:lineRule="exact"/>
              <w:rPr>
                <w:sz w:val="20"/>
                <w:szCs w:val="20"/>
                <w:color w:val="auto"/>
              </w:rPr>
            </w:pPr>
            <w:r>
              <w:rPr>
                <w:rFonts w:ascii="Arial" w:cs="Arial" w:eastAsia="Arial" w:hAnsi="Arial"/>
                <w:sz w:val="14"/>
                <w:szCs w:val="14"/>
                <w:color w:val="auto"/>
              </w:rPr>
              <w:t>122,316,693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2019 Notes</w:t>
            </w:r>
          </w:p>
        </w:tc>
        <w:tc>
          <w:tcPr>
            <w:tcW w:w="1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250,446,250</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250,446,250</w:t>
            </w:r>
          </w:p>
        </w:tc>
        <w:tc>
          <w:tcPr>
            <w:tcW w:w="0" w:type="dxa"/>
            <w:vAlign w:val="bottom"/>
          </w:tcPr>
          <w:p>
            <w:pPr>
              <w:spacing w:after="0"/>
              <w:rPr>
                <w:sz w:val="1"/>
                <w:szCs w:val="1"/>
                <w:color w:val="auto"/>
              </w:rPr>
            </w:pPr>
          </w:p>
        </w:tc>
      </w:tr>
      <w:tr>
        <w:trPr>
          <w:trHeight w:val="148"/>
        </w:trPr>
        <w:tc>
          <w:tcPr>
            <w:tcW w:w="4240" w:type="dxa"/>
            <w:vAlign w:val="bottom"/>
          </w:tcPr>
          <w:p>
            <w:pPr>
              <w:spacing w:after="0" w:line="149" w:lineRule="exact"/>
              <w:rPr>
                <w:sz w:val="20"/>
                <w:szCs w:val="20"/>
                <w:color w:val="auto"/>
              </w:rPr>
            </w:pPr>
            <w:r>
              <w:rPr>
                <w:rFonts w:ascii="Arial" w:cs="Arial" w:eastAsia="Arial" w:hAnsi="Arial"/>
                <w:sz w:val="14"/>
                <w:szCs w:val="14"/>
                <w:color w:val="auto"/>
              </w:rPr>
              <w:t>2025 Notes</w:t>
            </w:r>
          </w:p>
        </w:tc>
        <w:tc>
          <w:tcPr>
            <w:tcW w:w="1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73,444,500</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73,444,500</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424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Total debt</w:t>
            </w:r>
          </w:p>
        </w:tc>
        <w:tc>
          <w:tcPr>
            <w:tcW w:w="1960" w:type="dxa"/>
            <w:vAlign w:val="bottom"/>
            <w:gridSpan w:val="2"/>
            <w:shd w:val="clear" w:color="auto" w:fill="CCEEFF"/>
          </w:tcPr>
          <w:p>
            <w:pPr>
              <w:spacing w:after="0"/>
              <w:rPr>
                <w:sz w:val="12"/>
                <w:szCs w:val="12"/>
                <w:color w:val="auto"/>
              </w:rPr>
            </w:pP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446,207,443</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73,444,500</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372,762,943</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4240" w:type="dxa"/>
            <w:vAlign w:val="bottom"/>
            <w:vMerge w:val="restart"/>
          </w:tcPr>
          <w:p>
            <w:pPr>
              <w:spacing w:after="0"/>
              <w:rPr>
                <w:sz w:val="20"/>
                <w:szCs w:val="20"/>
                <w:color w:val="auto"/>
              </w:rPr>
            </w:pPr>
            <w:r>
              <w:rPr>
                <w:rFonts w:ascii="Arial" w:cs="Arial" w:eastAsia="Arial" w:hAnsi="Arial"/>
                <w:sz w:val="13"/>
                <w:szCs w:val="13"/>
                <w:b w:val="1"/>
                <w:bCs w:val="1"/>
                <w:color w:val="auto"/>
              </w:rPr>
              <w:t>Description</w:t>
            </w:r>
          </w:p>
        </w:tc>
        <w:tc>
          <w:tcPr>
            <w:tcW w:w="1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6"/>
          </w:tcPr>
          <w:p>
            <w:pPr>
              <w:jc w:val="right"/>
              <w:ind w:right="480"/>
              <w:spacing w:after="0"/>
              <w:rPr>
                <w:sz w:val="20"/>
                <w:szCs w:val="20"/>
                <w:color w:val="auto"/>
              </w:rPr>
            </w:pPr>
            <w:r>
              <w:rPr>
                <w:rFonts w:ascii="Arial" w:cs="Arial" w:eastAsia="Arial" w:hAnsi="Arial"/>
                <w:sz w:val="13"/>
                <w:szCs w:val="13"/>
                <w:b w:val="1"/>
                <w:bCs w:val="1"/>
                <w:color w:val="auto"/>
                <w:w w:val="86"/>
              </w:rPr>
              <w:t>Fair Value at September 30, 2014</w:t>
            </w: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4240" w:type="dxa"/>
            <w:vAlign w:val="bottom"/>
            <w:vMerge w:val="continue"/>
          </w:tcPr>
          <w:p>
            <w:pPr>
              <w:spacing w:after="0"/>
              <w:rPr>
                <w:sz w:val="11"/>
                <w:szCs w:val="11"/>
                <w:color w:val="auto"/>
              </w:rPr>
            </w:pPr>
          </w:p>
        </w:tc>
        <w:tc>
          <w:tcPr>
            <w:tcW w:w="1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3"/>
                <w:szCs w:val="13"/>
                <w:b w:val="1"/>
                <w:bCs w:val="1"/>
                <w:color w:val="auto"/>
              </w:rPr>
              <w:t>Fair Value</w:t>
            </w:r>
          </w:p>
        </w:tc>
        <w:tc>
          <w:tcPr>
            <w:tcW w:w="80" w:type="dxa"/>
            <w:vAlign w:val="bottom"/>
          </w:tcPr>
          <w:p>
            <w:pPr>
              <w:spacing w:after="0"/>
              <w:rPr>
                <w:sz w:val="11"/>
                <w:szCs w:val="11"/>
                <w:color w:val="auto"/>
              </w:rPr>
            </w:pPr>
          </w:p>
        </w:tc>
        <w:tc>
          <w:tcPr>
            <w:tcW w:w="940" w:type="dxa"/>
            <w:vAlign w:val="bottom"/>
            <w:gridSpan w:val="2"/>
          </w:tcPr>
          <w:p>
            <w:pPr>
              <w:ind w:left="160"/>
              <w:spacing w:after="0" w:line="129" w:lineRule="exact"/>
              <w:rPr>
                <w:sz w:val="20"/>
                <w:szCs w:val="20"/>
                <w:color w:val="auto"/>
              </w:rPr>
            </w:pPr>
            <w:r>
              <w:rPr>
                <w:rFonts w:ascii="Arial" w:cs="Arial" w:eastAsia="Arial" w:hAnsi="Arial"/>
                <w:sz w:val="13"/>
                <w:szCs w:val="13"/>
                <w:b w:val="1"/>
                <w:bCs w:val="1"/>
                <w:color w:val="auto"/>
              </w:rPr>
              <w:t>Level 1</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tcPr>
          <w:p>
            <w:pPr>
              <w:jc w:val="right"/>
              <w:ind w:right="540"/>
              <w:spacing w:after="0" w:line="129" w:lineRule="exact"/>
              <w:rPr>
                <w:sz w:val="20"/>
                <w:szCs w:val="20"/>
                <w:color w:val="auto"/>
              </w:rPr>
            </w:pPr>
            <w:r>
              <w:rPr>
                <w:rFonts w:ascii="Arial" w:cs="Arial" w:eastAsia="Arial" w:hAnsi="Arial"/>
                <w:sz w:val="13"/>
                <w:szCs w:val="13"/>
                <w:b w:val="1"/>
                <w:bCs w:val="1"/>
                <w:color w:val="auto"/>
              </w:rPr>
              <w:t>Level 2</w:t>
            </w:r>
          </w:p>
        </w:tc>
        <w:tc>
          <w:tcPr>
            <w:tcW w:w="120" w:type="dxa"/>
            <w:vAlign w:val="bottom"/>
          </w:tcPr>
          <w:p>
            <w:pPr>
              <w:spacing w:after="0"/>
              <w:rPr>
                <w:sz w:val="11"/>
                <w:szCs w:val="11"/>
                <w:color w:val="auto"/>
              </w:rPr>
            </w:pPr>
          </w:p>
        </w:tc>
        <w:tc>
          <w:tcPr>
            <w:tcW w:w="860" w:type="dxa"/>
            <w:vAlign w:val="bottom"/>
          </w:tcPr>
          <w:p>
            <w:pPr>
              <w:jc w:val="right"/>
              <w:ind w:right="209"/>
              <w:spacing w:after="0" w:line="129" w:lineRule="exact"/>
              <w:rPr>
                <w:sz w:val="20"/>
                <w:szCs w:val="20"/>
                <w:color w:val="auto"/>
              </w:rPr>
            </w:pPr>
            <w:r>
              <w:rPr>
                <w:rFonts w:ascii="Arial" w:cs="Arial" w:eastAsia="Arial" w:hAnsi="Arial"/>
                <w:sz w:val="13"/>
                <w:szCs w:val="13"/>
                <w:b w:val="1"/>
                <w:bCs w:val="1"/>
                <w:color w:val="auto"/>
              </w:rPr>
              <w:t>Level 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2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Debt investments</w:t>
            </w:r>
          </w:p>
        </w:tc>
        <w:tc>
          <w:tcPr>
            <w:tcW w:w="17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1,206,100,885</w:t>
            </w:r>
          </w:p>
        </w:tc>
        <w:tc>
          <w:tcPr>
            <w:tcW w:w="3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9"/>
              </w:rPr>
              <w:t>44,624,986</w:t>
            </w:r>
          </w:p>
        </w:tc>
        <w:tc>
          <w:tcPr>
            <w:tcW w:w="3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1,161,475,899</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40" w:type="dxa"/>
            <w:vAlign w:val="bottom"/>
          </w:tcPr>
          <w:p>
            <w:pPr>
              <w:spacing w:after="0" w:line="149" w:lineRule="exact"/>
              <w:rPr>
                <w:sz w:val="20"/>
                <w:szCs w:val="20"/>
                <w:color w:val="auto"/>
              </w:rPr>
            </w:pPr>
            <w:r>
              <w:rPr>
                <w:rFonts w:ascii="Arial" w:cs="Arial" w:eastAsia="Arial" w:hAnsi="Arial"/>
                <w:sz w:val="14"/>
                <w:szCs w:val="14"/>
                <w:color w:val="auto"/>
              </w:rPr>
              <w:t>Equity investments</w:t>
            </w:r>
          </w:p>
        </w:tc>
        <w:tc>
          <w:tcPr>
            <w:tcW w:w="1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111,953,881</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91,644</w:t>
            </w:r>
          </w:p>
        </w:tc>
        <w:tc>
          <w:tcPr>
            <w:tcW w:w="12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111,862,237</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424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Total investments</w:t>
            </w:r>
          </w:p>
        </w:tc>
        <w:tc>
          <w:tcPr>
            <w:tcW w:w="1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1,318,054,766</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99"/>
              </w:rPr>
              <w:t>44,716,630</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3"/>
              </w:rPr>
              <w:t>1,273,338,136</w:t>
            </w:r>
          </w:p>
        </w:tc>
        <w:tc>
          <w:tcPr>
            <w:tcW w:w="0" w:type="dxa"/>
            <w:vAlign w:val="bottom"/>
          </w:tcPr>
          <w:p>
            <w:pPr>
              <w:spacing w:after="0"/>
              <w:rPr>
                <w:sz w:val="1"/>
                <w:szCs w:val="1"/>
                <w:color w:val="auto"/>
              </w:rPr>
            </w:pPr>
          </w:p>
        </w:tc>
      </w:tr>
      <w:tr>
        <w:trPr>
          <w:trHeight w:val="149"/>
        </w:trPr>
        <w:tc>
          <w:tcPr>
            <w:tcW w:w="4240" w:type="dxa"/>
            <w:vAlign w:val="bottom"/>
          </w:tcPr>
          <w:p>
            <w:pPr>
              <w:spacing w:after="0" w:line="149" w:lineRule="exact"/>
              <w:rPr>
                <w:sz w:val="20"/>
                <w:szCs w:val="20"/>
                <w:color w:val="auto"/>
              </w:rPr>
            </w:pPr>
            <w:r>
              <w:rPr>
                <w:rFonts w:ascii="Arial" w:cs="Arial" w:eastAsia="Arial" w:hAnsi="Arial"/>
                <w:sz w:val="14"/>
                <w:szCs w:val="14"/>
                <w:color w:val="auto"/>
              </w:rPr>
              <w:t>Cash and cash equivalents</w:t>
            </w:r>
          </w:p>
        </w:tc>
        <w:tc>
          <w:tcPr>
            <w:tcW w:w="1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66,518,682</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66,518,682</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24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Total investments, cash and cash equivalents</w:t>
            </w:r>
          </w:p>
        </w:tc>
        <w:tc>
          <w:tcPr>
            <w:tcW w:w="1960" w:type="dxa"/>
            <w:vAlign w:val="bottom"/>
            <w:gridSpan w:val="2"/>
            <w:shd w:val="clear" w:color="auto" w:fill="CCEEFF"/>
          </w:tcPr>
          <w:p>
            <w:pPr>
              <w:spacing w:after="0"/>
              <w:rPr>
                <w:sz w:val="12"/>
                <w:szCs w:val="12"/>
                <w:color w:val="auto"/>
              </w:rPr>
            </w:pP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1,384,573,448</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66,518,682</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99"/>
              </w:rPr>
              <w:t>44,716,630</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3"/>
              </w:rPr>
              <w:t>1,273,338,136</w:t>
            </w: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Arial" w:cs="Arial" w:eastAsia="Arial" w:hAnsi="Arial"/>
                <w:sz w:val="14"/>
                <w:szCs w:val="14"/>
                <w:color w:val="auto"/>
              </w:rPr>
              <w:t>Long-Term Credit Facility</w:t>
            </w:r>
          </w:p>
        </w:tc>
        <w:tc>
          <w:tcPr>
            <w:tcW w:w="1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240" w:type="dxa"/>
            <w:vAlign w:val="bottom"/>
            <w:vMerge w:val="continue"/>
          </w:tcPr>
          <w:p>
            <w:pPr>
              <w:spacing w:after="0"/>
              <w:rPr>
                <w:sz w:val="12"/>
                <w:szCs w:val="12"/>
                <w:color w:val="auto"/>
              </w:rPr>
            </w:pPr>
          </w:p>
        </w:tc>
        <w:tc>
          <w:tcPr>
            <w:tcW w:w="1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jc w:val="right"/>
              <w:ind w:right="28"/>
              <w:spacing w:after="0" w:line="143" w:lineRule="exact"/>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line="143" w:lineRule="exact"/>
              <w:rPr>
                <w:sz w:val="20"/>
                <w:szCs w:val="20"/>
                <w:color w:val="auto"/>
              </w:rPr>
            </w:pPr>
            <w:r>
              <w:rPr>
                <w:rFonts w:ascii="Arial" w:cs="Arial" w:eastAsia="Arial" w:hAnsi="Arial"/>
                <w:sz w:val="14"/>
                <w:szCs w:val="14"/>
                <w:color w:val="auto"/>
              </w:rPr>
              <w:t>53,497,620</w:t>
            </w:r>
          </w:p>
        </w:tc>
        <w:tc>
          <w:tcPr>
            <w:tcW w:w="3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jc w:val="right"/>
              <w:ind w:right="8"/>
              <w:spacing w:after="0" w:line="143"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20" w:type="dxa"/>
            <w:vAlign w:val="bottom"/>
          </w:tcPr>
          <w:p>
            <w:pPr>
              <w:jc w:val="right"/>
              <w:spacing w:after="0" w:line="143" w:lineRule="exact"/>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line="143" w:lineRule="exact"/>
              <w:rPr>
                <w:sz w:val="20"/>
                <w:szCs w:val="20"/>
                <w:color w:val="auto"/>
              </w:rPr>
            </w:pPr>
            <w:r>
              <w:rPr>
                <w:rFonts w:ascii="Arial" w:cs="Arial" w:eastAsia="Arial" w:hAnsi="Arial"/>
                <w:sz w:val="14"/>
                <w:szCs w:val="14"/>
                <w:color w:val="auto"/>
              </w:rPr>
              <w:t>53,497,620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2019 Notes</w:t>
            </w:r>
          </w:p>
        </w:tc>
        <w:tc>
          <w:tcPr>
            <w:tcW w:w="1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251,350,250</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251,350,250</w:t>
            </w:r>
          </w:p>
        </w:tc>
        <w:tc>
          <w:tcPr>
            <w:tcW w:w="0" w:type="dxa"/>
            <w:vAlign w:val="bottom"/>
          </w:tcPr>
          <w:p>
            <w:pPr>
              <w:spacing w:after="0"/>
              <w:rPr>
                <w:sz w:val="1"/>
                <w:szCs w:val="1"/>
                <w:color w:val="auto"/>
              </w:rPr>
            </w:pPr>
          </w:p>
        </w:tc>
      </w:tr>
      <w:tr>
        <w:trPr>
          <w:trHeight w:val="148"/>
        </w:trPr>
        <w:tc>
          <w:tcPr>
            <w:tcW w:w="4240" w:type="dxa"/>
            <w:vAlign w:val="bottom"/>
          </w:tcPr>
          <w:p>
            <w:pPr>
              <w:spacing w:after="0" w:line="149" w:lineRule="exact"/>
              <w:rPr>
                <w:sz w:val="20"/>
                <w:szCs w:val="20"/>
                <w:color w:val="auto"/>
              </w:rPr>
            </w:pPr>
            <w:r>
              <w:rPr>
                <w:rFonts w:ascii="Arial" w:cs="Arial" w:eastAsia="Arial" w:hAnsi="Arial"/>
                <w:sz w:val="14"/>
                <w:szCs w:val="14"/>
                <w:color w:val="auto"/>
              </w:rPr>
              <w:t>2025 Notes</w:t>
            </w:r>
          </w:p>
        </w:tc>
        <w:tc>
          <w:tcPr>
            <w:tcW w:w="1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71,820,000</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71,820,000</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24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Total debt</w:t>
            </w:r>
          </w:p>
        </w:tc>
        <w:tc>
          <w:tcPr>
            <w:tcW w:w="1960" w:type="dxa"/>
            <w:vAlign w:val="bottom"/>
            <w:gridSpan w:val="2"/>
            <w:shd w:val="clear" w:color="auto" w:fill="CCEEFF"/>
          </w:tcPr>
          <w:p>
            <w:pPr>
              <w:spacing w:after="0"/>
              <w:rPr>
                <w:sz w:val="12"/>
                <w:szCs w:val="12"/>
                <w:color w:val="auto"/>
              </w:rPr>
            </w:pP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376,667,870</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71,820,000</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304,847,870</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740" w:type="dxa"/>
            <w:vAlign w:val="bottom"/>
            <w:vMerge w:val="restart"/>
          </w:tcPr>
          <w:p>
            <w:pPr>
              <w:jc w:val="right"/>
              <w:ind w:right="208"/>
              <w:spacing w:after="0"/>
              <w:rPr>
                <w:sz w:val="20"/>
                <w:szCs w:val="20"/>
                <w:color w:val="auto"/>
              </w:rPr>
            </w:pPr>
            <w:r>
              <w:rPr>
                <w:rFonts w:ascii="Arial" w:cs="Arial" w:eastAsia="Arial" w:hAnsi="Arial"/>
                <w:sz w:val="14"/>
                <w:szCs w:val="14"/>
                <w:color w:val="auto"/>
              </w:rPr>
              <w:t>22</w:t>
            </w: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4240" w:type="dxa"/>
            <w:vAlign w:val="bottom"/>
          </w:tcPr>
          <w:p>
            <w:pPr>
              <w:spacing w:after="0"/>
              <w:rPr>
                <w:sz w:val="24"/>
                <w:szCs w:val="24"/>
                <w:color w:val="auto"/>
              </w:rPr>
            </w:pPr>
          </w:p>
        </w:tc>
        <w:tc>
          <w:tcPr>
            <w:tcW w:w="17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320" w:top="459" w:right="5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3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300"/>
        <w:spacing w:after="0" w:line="226" w:lineRule="auto"/>
        <w:rPr>
          <w:sz w:val="20"/>
          <w:szCs w:val="20"/>
          <w:color w:val="auto"/>
        </w:rPr>
      </w:pPr>
      <w:r>
        <w:rPr>
          <w:rFonts w:ascii="Arial" w:cs="Arial" w:eastAsia="Arial" w:hAnsi="Arial"/>
          <w:sz w:val="14"/>
          <w:szCs w:val="14"/>
          <w:b w:val="1"/>
          <w:bCs w:val="1"/>
          <w:color w:val="auto"/>
        </w:rPr>
        <w:t>NOTES TO CONSOLIDATED FINANCIAL STATEMENTS – (Continued)</w:t>
      </w:r>
    </w:p>
    <w:p>
      <w:pPr>
        <w:jc w:val="center"/>
        <w:ind w:right="-219"/>
        <w:spacing w:after="0" w:line="221" w:lineRule="auto"/>
        <w:rPr>
          <w:sz w:val="20"/>
          <w:szCs w:val="20"/>
          <w:color w:val="auto"/>
        </w:rPr>
      </w:pPr>
      <w:r>
        <w:rPr>
          <w:rFonts w:ascii="Arial" w:cs="Arial" w:eastAsia="Arial" w:hAnsi="Arial"/>
          <w:sz w:val="14"/>
          <w:szCs w:val="14"/>
          <w:b w:val="1"/>
          <w:bCs w:val="1"/>
          <w:color w:val="auto"/>
        </w:rPr>
        <w:t>DECEMBER 31, 2014</w:t>
      </w:r>
    </w:p>
    <w:p>
      <w:pPr>
        <w:spacing w:after="0" w:line="1" w:lineRule="exact"/>
        <w:rPr>
          <w:sz w:val="20"/>
          <w:szCs w:val="20"/>
          <w:color w:val="auto"/>
        </w:rPr>
      </w:pPr>
    </w:p>
    <w:p>
      <w:pPr>
        <w:jc w:val="center"/>
        <w:ind w:right="-219"/>
        <w:spacing w:after="0"/>
        <w:rPr>
          <w:sz w:val="20"/>
          <w:szCs w:val="20"/>
          <w:color w:val="auto"/>
        </w:rPr>
      </w:pPr>
      <w:r>
        <w:rPr>
          <w:rFonts w:ascii="Arial" w:cs="Arial" w:eastAsia="Arial" w:hAnsi="Arial"/>
          <w:sz w:val="14"/>
          <w:szCs w:val="14"/>
          <w:b w:val="1"/>
          <w:bCs w:val="1"/>
          <w:color w:val="auto"/>
        </w:rPr>
        <w:t>(Unaudited)</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4"/>
          <w:szCs w:val="14"/>
          <w:color w:val="auto"/>
        </w:rPr>
        <w:t>The tables below show a reconciliation of the beginning and ending balances for fair valued investments measured using significant unobservable inputs (Level 3):</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560" w:type="dxa"/>
            <w:vAlign w:val="bottom"/>
            <w:gridSpan w:val="9"/>
          </w:tcPr>
          <w:p>
            <w:pPr>
              <w:jc w:val="center"/>
              <w:ind w:right="260"/>
              <w:spacing w:after="0"/>
              <w:rPr>
                <w:sz w:val="20"/>
                <w:szCs w:val="20"/>
                <w:color w:val="auto"/>
              </w:rPr>
            </w:pPr>
            <w:r>
              <w:rPr>
                <w:rFonts w:ascii="Arial" w:cs="Arial" w:eastAsia="Arial" w:hAnsi="Arial"/>
                <w:sz w:val="13"/>
                <w:szCs w:val="13"/>
                <w:b w:val="1"/>
                <w:bCs w:val="1"/>
                <w:color w:val="auto"/>
                <w:w w:val="87"/>
              </w:rPr>
              <w:t>Three Months Ended December 31, 2014</w:t>
            </w:r>
          </w:p>
        </w:tc>
        <w:tc>
          <w:tcPr>
            <w:tcW w:w="0" w:type="dxa"/>
            <w:vAlign w:val="bottom"/>
          </w:tcPr>
          <w:p>
            <w:pPr>
              <w:spacing w:after="0"/>
              <w:rPr>
                <w:sz w:val="1"/>
                <w:szCs w:val="1"/>
                <w:color w:val="auto"/>
              </w:rPr>
            </w:pPr>
          </w:p>
        </w:tc>
      </w:tr>
      <w:tr>
        <w:trPr>
          <w:trHeight w:val="110"/>
        </w:trPr>
        <w:tc>
          <w:tcPr>
            <w:tcW w:w="73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Description</w:t>
            </w:r>
          </w:p>
        </w:tc>
        <w:tc>
          <w:tcPr>
            <w:tcW w:w="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100" w:type="dxa"/>
            <w:vAlign w:val="bottom"/>
            <w:tcBorders>
              <w:top w:val="single" w:sz="8" w:color="auto"/>
            </w:tcBorders>
            <w:gridSpan w:val="3"/>
          </w:tcPr>
          <w:p>
            <w:pPr>
              <w:jc w:val="center"/>
              <w:ind w:right="360"/>
              <w:spacing w:after="0" w:line="110" w:lineRule="exact"/>
              <w:rPr>
                <w:sz w:val="20"/>
                <w:szCs w:val="20"/>
                <w:color w:val="auto"/>
              </w:rPr>
            </w:pPr>
            <w:r>
              <w:rPr>
                <w:rFonts w:ascii="Arial" w:cs="Arial" w:eastAsia="Arial" w:hAnsi="Arial"/>
                <w:sz w:val="12"/>
                <w:szCs w:val="12"/>
                <w:b w:val="1"/>
                <w:bCs w:val="1"/>
                <w:color w:val="auto"/>
                <w:w w:val="97"/>
              </w:rPr>
              <w:t>Debt</w:t>
            </w:r>
          </w:p>
        </w:tc>
        <w:tc>
          <w:tcPr>
            <w:tcW w:w="160" w:type="dxa"/>
            <w:vAlign w:val="bottom"/>
            <w:tcBorders>
              <w:top w:val="single" w:sz="8" w:color="auto"/>
            </w:tcBorders>
          </w:tcPr>
          <w:p>
            <w:pPr>
              <w:spacing w:after="0"/>
              <w:rPr>
                <w:sz w:val="9"/>
                <w:szCs w:val="9"/>
                <w:color w:val="auto"/>
              </w:rPr>
            </w:pPr>
          </w:p>
        </w:tc>
        <w:tc>
          <w:tcPr>
            <w:tcW w:w="1140" w:type="dxa"/>
            <w:vAlign w:val="bottom"/>
            <w:tcBorders>
              <w:top w:val="single" w:sz="8" w:color="auto"/>
            </w:tcBorders>
            <w:gridSpan w:val="2"/>
          </w:tcPr>
          <w:p>
            <w:pPr>
              <w:jc w:val="center"/>
              <w:ind w:right="340"/>
              <w:spacing w:after="0" w:line="110" w:lineRule="exact"/>
              <w:rPr>
                <w:sz w:val="20"/>
                <w:szCs w:val="20"/>
                <w:color w:val="auto"/>
              </w:rPr>
            </w:pPr>
            <w:r>
              <w:rPr>
                <w:rFonts w:ascii="Arial" w:cs="Arial" w:eastAsia="Arial" w:hAnsi="Arial"/>
                <w:sz w:val="12"/>
                <w:szCs w:val="12"/>
                <w:b w:val="1"/>
                <w:bCs w:val="1"/>
                <w:color w:val="auto"/>
                <w:w w:val="98"/>
              </w:rPr>
              <w:t>Equity</w:t>
            </w:r>
          </w:p>
        </w:tc>
        <w:tc>
          <w:tcPr>
            <w:tcW w:w="160" w:type="dxa"/>
            <w:vAlign w:val="bottom"/>
            <w:tcBorders>
              <w:top w:val="single" w:sz="8" w:color="auto"/>
            </w:tcBorders>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732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3"/>
          </w:tcPr>
          <w:p>
            <w:pPr>
              <w:jc w:val="center"/>
              <w:ind w:right="340"/>
              <w:spacing w:after="0"/>
              <w:rPr>
                <w:sz w:val="20"/>
                <w:szCs w:val="20"/>
                <w:color w:val="auto"/>
              </w:rPr>
            </w:pPr>
            <w:r>
              <w:rPr>
                <w:rFonts w:ascii="Arial" w:cs="Arial" w:eastAsia="Arial" w:hAnsi="Arial"/>
                <w:sz w:val="13"/>
                <w:szCs w:val="13"/>
                <w:b w:val="1"/>
                <w:bCs w:val="1"/>
                <w:color w:val="auto"/>
                <w:w w:val="84"/>
              </w:rPr>
              <w:t>investments</w:t>
            </w:r>
          </w:p>
        </w:tc>
        <w:tc>
          <w:tcPr>
            <w:tcW w:w="160" w:type="dxa"/>
            <w:vAlign w:val="bottom"/>
          </w:tcPr>
          <w:p>
            <w:pPr>
              <w:spacing w:after="0"/>
              <w:rPr>
                <w:sz w:val="13"/>
                <w:szCs w:val="13"/>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4"/>
              </w:rPr>
              <w:t>investments</w:t>
            </w:r>
          </w:p>
        </w:tc>
        <w:tc>
          <w:tcPr>
            <w:tcW w:w="160" w:type="dxa"/>
            <w:vAlign w:val="bottom"/>
          </w:tcPr>
          <w:p>
            <w:pPr>
              <w:spacing w:after="0"/>
              <w:rPr>
                <w:sz w:val="13"/>
                <w:szCs w:val="13"/>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Totals</w:t>
            </w:r>
          </w:p>
        </w:tc>
        <w:tc>
          <w:tcPr>
            <w:tcW w:w="0" w:type="dxa"/>
            <w:vAlign w:val="bottom"/>
          </w:tcPr>
          <w:p>
            <w:pPr>
              <w:spacing w:after="0"/>
              <w:rPr>
                <w:sz w:val="1"/>
                <w:szCs w:val="1"/>
                <w:color w:val="auto"/>
              </w:rPr>
            </w:pPr>
          </w:p>
        </w:tc>
      </w:tr>
      <w:tr>
        <w:trPr>
          <w:trHeight w:val="142"/>
        </w:trPr>
        <w:tc>
          <w:tcPr>
            <w:tcW w:w="72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Beginning Balance</w:t>
            </w: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5"/>
                <w:szCs w:val="5"/>
                <w:color w:val="auto"/>
                <w:w w:val="70"/>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8"/>
              </w:rPr>
              <w:t>1,161,475,899</w:t>
            </w:r>
          </w:p>
        </w:tc>
        <w:tc>
          <w:tcPr>
            <w:tcW w:w="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111,862,237</w:t>
            </w:r>
          </w:p>
        </w:tc>
        <w:tc>
          <w:tcPr>
            <w:tcW w:w="2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8"/>
              </w:rPr>
              <w:t>1,273,338,136</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32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Net realized gains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495,299</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8,308,938</w:t>
            </w:r>
          </w:p>
        </w:tc>
        <w:tc>
          <w:tcPr>
            <w:tcW w:w="16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8,804,237</w:t>
            </w:r>
          </w:p>
        </w:tc>
        <w:tc>
          <w:tcPr>
            <w:tcW w:w="0" w:type="dxa"/>
            <w:vAlign w:val="bottom"/>
          </w:tcPr>
          <w:p>
            <w:pPr>
              <w:spacing w:after="0"/>
              <w:rPr>
                <w:sz w:val="1"/>
                <w:szCs w:val="1"/>
                <w:color w:val="auto"/>
              </w:rPr>
            </w:pPr>
          </w:p>
        </w:tc>
      </w:tr>
      <w:tr>
        <w:trPr>
          <w:trHeight w:val="148"/>
        </w:trPr>
        <w:tc>
          <w:tcPr>
            <w:tcW w:w="732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Net unrealized depreciation</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(47,106,810)</w:t>
            </w:r>
          </w:p>
        </w:tc>
        <w:tc>
          <w:tcPr>
            <w:tcW w:w="1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(1,622,841)</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(48,729,651)</w:t>
            </w:r>
          </w:p>
        </w:tc>
        <w:tc>
          <w:tcPr>
            <w:tcW w:w="0" w:type="dxa"/>
            <w:vAlign w:val="bottom"/>
          </w:tcPr>
          <w:p>
            <w:pPr>
              <w:spacing w:after="0"/>
              <w:rPr>
                <w:sz w:val="1"/>
                <w:szCs w:val="1"/>
                <w:color w:val="auto"/>
              </w:rPr>
            </w:pPr>
          </w:p>
        </w:tc>
      </w:tr>
      <w:tr>
        <w:trPr>
          <w:trHeight w:val="148"/>
        </w:trPr>
        <w:tc>
          <w:tcPr>
            <w:tcW w:w="732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Purchases, PIK interest, net discount accretion and non-cash exchanges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140,464,187</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5,704,999</w:t>
            </w:r>
          </w:p>
        </w:tc>
        <w:tc>
          <w:tcPr>
            <w:tcW w:w="16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146,169,186</w:t>
            </w:r>
          </w:p>
        </w:tc>
        <w:tc>
          <w:tcPr>
            <w:tcW w:w="0" w:type="dxa"/>
            <w:vAlign w:val="bottom"/>
          </w:tcPr>
          <w:p>
            <w:pPr>
              <w:spacing w:after="0"/>
              <w:rPr>
                <w:sz w:val="1"/>
                <w:szCs w:val="1"/>
                <w:color w:val="auto"/>
              </w:rPr>
            </w:pPr>
          </w:p>
        </w:tc>
      </w:tr>
      <w:tr>
        <w:trPr>
          <w:trHeight w:val="148"/>
        </w:trPr>
        <w:tc>
          <w:tcPr>
            <w:tcW w:w="732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Sales, repayments and non-cash exchanges</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(65,951,718)</w:t>
            </w:r>
          </w:p>
        </w:tc>
        <w:tc>
          <w:tcPr>
            <w:tcW w:w="1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(13,520,558)</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(79,472,276)</w:t>
            </w:r>
          </w:p>
        </w:tc>
        <w:tc>
          <w:tcPr>
            <w:tcW w:w="0" w:type="dxa"/>
            <w:vAlign w:val="bottom"/>
          </w:tcPr>
          <w:p>
            <w:pPr>
              <w:spacing w:after="0"/>
              <w:rPr>
                <w:sz w:val="1"/>
                <w:szCs w:val="1"/>
                <w:color w:val="auto"/>
              </w:rPr>
            </w:pPr>
          </w:p>
        </w:tc>
      </w:tr>
      <w:tr>
        <w:trPr>
          <w:trHeight w:val="148"/>
        </w:trPr>
        <w:tc>
          <w:tcPr>
            <w:tcW w:w="732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Transfers in/out of Level 3</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29,146,379</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29,146,379</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7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Ending Balance</w:t>
            </w:r>
          </w:p>
        </w:tc>
        <w:tc>
          <w:tcPr>
            <w:tcW w:w="140" w:type="dxa"/>
            <w:vAlign w:val="bottom"/>
            <w:gridSpan w:val="2"/>
            <w:shd w:val="clear" w:color="auto" w:fill="CCEEFF"/>
          </w:tcPr>
          <w:p>
            <w:pPr>
              <w:jc w:val="right"/>
              <w:ind w:right="54"/>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8"/>
              </w:rPr>
              <w:t>1,218,523,236</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110,732,775</w:t>
            </w: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8"/>
              </w:rPr>
              <w:t>1,329,256,011</w:t>
            </w:r>
          </w:p>
        </w:tc>
        <w:tc>
          <w:tcPr>
            <w:tcW w:w="0" w:type="dxa"/>
            <w:vAlign w:val="bottom"/>
          </w:tcPr>
          <w:p>
            <w:pPr>
              <w:spacing w:after="0"/>
              <w:rPr>
                <w:sz w:val="1"/>
                <w:szCs w:val="1"/>
                <w:color w:val="auto"/>
              </w:rPr>
            </w:pPr>
          </w:p>
        </w:tc>
      </w:tr>
      <w:tr>
        <w:trPr>
          <w:trHeight w:val="20"/>
        </w:trPr>
        <w:tc>
          <w:tcPr>
            <w:tcW w:w="7320" w:type="dxa"/>
            <w:vAlign w:val="bottom"/>
            <w:gridSpan w:val="2"/>
            <w:vMerge w:val="restart"/>
          </w:tcPr>
          <w:p>
            <w:pPr>
              <w:spacing w:after="0"/>
              <w:rPr>
                <w:sz w:val="20"/>
                <w:szCs w:val="20"/>
                <w:color w:val="auto"/>
              </w:rPr>
            </w:pPr>
            <w:r>
              <w:rPr>
                <w:rFonts w:ascii="Arial" w:cs="Arial" w:eastAsia="Arial" w:hAnsi="Arial"/>
                <w:sz w:val="14"/>
                <w:szCs w:val="14"/>
                <w:color w:val="auto"/>
                <w:w w:val="94"/>
              </w:rPr>
              <w:t>Net change in unrealized (depreciation) appreciation reported within the net change in unrealized (depreciation) appreciation</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732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7320" w:type="dxa"/>
            <w:vAlign w:val="bottom"/>
            <w:gridSpan w:val="2"/>
          </w:tcPr>
          <w:p>
            <w:pPr>
              <w:ind w:left="300"/>
              <w:spacing w:after="0" w:line="149" w:lineRule="exact"/>
              <w:rPr>
                <w:sz w:val="20"/>
                <w:szCs w:val="20"/>
                <w:color w:val="auto"/>
              </w:rPr>
            </w:pPr>
            <w:r>
              <w:rPr>
                <w:rFonts w:ascii="Arial" w:cs="Arial" w:eastAsia="Arial" w:hAnsi="Arial"/>
                <w:sz w:val="14"/>
                <w:szCs w:val="14"/>
                <w:color w:val="auto"/>
                <w:w w:val="95"/>
              </w:rPr>
              <w:t>on investments in our Consolidated Statement of Operations attributable to our Level 3 assets still held at the reporting</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320" w:type="dxa"/>
            <w:vAlign w:val="bottom"/>
            <w:gridSpan w:val="2"/>
          </w:tcPr>
          <w:p>
            <w:pPr>
              <w:ind w:left="300"/>
              <w:spacing w:after="0"/>
              <w:rPr>
                <w:sz w:val="20"/>
                <w:szCs w:val="20"/>
                <w:color w:val="auto"/>
              </w:rPr>
            </w:pPr>
            <w:r>
              <w:rPr>
                <w:rFonts w:ascii="Arial" w:cs="Arial" w:eastAsia="Arial" w:hAnsi="Arial"/>
                <w:sz w:val="14"/>
                <w:szCs w:val="14"/>
                <w:color w:val="auto"/>
              </w:rPr>
              <w:t>date.</w:t>
            </w:r>
          </w:p>
        </w:tc>
        <w:tc>
          <w:tcPr>
            <w:tcW w:w="140" w:type="dxa"/>
            <w:vAlign w:val="bottom"/>
            <w:gridSpan w:val="2"/>
          </w:tcPr>
          <w:p>
            <w:pPr>
              <w:jc w:val="right"/>
              <w:ind w:right="54"/>
              <w:spacing w:after="0"/>
              <w:rPr>
                <w:sz w:val="20"/>
                <w:szCs w:val="20"/>
                <w:color w:val="auto"/>
              </w:rPr>
            </w:pPr>
            <w:r>
              <w:rPr>
                <w:rFonts w:ascii="Arial" w:cs="Arial" w:eastAsia="Arial" w:hAnsi="Arial"/>
                <w:sz w:val="10"/>
                <w:szCs w:val="10"/>
                <w:color w:val="auto"/>
                <w:w w:val="71"/>
              </w:rPr>
              <w:t>$</w:t>
            </w:r>
          </w:p>
        </w:tc>
        <w:tc>
          <w:tcPr>
            <w:tcW w:w="1100" w:type="dxa"/>
            <w:vAlign w:val="bottom"/>
            <w:gridSpan w:val="3"/>
          </w:tcPr>
          <w:p>
            <w:pPr>
              <w:jc w:val="right"/>
              <w:ind w:right="140"/>
              <w:spacing w:after="0"/>
              <w:rPr>
                <w:sz w:val="20"/>
                <w:szCs w:val="20"/>
                <w:color w:val="auto"/>
              </w:rPr>
            </w:pPr>
            <w:r>
              <w:rPr>
                <w:rFonts w:ascii="Arial" w:cs="Arial" w:eastAsia="Arial" w:hAnsi="Arial"/>
                <w:sz w:val="14"/>
                <w:szCs w:val="14"/>
                <w:color w:val="auto"/>
              </w:rPr>
              <w:t>(47,853,929)</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3,534,841</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(44,319,088)</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7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60" w:type="dxa"/>
            <w:vAlign w:val="bottom"/>
            <w:gridSpan w:val="9"/>
          </w:tcPr>
          <w:p>
            <w:pPr>
              <w:jc w:val="center"/>
              <w:ind w:right="260"/>
              <w:spacing w:after="0"/>
              <w:rPr>
                <w:sz w:val="20"/>
                <w:szCs w:val="20"/>
                <w:color w:val="auto"/>
              </w:rPr>
            </w:pPr>
            <w:r>
              <w:rPr>
                <w:rFonts w:ascii="Arial" w:cs="Arial" w:eastAsia="Arial" w:hAnsi="Arial"/>
                <w:sz w:val="13"/>
                <w:szCs w:val="13"/>
                <w:b w:val="1"/>
                <w:bCs w:val="1"/>
                <w:color w:val="auto"/>
                <w:w w:val="87"/>
              </w:rPr>
              <w:t>Three Months Ended December 31, 2013</w:t>
            </w:r>
          </w:p>
        </w:tc>
        <w:tc>
          <w:tcPr>
            <w:tcW w:w="0" w:type="dxa"/>
            <w:vAlign w:val="bottom"/>
          </w:tcPr>
          <w:p>
            <w:pPr>
              <w:spacing w:after="0"/>
              <w:rPr>
                <w:sz w:val="1"/>
                <w:szCs w:val="1"/>
                <w:color w:val="auto"/>
              </w:rPr>
            </w:pPr>
          </w:p>
        </w:tc>
      </w:tr>
      <w:tr>
        <w:trPr>
          <w:trHeight w:val="110"/>
        </w:trPr>
        <w:tc>
          <w:tcPr>
            <w:tcW w:w="73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Description</w:t>
            </w:r>
          </w:p>
        </w:tc>
        <w:tc>
          <w:tcPr>
            <w:tcW w:w="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100" w:type="dxa"/>
            <w:vAlign w:val="bottom"/>
            <w:tcBorders>
              <w:top w:val="single" w:sz="8" w:color="auto"/>
            </w:tcBorders>
            <w:gridSpan w:val="3"/>
          </w:tcPr>
          <w:p>
            <w:pPr>
              <w:jc w:val="center"/>
              <w:ind w:right="360"/>
              <w:spacing w:after="0" w:line="110" w:lineRule="exact"/>
              <w:rPr>
                <w:sz w:val="20"/>
                <w:szCs w:val="20"/>
                <w:color w:val="auto"/>
              </w:rPr>
            </w:pPr>
            <w:r>
              <w:rPr>
                <w:rFonts w:ascii="Arial" w:cs="Arial" w:eastAsia="Arial" w:hAnsi="Arial"/>
                <w:sz w:val="12"/>
                <w:szCs w:val="12"/>
                <w:b w:val="1"/>
                <w:bCs w:val="1"/>
                <w:color w:val="auto"/>
                <w:w w:val="97"/>
              </w:rPr>
              <w:t>Debt</w:t>
            </w:r>
          </w:p>
        </w:tc>
        <w:tc>
          <w:tcPr>
            <w:tcW w:w="160" w:type="dxa"/>
            <w:vAlign w:val="bottom"/>
            <w:tcBorders>
              <w:top w:val="single" w:sz="8" w:color="auto"/>
            </w:tcBorders>
          </w:tcPr>
          <w:p>
            <w:pPr>
              <w:spacing w:after="0"/>
              <w:rPr>
                <w:sz w:val="9"/>
                <w:szCs w:val="9"/>
                <w:color w:val="auto"/>
              </w:rPr>
            </w:pPr>
          </w:p>
        </w:tc>
        <w:tc>
          <w:tcPr>
            <w:tcW w:w="1140" w:type="dxa"/>
            <w:vAlign w:val="bottom"/>
            <w:tcBorders>
              <w:top w:val="single" w:sz="8" w:color="auto"/>
            </w:tcBorders>
            <w:gridSpan w:val="2"/>
          </w:tcPr>
          <w:p>
            <w:pPr>
              <w:jc w:val="center"/>
              <w:ind w:right="340"/>
              <w:spacing w:after="0" w:line="110" w:lineRule="exact"/>
              <w:rPr>
                <w:sz w:val="20"/>
                <w:szCs w:val="20"/>
                <w:color w:val="auto"/>
              </w:rPr>
            </w:pPr>
            <w:r>
              <w:rPr>
                <w:rFonts w:ascii="Arial" w:cs="Arial" w:eastAsia="Arial" w:hAnsi="Arial"/>
                <w:sz w:val="12"/>
                <w:szCs w:val="12"/>
                <w:b w:val="1"/>
                <w:bCs w:val="1"/>
                <w:color w:val="auto"/>
                <w:w w:val="98"/>
              </w:rPr>
              <w:t>Equity</w:t>
            </w:r>
          </w:p>
        </w:tc>
        <w:tc>
          <w:tcPr>
            <w:tcW w:w="160" w:type="dxa"/>
            <w:vAlign w:val="bottom"/>
            <w:tcBorders>
              <w:top w:val="single" w:sz="8" w:color="auto"/>
            </w:tcBorders>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732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3"/>
          </w:tcPr>
          <w:p>
            <w:pPr>
              <w:jc w:val="center"/>
              <w:ind w:right="340"/>
              <w:spacing w:after="0"/>
              <w:rPr>
                <w:sz w:val="20"/>
                <w:szCs w:val="20"/>
                <w:color w:val="auto"/>
              </w:rPr>
            </w:pPr>
            <w:r>
              <w:rPr>
                <w:rFonts w:ascii="Arial" w:cs="Arial" w:eastAsia="Arial" w:hAnsi="Arial"/>
                <w:sz w:val="13"/>
                <w:szCs w:val="13"/>
                <w:b w:val="1"/>
                <w:bCs w:val="1"/>
                <w:color w:val="auto"/>
                <w:w w:val="84"/>
              </w:rPr>
              <w:t>investments</w:t>
            </w:r>
          </w:p>
        </w:tc>
        <w:tc>
          <w:tcPr>
            <w:tcW w:w="160" w:type="dxa"/>
            <w:vAlign w:val="bottom"/>
          </w:tcPr>
          <w:p>
            <w:pPr>
              <w:spacing w:after="0"/>
              <w:rPr>
                <w:sz w:val="13"/>
                <w:szCs w:val="13"/>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4"/>
              </w:rPr>
              <w:t>investments</w:t>
            </w:r>
          </w:p>
        </w:tc>
        <w:tc>
          <w:tcPr>
            <w:tcW w:w="160" w:type="dxa"/>
            <w:vAlign w:val="bottom"/>
          </w:tcPr>
          <w:p>
            <w:pPr>
              <w:spacing w:after="0"/>
              <w:rPr>
                <w:sz w:val="13"/>
                <w:szCs w:val="13"/>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Totals</w:t>
            </w:r>
          </w:p>
        </w:tc>
        <w:tc>
          <w:tcPr>
            <w:tcW w:w="0" w:type="dxa"/>
            <w:vAlign w:val="bottom"/>
          </w:tcPr>
          <w:p>
            <w:pPr>
              <w:spacing w:after="0"/>
              <w:rPr>
                <w:sz w:val="1"/>
                <w:szCs w:val="1"/>
                <w:color w:val="auto"/>
              </w:rPr>
            </w:pPr>
          </w:p>
        </w:tc>
      </w:tr>
      <w:tr>
        <w:trPr>
          <w:trHeight w:val="142"/>
        </w:trPr>
        <w:tc>
          <w:tcPr>
            <w:tcW w:w="72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Beginning Balance</w:t>
            </w: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5"/>
                <w:szCs w:val="5"/>
                <w:color w:val="auto"/>
                <w:w w:val="70"/>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915,414,415</w:t>
            </w:r>
          </w:p>
        </w:tc>
        <w:tc>
          <w:tcPr>
            <w:tcW w:w="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110,923,751</w:t>
            </w:r>
          </w:p>
        </w:tc>
        <w:tc>
          <w:tcPr>
            <w:tcW w:w="2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8"/>
              </w:rPr>
              <w:t>1,026,338,166</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32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Net realized gains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3,942,358</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27,862</w:t>
            </w:r>
          </w:p>
        </w:tc>
        <w:tc>
          <w:tcPr>
            <w:tcW w:w="16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3,970,220</w:t>
            </w:r>
          </w:p>
        </w:tc>
        <w:tc>
          <w:tcPr>
            <w:tcW w:w="0" w:type="dxa"/>
            <w:vAlign w:val="bottom"/>
          </w:tcPr>
          <w:p>
            <w:pPr>
              <w:spacing w:after="0"/>
              <w:rPr>
                <w:sz w:val="1"/>
                <w:szCs w:val="1"/>
                <w:color w:val="auto"/>
              </w:rPr>
            </w:pPr>
          </w:p>
        </w:tc>
      </w:tr>
      <w:tr>
        <w:trPr>
          <w:trHeight w:val="148"/>
        </w:trPr>
        <w:tc>
          <w:tcPr>
            <w:tcW w:w="732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Net unrealized appreciation (depreciation)</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28,198</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(315,010)</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(286,812)</w:t>
            </w:r>
          </w:p>
        </w:tc>
        <w:tc>
          <w:tcPr>
            <w:tcW w:w="0" w:type="dxa"/>
            <w:vAlign w:val="bottom"/>
          </w:tcPr>
          <w:p>
            <w:pPr>
              <w:spacing w:after="0"/>
              <w:rPr>
                <w:sz w:val="1"/>
                <w:szCs w:val="1"/>
                <w:color w:val="auto"/>
              </w:rPr>
            </w:pPr>
          </w:p>
        </w:tc>
      </w:tr>
      <w:tr>
        <w:trPr>
          <w:trHeight w:val="148"/>
        </w:trPr>
        <w:tc>
          <w:tcPr>
            <w:tcW w:w="732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Purchases, PIK interest, net discount accretion and non-cash exchanges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230,540,785</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9,961,278</w:t>
            </w:r>
          </w:p>
        </w:tc>
        <w:tc>
          <w:tcPr>
            <w:tcW w:w="16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240,502,063</w:t>
            </w:r>
          </w:p>
        </w:tc>
        <w:tc>
          <w:tcPr>
            <w:tcW w:w="0" w:type="dxa"/>
            <w:vAlign w:val="bottom"/>
          </w:tcPr>
          <w:p>
            <w:pPr>
              <w:spacing w:after="0"/>
              <w:rPr>
                <w:sz w:val="1"/>
                <w:szCs w:val="1"/>
                <w:color w:val="auto"/>
              </w:rPr>
            </w:pPr>
          </w:p>
        </w:tc>
      </w:tr>
      <w:tr>
        <w:trPr>
          <w:trHeight w:val="148"/>
        </w:trPr>
        <w:tc>
          <w:tcPr>
            <w:tcW w:w="732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Sales, repayments and non-cash exchanges</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(129,118,109)</w:t>
            </w:r>
          </w:p>
        </w:tc>
        <w:tc>
          <w:tcPr>
            <w:tcW w:w="1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(1,726,536)</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(130,844,645)</w:t>
            </w:r>
          </w:p>
        </w:tc>
        <w:tc>
          <w:tcPr>
            <w:tcW w:w="0" w:type="dxa"/>
            <w:vAlign w:val="bottom"/>
          </w:tcPr>
          <w:p>
            <w:pPr>
              <w:spacing w:after="0"/>
              <w:rPr>
                <w:sz w:val="1"/>
                <w:szCs w:val="1"/>
                <w:color w:val="auto"/>
              </w:rPr>
            </w:pPr>
          </w:p>
        </w:tc>
      </w:tr>
      <w:tr>
        <w:trPr>
          <w:trHeight w:val="148"/>
        </w:trPr>
        <w:tc>
          <w:tcPr>
            <w:tcW w:w="732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Transfers in/out of Level 3</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1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7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Ending Balance</w:t>
            </w:r>
          </w:p>
        </w:tc>
        <w:tc>
          <w:tcPr>
            <w:tcW w:w="140" w:type="dxa"/>
            <w:vAlign w:val="bottom"/>
            <w:gridSpan w:val="2"/>
            <w:shd w:val="clear" w:color="auto" w:fill="CCEEFF"/>
          </w:tcPr>
          <w:p>
            <w:pPr>
              <w:jc w:val="right"/>
              <w:ind w:right="54"/>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8"/>
              </w:rPr>
              <w:t>1,020,807,647</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118,871,345</w:t>
            </w: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8"/>
              </w:rPr>
              <w:t>1,139,678,992</w:t>
            </w:r>
          </w:p>
        </w:tc>
        <w:tc>
          <w:tcPr>
            <w:tcW w:w="0" w:type="dxa"/>
            <w:vAlign w:val="bottom"/>
          </w:tcPr>
          <w:p>
            <w:pPr>
              <w:spacing w:after="0"/>
              <w:rPr>
                <w:sz w:val="1"/>
                <w:szCs w:val="1"/>
                <w:color w:val="auto"/>
              </w:rPr>
            </w:pPr>
          </w:p>
        </w:tc>
      </w:tr>
      <w:tr>
        <w:trPr>
          <w:trHeight w:val="20"/>
        </w:trPr>
        <w:tc>
          <w:tcPr>
            <w:tcW w:w="7320" w:type="dxa"/>
            <w:vAlign w:val="bottom"/>
            <w:gridSpan w:val="2"/>
            <w:vMerge w:val="restart"/>
          </w:tcPr>
          <w:p>
            <w:pPr>
              <w:spacing w:after="0"/>
              <w:rPr>
                <w:sz w:val="20"/>
                <w:szCs w:val="20"/>
                <w:color w:val="auto"/>
              </w:rPr>
            </w:pPr>
            <w:r>
              <w:rPr>
                <w:rFonts w:ascii="Arial" w:cs="Arial" w:eastAsia="Arial" w:hAnsi="Arial"/>
                <w:sz w:val="14"/>
                <w:szCs w:val="14"/>
                <w:color w:val="auto"/>
                <w:w w:val="94"/>
              </w:rPr>
              <w:t>Net change in unrealized appreciation (depreciation) reported within the net change in unrealized appreciation (depreciation)</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732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7320" w:type="dxa"/>
            <w:vAlign w:val="bottom"/>
            <w:gridSpan w:val="2"/>
          </w:tcPr>
          <w:p>
            <w:pPr>
              <w:ind w:left="300"/>
              <w:spacing w:after="0" w:line="149" w:lineRule="exact"/>
              <w:rPr>
                <w:sz w:val="20"/>
                <w:szCs w:val="20"/>
                <w:color w:val="auto"/>
              </w:rPr>
            </w:pPr>
            <w:r>
              <w:rPr>
                <w:rFonts w:ascii="Arial" w:cs="Arial" w:eastAsia="Arial" w:hAnsi="Arial"/>
                <w:sz w:val="14"/>
                <w:szCs w:val="14"/>
                <w:color w:val="auto"/>
                <w:w w:val="95"/>
              </w:rPr>
              <w:t>on investments in our Consolidated Statement of Operations attributable to our Level 3 assets still held at the reporting</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320" w:type="dxa"/>
            <w:vAlign w:val="bottom"/>
            <w:gridSpan w:val="2"/>
          </w:tcPr>
          <w:p>
            <w:pPr>
              <w:ind w:left="300"/>
              <w:spacing w:after="0"/>
              <w:rPr>
                <w:sz w:val="20"/>
                <w:szCs w:val="20"/>
                <w:color w:val="auto"/>
              </w:rPr>
            </w:pPr>
            <w:r>
              <w:rPr>
                <w:rFonts w:ascii="Arial" w:cs="Arial" w:eastAsia="Arial" w:hAnsi="Arial"/>
                <w:sz w:val="14"/>
                <w:szCs w:val="14"/>
                <w:color w:val="auto"/>
              </w:rPr>
              <w:t>date.</w:t>
            </w:r>
          </w:p>
        </w:tc>
        <w:tc>
          <w:tcPr>
            <w:tcW w:w="140" w:type="dxa"/>
            <w:vAlign w:val="bottom"/>
            <w:gridSpan w:val="2"/>
          </w:tcPr>
          <w:p>
            <w:pPr>
              <w:jc w:val="right"/>
              <w:ind w:right="54"/>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5,968,997</w:t>
            </w:r>
          </w:p>
        </w:tc>
        <w:tc>
          <w:tcPr>
            <w:tcW w:w="18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(315,010)</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5,653,987</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Arial" w:cs="Arial" w:eastAsia="Arial" w:hAnsi="Arial"/>
          <w:sz w:val="14"/>
          <w:szCs w:val="14"/>
          <w:color w:val="auto"/>
        </w:rPr>
        <w:t>The table below shows a reconciliation of the beginning and ending balances for fair valued liabilities measured using significant unobservable inputs (Level 3):</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08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340" w:type="dxa"/>
            <w:vAlign w:val="bottom"/>
            <w:gridSpan w:val="6"/>
          </w:tcPr>
          <w:p>
            <w:pPr>
              <w:jc w:val="right"/>
              <w:ind w:right="720"/>
              <w:spacing w:after="0"/>
              <w:rPr>
                <w:sz w:val="20"/>
                <w:szCs w:val="20"/>
                <w:color w:val="auto"/>
              </w:rPr>
            </w:pPr>
            <w:r>
              <w:rPr>
                <w:rFonts w:ascii="Arial" w:cs="Arial" w:eastAsia="Arial" w:hAnsi="Arial"/>
                <w:sz w:val="13"/>
                <w:szCs w:val="13"/>
                <w:b w:val="1"/>
                <w:bCs w:val="1"/>
                <w:color w:val="auto"/>
              </w:rPr>
              <w:t>Carrying / Fair Value</w:t>
            </w:r>
          </w:p>
        </w:tc>
        <w:tc>
          <w:tcPr>
            <w:tcW w:w="0" w:type="dxa"/>
            <w:vAlign w:val="bottom"/>
          </w:tcPr>
          <w:p>
            <w:pPr>
              <w:spacing w:after="0"/>
              <w:rPr>
                <w:sz w:val="1"/>
                <w:szCs w:val="1"/>
                <w:color w:val="auto"/>
              </w:rPr>
            </w:pPr>
          </w:p>
        </w:tc>
      </w:tr>
      <w:tr>
        <w:trPr>
          <w:trHeight w:val="129"/>
        </w:trPr>
        <w:tc>
          <w:tcPr>
            <w:tcW w:w="82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Long-Term Credit Facility and 2019 Notes</w:t>
            </w:r>
          </w:p>
        </w:tc>
        <w:tc>
          <w:tcPr>
            <w:tcW w:w="2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2240" w:type="dxa"/>
            <w:vAlign w:val="bottom"/>
            <w:tcBorders>
              <w:top w:val="single" w:sz="8" w:color="auto"/>
              <w:bottom w:val="single" w:sz="8" w:color="auto"/>
            </w:tcBorders>
            <w:gridSpan w:val="5"/>
          </w:tcPr>
          <w:p>
            <w:pPr>
              <w:jc w:val="right"/>
              <w:ind w:right="169"/>
              <w:spacing w:after="0" w:line="129" w:lineRule="exact"/>
              <w:rPr>
                <w:sz w:val="20"/>
                <w:szCs w:val="20"/>
                <w:color w:val="auto"/>
              </w:rPr>
            </w:pPr>
            <w:r>
              <w:rPr>
                <w:rFonts w:ascii="Arial" w:cs="Arial" w:eastAsia="Arial" w:hAnsi="Arial"/>
                <w:sz w:val="13"/>
                <w:szCs w:val="13"/>
                <w:b w:val="1"/>
                <w:bCs w:val="1"/>
                <w:color w:val="auto"/>
                <w:w w:val="91"/>
              </w:rPr>
              <w:t>Three Months Ended December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28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jc w:val="right"/>
              <w:ind w:right="370"/>
              <w:spacing w:after="0" w:line="129" w:lineRule="exact"/>
              <w:rPr>
                <w:sz w:val="20"/>
                <w:szCs w:val="20"/>
                <w:color w:val="auto"/>
              </w:rPr>
            </w:pPr>
            <w:r>
              <w:rPr>
                <w:rFonts w:ascii="Arial" w:cs="Arial" w:eastAsia="Arial" w:hAnsi="Arial"/>
                <w:sz w:val="13"/>
                <w:szCs w:val="13"/>
                <w:b w:val="1"/>
                <w:bCs w:val="1"/>
                <w:color w:val="auto"/>
              </w:rPr>
              <w:t>2014</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jc w:val="right"/>
              <w:ind w:right="349"/>
              <w:spacing w:after="0" w:line="129" w:lineRule="exact"/>
              <w:rPr>
                <w:sz w:val="20"/>
                <w:szCs w:val="20"/>
                <w:color w:val="auto"/>
              </w:rPr>
            </w:pPr>
            <w:r>
              <w:rPr>
                <w:rFonts w:ascii="Arial" w:cs="Arial" w:eastAsia="Arial" w:hAnsi="Arial"/>
                <w:sz w:val="13"/>
                <w:szCs w:val="13"/>
                <w:b w:val="1"/>
                <w:bCs w:val="1"/>
                <w:color w:val="auto"/>
              </w:rPr>
              <w:t>2013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0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89"/>
              </w:rPr>
              <w:t>Beginning Balance (cost – $305,226,300 and $117,500,000, respectively)</w:t>
            </w:r>
          </w:p>
        </w:tc>
        <w:tc>
          <w:tcPr>
            <w:tcW w:w="42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304,847,870</w:t>
            </w: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117,500,000</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2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Net change in unrealized depreciation included in earnings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(2,740,127)</w:t>
            </w:r>
          </w:p>
        </w:tc>
        <w:tc>
          <w:tcPr>
            <w:tcW w:w="20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82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 xml:space="preserve">Borrowings </w:t>
            </w:r>
            <w:r>
              <w:rPr>
                <w:rFonts w:ascii="Arial" w:cs="Arial" w:eastAsia="Arial" w:hAnsi="Arial"/>
                <w:sz w:val="12"/>
                <w:szCs w:val="12"/>
                <w:color w:val="auto"/>
              </w:rPr>
              <w:t>(1)</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116,000,000</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222,500,000</w:t>
            </w:r>
          </w:p>
        </w:tc>
        <w:tc>
          <w:tcPr>
            <w:tcW w:w="0" w:type="dxa"/>
            <w:vAlign w:val="bottom"/>
          </w:tcPr>
          <w:p>
            <w:pPr>
              <w:spacing w:after="0"/>
              <w:rPr>
                <w:sz w:val="1"/>
                <w:szCs w:val="1"/>
                <w:color w:val="auto"/>
              </w:rPr>
            </w:pPr>
          </w:p>
        </w:tc>
      </w:tr>
      <w:tr>
        <w:trPr>
          <w:trHeight w:val="149"/>
        </w:trPr>
        <w:tc>
          <w:tcPr>
            <w:tcW w:w="82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 xml:space="preserve">Repayments </w:t>
            </w:r>
            <w:r>
              <w:rPr>
                <w:rFonts w:ascii="Arial" w:cs="Arial" w:eastAsia="Arial" w:hAnsi="Arial"/>
                <w:sz w:val="12"/>
                <w:szCs w:val="12"/>
                <w:color w:val="auto"/>
              </w:rPr>
              <w:t>(1)</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(53,344,800)</w:t>
            </w:r>
          </w:p>
        </w:tc>
        <w:tc>
          <w:tcPr>
            <w:tcW w:w="200" w:type="dxa"/>
            <w:vAlign w:val="bottom"/>
          </w:tcPr>
          <w:p>
            <w:pPr>
              <w:spacing w:after="0"/>
              <w:rPr>
                <w:sz w:val="12"/>
                <w:szCs w:val="12"/>
                <w:color w:val="auto"/>
              </w:rPr>
            </w:pPr>
          </w:p>
        </w:tc>
        <w:tc>
          <w:tcPr>
            <w:tcW w:w="10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(112,000,000)</w:t>
            </w:r>
          </w:p>
        </w:tc>
        <w:tc>
          <w:tcPr>
            <w:tcW w:w="0" w:type="dxa"/>
            <w:vAlign w:val="bottom"/>
          </w:tcPr>
          <w:p>
            <w:pPr>
              <w:spacing w:after="0"/>
              <w:rPr>
                <w:sz w:val="1"/>
                <w:szCs w:val="1"/>
                <w:color w:val="auto"/>
              </w:rPr>
            </w:pPr>
          </w:p>
        </w:tc>
      </w:tr>
      <w:tr>
        <w:trPr>
          <w:trHeight w:val="148"/>
        </w:trPr>
        <w:tc>
          <w:tcPr>
            <w:tcW w:w="82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Transfers in and/or out of Level 3</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8280" w:type="dxa"/>
            <w:vAlign w:val="bottom"/>
            <w:gridSpan w:val="2"/>
          </w:tcPr>
          <w:p>
            <w:pPr>
              <w:spacing w:after="0" w:line="155" w:lineRule="exact"/>
              <w:rPr>
                <w:sz w:val="20"/>
                <w:szCs w:val="20"/>
                <w:color w:val="auto"/>
              </w:rPr>
            </w:pPr>
            <w:r>
              <w:rPr>
                <w:rFonts w:ascii="Arial" w:cs="Arial" w:eastAsia="Arial" w:hAnsi="Arial"/>
                <w:sz w:val="14"/>
                <w:szCs w:val="14"/>
                <w:color w:val="auto"/>
              </w:rPr>
              <w:t>Ending Balance (cost – $367,881,500 and $228,000,000, respectively)</w:t>
            </w:r>
          </w:p>
        </w:tc>
        <w:tc>
          <w:tcPr>
            <w:tcW w:w="20" w:type="dxa"/>
            <w:vAlign w:val="bottom"/>
          </w:tcPr>
          <w:p>
            <w:pPr>
              <w:spacing w:after="0"/>
              <w:rPr>
                <w:sz w:val="13"/>
                <w:szCs w:val="13"/>
                <w:color w:val="auto"/>
              </w:rPr>
            </w:pPr>
          </w:p>
        </w:tc>
        <w:tc>
          <w:tcPr>
            <w:tcW w:w="140" w:type="dxa"/>
            <w:vAlign w:val="bottom"/>
            <w:tcBorders>
              <w:top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364,762,943</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Borders>
              <w:top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228,000,000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82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Temporary draws outstanding, at cost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8,000,000</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12,000,000</w:t>
            </w:r>
          </w:p>
        </w:tc>
        <w:tc>
          <w:tcPr>
            <w:tcW w:w="0" w:type="dxa"/>
            <w:vAlign w:val="bottom"/>
          </w:tcPr>
          <w:p>
            <w:pPr>
              <w:spacing w:after="0"/>
              <w:rPr>
                <w:sz w:val="1"/>
                <w:szCs w:val="1"/>
                <w:color w:val="auto"/>
              </w:rPr>
            </w:pPr>
          </w:p>
        </w:tc>
      </w:tr>
      <w:tr>
        <w:trPr>
          <w:trHeight w:val="155"/>
        </w:trPr>
        <w:tc>
          <w:tcPr>
            <w:tcW w:w="8280" w:type="dxa"/>
            <w:vAlign w:val="bottom"/>
            <w:gridSpan w:val="2"/>
          </w:tcPr>
          <w:p>
            <w:pPr>
              <w:spacing w:after="0" w:line="155" w:lineRule="exact"/>
              <w:rPr>
                <w:sz w:val="20"/>
                <w:szCs w:val="20"/>
                <w:color w:val="auto"/>
              </w:rPr>
            </w:pPr>
            <w:r>
              <w:rPr>
                <w:rFonts w:ascii="Arial" w:cs="Arial" w:eastAsia="Arial" w:hAnsi="Arial"/>
                <w:sz w:val="14"/>
                <w:szCs w:val="14"/>
                <w:color w:val="auto"/>
              </w:rPr>
              <w:t>Ending Balance (cost – $375,881,500 and $240,000,000, respectively)</w:t>
            </w:r>
          </w:p>
        </w:tc>
        <w:tc>
          <w:tcPr>
            <w:tcW w:w="20" w:type="dxa"/>
            <w:vAlign w:val="bottom"/>
            <w:tcBorders>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372,762,943</w:t>
            </w:r>
          </w:p>
        </w:tc>
        <w:tc>
          <w:tcPr>
            <w:tcW w:w="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240,000,000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185166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851660" cy="8890"/>
                    </a:xfrm>
                    <a:prstGeom prst="rect">
                      <a:avLst/>
                    </a:prstGeom>
                    <a:noFill/>
                  </pic:spPr>
                </pic:pic>
              </a:graphicData>
            </a:graphic>
          </wp:anchor>
        </w:drawing>
      </w:r>
    </w:p>
    <w:p>
      <w:pPr>
        <w:spacing w:after="0" w:line="164" w:lineRule="exact"/>
        <w:rPr>
          <w:sz w:val="20"/>
          <w:szCs w:val="20"/>
          <w:color w:val="auto"/>
        </w:rPr>
      </w:pPr>
    </w:p>
    <w:p>
      <w:pPr>
        <w:spacing w:after="0"/>
        <w:tabs>
          <w:tab w:leader="none" w:pos="320" w:val="left"/>
        </w:tabs>
        <w:rPr>
          <w:sz w:val="20"/>
          <w:szCs w:val="20"/>
          <w:color w:val="auto"/>
        </w:rPr>
      </w:pPr>
      <w:r>
        <w:rPr>
          <w:rFonts w:ascii="Arial" w:cs="Arial" w:eastAsia="Arial" w:hAnsi="Arial"/>
          <w:sz w:val="12"/>
          <w:szCs w:val="12"/>
          <w:color w:val="auto"/>
        </w:rPr>
        <w:t>(1)</w:t>
      </w:r>
      <w:r>
        <w:rPr>
          <w:sz w:val="20"/>
          <w:szCs w:val="20"/>
          <w:color w:val="auto"/>
        </w:rPr>
        <w:tab/>
      </w:r>
      <w:r>
        <w:rPr>
          <w:rFonts w:ascii="Arial" w:cs="Arial" w:eastAsia="Arial" w:hAnsi="Arial"/>
          <w:sz w:val="14"/>
          <w:szCs w:val="14"/>
          <w:color w:val="auto"/>
        </w:rPr>
        <w:t>Excludes temporary draws.</w:t>
      </w:r>
    </w:p>
    <w:p>
      <w:pPr>
        <w:spacing w:after="0" w:line="204" w:lineRule="exact"/>
        <w:rPr>
          <w:sz w:val="20"/>
          <w:szCs w:val="20"/>
          <w:color w:val="auto"/>
        </w:rPr>
      </w:pPr>
    </w:p>
    <w:p>
      <w:pPr>
        <w:ind w:right="180" w:firstLine="562"/>
        <w:spacing w:after="0" w:line="253" w:lineRule="auto"/>
        <w:rPr>
          <w:sz w:val="20"/>
          <w:szCs w:val="20"/>
          <w:color w:val="auto"/>
        </w:rPr>
      </w:pPr>
      <w:r>
        <w:rPr>
          <w:rFonts w:ascii="Arial" w:cs="Arial" w:eastAsia="Arial" w:hAnsi="Arial"/>
          <w:sz w:val="14"/>
          <w:szCs w:val="14"/>
          <w:color w:val="auto"/>
        </w:rPr>
        <w:t>As of December 31, 2014, we had outstanding non-U.S. dollar borrowings on our Credit Facility denominated in British Pounds. Net unrealized depreciation on these outstanding borrowings is listed below:</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40" w:type="dxa"/>
            <w:vAlign w:val="bottom"/>
            <w:vMerge w:val="restart"/>
          </w:tcPr>
          <w:p>
            <w:pPr>
              <w:ind w:left="80"/>
              <w:spacing w:after="0"/>
              <w:rPr>
                <w:sz w:val="20"/>
                <w:szCs w:val="20"/>
                <w:color w:val="auto"/>
              </w:rPr>
            </w:pPr>
            <w:r>
              <w:rPr>
                <w:rFonts w:ascii="Arial" w:cs="Arial" w:eastAsia="Arial" w:hAnsi="Arial"/>
                <w:sz w:val="13"/>
                <w:szCs w:val="13"/>
                <w:b w:val="1"/>
                <w:bCs w:val="1"/>
                <w:color w:val="auto"/>
                <w:w w:val="86"/>
              </w:rPr>
              <w:t>Foreign Currency</w:t>
            </w:r>
          </w:p>
        </w:tc>
        <w:tc>
          <w:tcPr>
            <w:tcW w:w="260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4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93"/>
              </w:rPr>
              <w:t>Original</w:t>
            </w: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8"/>
              </w:rPr>
              <w:t>Net Unrealized</w:t>
            </w:r>
          </w:p>
        </w:tc>
        <w:tc>
          <w:tcPr>
            <w:tcW w:w="0" w:type="dxa"/>
            <w:vAlign w:val="bottom"/>
          </w:tcPr>
          <w:p>
            <w:pPr>
              <w:spacing w:after="0"/>
              <w:rPr>
                <w:sz w:val="1"/>
                <w:szCs w:val="1"/>
                <w:color w:val="auto"/>
              </w:rPr>
            </w:pPr>
          </w:p>
        </w:tc>
      </w:tr>
      <w:tr>
        <w:trPr>
          <w:trHeight w:val="160"/>
        </w:trPr>
        <w:tc>
          <w:tcPr>
            <w:tcW w:w="1040" w:type="dxa"/>
            <w:vAlign w:val="bottom"/>
            <w:tcBorders>
              <w:bottom w:val="single" w:sz="8" w:color="auto"/>
            </w:tcBorders>
            <w:vMerge w:val="continue"/>
          </w:tcPr>
          <w:p>
            <w:pPr>
              <w:spacing w:after="0"/>
              <w:rPr>
                <w:sz w:val="13"/>
                <w:szCs w:val="13"/>
                <w:color w:val="auto"/>
              </w:rPr>
            </w:pPr>
          </w:p>
        </w:tc>
        <w:tc>
          <w:tcPr>
            <w:tcW w:w="2600" w:type="dxa"/>
            <w:vAlign w:val="bottom"/>
            <w:vMerge w:val="continue"/>
          </w:tcPr>
          <w:p>
            <w:pPr>
              <w:spacing w:after="0"/>
              <w:rPr>
                <w:sz w:val="13"/>
                <w:szCs w:val="13"/>
                <w:color w:val="auto"/>
              </w:rPr>
            </w:pPr>
          </w:p>
        </w:tc>
        <w:tc>
          <w:tcPr>
            <w:tcW w:w="1520" w:type="dxa"/>
            <w:vAlign w:val="bottom"/>
            <w:gridSpan w:val="3"/>
          </w:tcPr>
          <w:p>
            <w:pPr>
              <w:ind w:left="120"/>
              <w:spacing w:after="0" w:line="140" w:lineRule="exact"/>
              <w:rPr>
                <w:sz w:val="20"/>
                <w:szCs w:val="20"/>
                <w:color w:val="auto"/>
              </w:rPr>
            </w:pPr>
            <w:r>
              <w:rPr>
                <w:rFonts w:ascii="Arial" w:cs="Arial" w:eastAsia="Arial" w:hAnsi="Arial"/>
                <w:sz w:val="13"/>
                <w:szCs w:val="13"/>
                <w:b w:val="1"/>
                <w:bCs w:val="1"/>
                <w:color w:val="auto"/>
              </w:rPr>
              <w:t>Local Currency</w:t>
            </w:r>
          </w:p>
        </w:tc>
        <w:tc>
          <w:tcPr>
            <w:tcW w:w="1440" w:type="dxa"/>
            <w:vAlign w:val="bottom"/>
            <w:gridSpan w:val="2"/>
          </w:tcPr>
          <w:p>
            <w:pPr>
              <w:jc w:val="center"/>
              <w:ind w:right="420"/>
              <w:spacing w:after="0" w:line="140" w:lineRule="exact"/>
              <w:rPr>
                <w:sz w:val="20"/>
                <w:szCs w:val="20"/>
                <w:color w:val="auto"/>
              </w:rPr>
            </w:pPr>
            <w:r>
              <w:rPr>
                <w:rFonts w:ascii="Arial" w:cs="Arial" w:eastAsia="Arial" w:hAnsi="Arial"/>
                <w:sz w:val="13"/>
                <w:szCs w:val="13"/>
                <w:b w:val="1"/>
                <w:bCs w:val="1"/>
                <w:color w:val="auto"/>
                <w:w w:val="88"/>
              </w:rPr>
              <w:t>Borrowing Cost</w:t>
            </w:r>
          </w:p>
        </w:tc>
        <w:tc>
          <w:tcPr>
            <w:tcW w:w="1440" w:type="dxa"/>
            <w:vAlign w:val="bottom"/>
            <w:gridSpan w:val="3"/>
          </w:tcPr>
          <w:p>
            <w:pPr>
              <w:ind w:left="120"/>
              <w:spacing w:after="0" w:line="140" w:lineRule="exact"/>
              <w:rPr>
                <w:sz w:val="20"/>
                <w:szCs w:val="20"/>
                <w:color w:val="auto"/>
              </w:rPr>
            </w:pPr>
            <w:r>
              <w:rPr>
                <w:rFonts w:ascii="Arial" w:cs="Arial" w:eastAsia="Arial" w:hAnsi="Arial"/>
                <w:sz w:val="13"/>
                <w:szCs w:val="13"/>
                <w:b w:val="1"/>
                <w:bCs w:val="1"/>
                <w:color w:val="auto"/>
              </w:rPr>
              <w:t>Current Value</w:t>
            </w:r>
          </w:p>
        </w:tc>
        <w:tc>
          <w:tcPr>
            <w:tcW w:w="1440" w:type="dxa"/>
            <w:vAlign w:val="bottom"/>
            <w:gridSpan w:val="2"/>
          </w:tcPr>
          <w:p>
            <w:pPr>
              <w:jc w:val="center"/>
              <w:ind w:right="340"/>
              <w:spacing w:after="0" w:line="140" w:lineRule="exact"/>
              <w:rPr>
                <w:sz w:val="20"/>
                <w:szCs w:val="20"/>
                <w:color w:val="auto"/>
              </w:rPr>
            </w:pPr>
            <w:r>
              <w:rPr>
                <w:rFonts w:ascii="Arial" w:cs="Arial" w:eastAsia="Arial" w:hAnsi="Arial"/>
                <w:sz w:val="13"/>
                <w:szCs w:val="13"/>
                <w:b w:val="1"/>
                <w:bCs w:val="1"/>
                <w:color w:val="auto"/>
                <w:w w:val="86"/>
              </w:rPr>
              <w:t>Reset Date</w:t>
            </w:r>
          </w:p>
        </w:tc>
        <w:tc>
          <w:tcPr>
            <w:tcW w:w="160" w:type="dxa"/>
            <w:vAlign w:val="bottom"/>
          </w:tcPr>
          <w:p>
            <w:pPr>
              <w:spacing w:after="0"/>
              <w:rPr>
                <w:sz w:val="13"/>
                <w:szCs w:val="13"/>
                <w:color w:val="auto"/>
              </w:rPr>
            </w:pPr>
          </w:p>
        </w:tc>
        <w:tc>
          <w:tcPr>
            <w:tcW w:w="1140" w:type="dxa"/>
            <w:vAlign w:val="bottom"/>
            <w:gridSpan w:val="2"/>
          </w:tcPr>
          <w:p>
            <w:pPr>
              <w:jc w:val="center"/>
              <w:ind w:right="240"/>
              <w:spacing w:after="0" w:line="140" w:lineRule="exact"/>
              <w:rPr>
                <w:sz w:val="20"/>
                <w:szCs w:val="20"/>
                <w:color w:val="auto"/>
              </w:rPr>
            </w:pPr>
            <w:r>
              <w:rPr>
                <w:rFonts w:ascii="Arial" w:cs="Arial" w:eastAsia="Arial" w:hAnsi="Arial"/>
                <w:sz w:val="13"/>
                <w:szCs w:val="13"/>
                <w:b w:val="1"/>
                <w:bCs w:val="1"/>
                <w:color w:val="auto"/>
                <w:w w:val="88"/>
              </w:rPr>
              <w:t>Depreciation</w:t>
            </w:r>
          </w:p>
        </w:tc>
        <w:tc>
          <w:tcPr>
            <w:tcW w:w="0" w:type="dxa"/>
            <w:vAlign w:val="bottom"/>
          </w:tcPr>
          <w:p>
            <w:pPr>
              <w:spacing w:after="0"/>
              <w:rPr>
                <w:sz w:val="1"/>
                <w:szCs w:val="1"/>
                <w:color w:val="auto"/>
              </w:rPr>
            </w:pPr>
          </w:p>
        </w:tc>
      </w:tr>
      <w:tr>
        <w:trPr>
          <w:trHeight w:val="135"/>
        </w:trPr>
        <w:tc>
          <w:tcPr>
            <w:tcW w:w="3640" w:type="dxa"/>
            <w:vAlign w:val="bottom"/>
            <w:tcBorders>
              <w:top w:val="single" w:sz="8" w:color="CCEEFF"/>
            </w:tcBorders>
            <w:gridSpan w:val="2"/>
            <w:shd w:val="clear" w:color="auto" w:fill="CCEEFF"/>
          </w:tcPr>
          <w:p>
            <w:pPr>
              <w:ind w:left="80"/>
              <w:spacing w:after="0" w:line="135" w:lineRule="exact"/>
              <w:rPr>
                <w:sz w:val="20"/>
                <w:szCs w:val="20"/>
                <w:color w:val="auto"/>
              </w:rPr>
            </w:pPr>
            <w:r>
              <w:rPr>
                <w:rFonts w:ascii="Arial" w:cs="Arial" w:eastAsia="Arial" w:hAnsi="Arial"/>
                <w:sz w:val="14"/>
                <w:szCs w:val="14"/>
                <w:color w:val="auto"/>
              </w:rPr>
              <w:t>British Pound</w:t>
            </w:r>
          </w:p>
        </w:tc>
        <w:tc>
          <w:tcPr>
            <w:tcW w:w="260" w:type="dxa"/>
            <w:vAlign w:val="bottom"/>
            <w:tcBorders>
              <w:top w:val="single" w:sz="8" w:color="auto"/>
            </w:tcBorders>
            <w:shd w:val="clear" w:color="auto" w:fill="CCEEFF"/>
          </w:tcPr>
          <w:p>
            <w:pPr>
              <w:jc w:val="right"/>
              <w:ind w:right="53"/>
              <w:spacing w:after="0" w:line="135"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31,000,000</w:t>
            </w:r>
          </w:p>
        </w:tc>
        <w:tc>
          <w:tcPr>
            <w:tcW w:w="420" w:type="dxa"/>
            <w:vAlign w:val="bottom"/>
            <w:tcBorders>
              <w:top w:val="single" w:sz="8" w:color="CCEEFF"/>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jc w:val="center"/>
              <w:spacing w:after="0" w:line="135" w:lineRule="exact"/>
              <w:rPr>
                <w:sz w:val="20"/>
                <w:szCs w:val="20"/>
                <w:color w:val="auto"/>
              </w:rPr>
            </w:pPr>
            <w:r>
              <w:rPr>
                <w:rFonts w:ascii="Arial" w:cs="Arial" w:eastAsia="Arial" w:hAnsi="Arial"/>
                <w:sz w:val="14"/>
                <w:szCs w:val="14"/>
                <w:color w:val="auto"/>
              </w:rPr>
              <w:t>$  51,881,500</w:t>
            </w:r>
          </w:p>
        </w:tc>
        <w:tc>
          <w:tcPr>
            <w:tcW w:w="42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jc w:val="right"/>
              <w:ind w:right="53"/>
              <w:spacing w:after="0" w:line="135"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48,316,693</w:t>
            </w:r>
          </w:p>
        </w:tc>
        <w:tc>
          <w:tcPr>
            <w:tcW w:w="420" w:type="dxa"/>
            <w:vAlign w:val="bottom"/>
            <w:tcBorders>
              <w:top w:val="single" w:sz="8" w:color="CCEEFF"/>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jc w:val="center"/>
              <w:spacing w:after="0" w:line="135" w:lineRule="exact"/>
              <w:rPr>
                <w:sz w:val="20"/>
                <w:szCs w:val="20"/>
                <w:color w:val="auto"/>
              </w:rPr>
            </w:pPr>
            <w:r>
              <w:rPr>
                <w:rFonts w:ascii="Arial" w:cs="Arial" w:eastAsia="Arial" w:hAnsi="Arial"/>
                <w:sz w:val="14"/>
                <w:szCs w:val="14"/>
                <w:color w:val="auto"/>
                <w:w w:val="91"/>
              </w:rPr>
              <w:t>January 2, 2015</w:t>
            </w:r>
          </w:p>
        </w:tc>
        <w:tc>
          <w:tcPr>
            <w:tcW w:w="3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ind w:right="114"/>
              <w:spacing w:after="0" w:line="135" w:lineRule="exact"/>
              <w:rPr>
                <w:sz w:val="20"/>
                <w:szCs w:val="20"/>
                <w:color w:val="auto"/>
              </w:rPr>
            </w:pPr>
            <w:r>
              <w:rPr>
                <w:rFonts w:ascii="Arial" w:cs="Arial" w:eastAsia="Arial" w:hAnsi="Arial"/>
                <w:sz w:val="14"/>
                <w:szCs w:val="14"/>
                <w:color w:val="auto"/>
              </w:rPr>
              <w:t>(3,564,807)</w:t>
            </w: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12"/>
        </w:trPr>
        <w:tc>
          <w:tcPr>
            <w:tcW w:w="10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jc w:val="right"/>
              <w:ind w:right="413"/>
              <w:spacing w:after="0"/>
              <w:rPr>
                <w:sz w:val="20"/>
                <w:szCs w:val="20"/>
                <w:color w:val="auto"/>
              </w:rPr>
            </w:pPr>
            <w:r>
              <w:rPr>
                <w:rFonts w:ascii="Arial" w:cs="Arial" w:eastAsia="Arial" w:hAnsi="Arial"/>
                <w:sz w:val="14"/>
                <w:szCs w:val="14"/>
                <w:color w:val="auto"/>
              </w:rPr>
              <w:t>23</w:t>
            </w: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320" w:top="459" w:right="5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3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300"/>
        <w:spacing w:after="0" w:line="226" w:lineRule="auto"/>
        <w:rPr>
          <w:sz w:val="20"/>
          <w:szCs w:val="20"/>
          <w:color w:val="auto"/>
        </w:rPr>
      </w:pPr>
      <w:r>
        <w:rPr>
          <w:rFonts w:ascii="Arial" w:cs="Arial" w:eastAsia="Arial" w:hAnsi="Arial"/>
          <w:sz w:val="14"/>
          <w:szCs w:val="14"/>
          <w:b w:val="1"/>
          <w:bCs w:val="1"/>
          <w:color w:val="auto"/>
        </w:rPr>
        <w:t>NOTES TO CONSOLIDATED FINANCIAL STATEMENTS – (Continued)</w:t>
      </w:r>
    </w:p>
    <w:p>
      <w:pPr>
        <w:jc w:val="center"/>
        <w:spacing w:after="0" w:line="221" w:lineRule="auto"/>
        <w:rPr>
          <w:sz w:val="20"/>
          <w:szCs w:val="20"/>
          <w:color w:val="auto"/>
        </w:rPr>
      </w:pPr>
      <w:r>
        <w:rPr>
          <w:rFonts w:ascii="Arial" w:cs="Arial" w:eastAsia="Arial" w:hAnsi="Arial"/>
          <w:sz w:val="14"/>
          <w:szCs w:val="14"/>
          <w:b w:val="1"/>
          <w:bCs w:val="1"/>
          <w:color w:val="auto"/>
        </w:rPr>
        <w:t>DECEMBER 31, 2014</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3"/>
          <w:szCs w:val="13"/>
          <w:color w:val="auto"/>
        </w:rPr>
        <w:t>We adopted ASC 825-10, which provides companies with an option to report selected financial assets and liabilities at fair value, and made an irrevocable election to apply ASC 825-10</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to our Credit Facility and our Notes. We elected to use the fair value option for the Credit Facility and our Notes to align the measurement attributes of both our assets and liabilities while</w:t>
      </w:r>
    </w:p>
    <w:p>
      <w:pPr>
        <w:spacing w:after="0"/>
        <w:rPr>
          <w:sz w:val="20"/>
          <w:szCs w:val="20"/>
          <w:color w:val="auto"/>
        </w:rPr>
      </w:pPr>
      <w:r>
        <w:rPr>
          <w:rFonts w:ascii="Arial" w:cs="Arial" w:eastAsia="Arial" w:hAnsi="Arial"/>
          <w:sz w:val="13"/>
          <w:szCs w:val="13"/>
          <w:color w:val="auto"/>
        </w:rPr>
        <w:t>mitigating volatility in earnings from using different measurement attributes. ASC 825-10 establishes presentation and disclosure requirements designed to facilitate comparisons between</w:t>
      </w:r>
    </w:p>
    <w:p>
      <w:pPr>
        <w:spacing w:after="0"/>
        <w:rPr>
          <w:sz w:val="20"/>
          <w:szCs w:val="20"/>
          <w:color w:val="auto"/>
        </w:rPr>
      </w:pPr>
      <w:r>
        <w:rPr>
          <w:rFonts w:ascii="Arial" w:cs="Arial" w:eastAsia="Arial" w:hAnsi="Arial"/>
          <w:sz w:val="13"/>
          <w:szCs w:val="13"/>
          <w:color w:val="auto"/>
        </w:rPr>
        <w:t>companies that choose different measurement attributes for similar types of assets and liabilities and to more easily understand the effect on earnings of a company’s choice to use fair value. ASC</w:t>
      </w:r>
    </w:p>
    <w:p>
      <w:pPr>
        <w:spacing w:after="0"/>
        <w:rPr>
          <w:sz w:val="20"/>
          <w:szCs w:val="20"/>
          <w:color w:val="auto"/>
        </w:rPr>
      </w:pPr>
      <w:r>
        <w:rPr>
          <w:rFonts w:ascii="Arial" w:cs="Arial" w:eastAsia="Arial" w:hAnsi="Arial"/>
          <w:sz w:val="13"/>
          <w:szCs w:val="13"/>
          <w:color w:val="auto"/>
        </w:rPr>
        <w:t>825-10 also requires entities to display the fair value of the selected assets and liabilities on the face of the Consolidated Statement of Assets and Liabilities and changes in fair value of the Credit</w:t>
      </w:r>
    </w:p>
    <w:p>
      <w:pPr>
        <w:spacing w:after="0" w:line="221" w:lineRule="auto"/>
        <w:rPr>
          <w:sz w:val="20"/>
          <w:szCs w:val="20"/>
          <w:color w:val="auto"/>
        </w:rPr>
      </w:pPr>
      <w:r>
        <w:rPr>
          <w:rFonts w:ascii="Arial" w:cs="Arial" w:eastAsia="Arial" w:hAnsi="Arial"/>
          <w:sz w:val="14"/>
          <w:szCs w:val="14"/>
          <w:color w:val="auto"/>
        </w:rPr>
        <w:t>Facility and our Notes are reported in our Consolidated Statement of Operations. We elected not to apply ASC 825-10 to any other financial assets or liabilities, including the SBA</w:t>
      </w:r>
    </w:p>
    <w:p>
      <w:pPr>
        <w:spacing w:after="0"/>
        <w:rPr>
          <w:sz w:val="20"/>
          <w:szCs w:val="20"/>
          <w:color w:val="auto"/>
        </w:rPr>
      </w:pPr>
      <w:r>
        <w:rPr>
          <w:rFonts w:ascii="Arial" w:cs="Arial" w:eastAsia="Arial" w:hAnsi="Arial"/>
          <w:sz w:val="13"/>
          <w:szCs w:val="13"/>
          <w:color w:val="auto"/>
        </w:rPr>
        <w:t>debentures. For the three months ended December 31, 2014 and 2013, our Credit Facility and our Notes had a net change in unrealized depreciation of $1.1 million and $4.1 million, respectively.</w:t>
      </w:r>
    </w:p>
    <w:p>
      <w:pPr>
        <w:spacing w:after="0"/>
        <w:rPr>
          <w:sz w:val="20"/>
          <w:szCs w:val="20"/>
          <w:color w:val="auto"/>
        </w:rPr>
      </w:pPr>
      <w:r>
        <w:rPr>
          <w:rFonts w:ascii="Arial" w:cs="Arial" w:eastAsia="Arial" w:hAnsi="Arial"/>
          <w:sz w:val="13"/>
          <w:szCs w:val="13"/>
          <w:color w:val="auto"/>
        </w:rPr>
        <w:t>As of December 31, 2014 and September 30, 2014, net unrealized depreciation (appreciation) on our Credit Facility and our Notes totaled $0.9 million and $(0.2) million, respectively. We use a</w:t>
      </w:r>
    </w:p>
    <w:p>
      <w:pPr>
        <w:spacing w:after="0"/>
        <w:rPr>
          <w:sz w:val="20"/>
          <w:szCs w:val="20"/>
          <w:color w:val="auto"/>
        </w:rPr>
      </w:pPr>
      <w:r>
        <w:rPr>
          <w:rFonts w:ascii="Arial" w:cs="Arial" w:eastAsia="Arial" w:hAnsi="Arial"/>
          <w:sz w:val="13"/>
          <w:szCs w:val="13"/>
          <w:color w:val="auto"/>
        </w:rPr>
        <w:t>nationally recognized independent valuation service to fair value our Credit Facility in a manner consistent with the valuation process that the board of directors uses to value investments. Our</w:t>
      </w:r>
    </w:p>
    <w:p>
      <w:pPr>
        <w:spacing w:after="0"/>
        <w:rPr>
          <w:sz w:val="20"/>
          <w:szCs w:val="20"/>
          <w:color w:val="auto"/>
        </w:rPr>
      </w:pPr>
      <w:r>
        <w:rPr>
          <w:rFonts w:ascii="Arial" w:cs="Arial" w:eastAsia="Arial" w:hAnsi="Arial"/>
          <w:sz w:val="14"/>
          <w:szCs w:val="14"/>
          <w:color w:val="auto"/>
        </w:rPr>
        <w:t>2025 Notes trade on the NYSE under the ticker “PNTA” and we use the closing price on the exchange to determine their fair value.</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 TRANSACTIONS WITH AFFILIATED COMPANIES</w:t>
      </w:r>
    </w:p>
    <w:p>
      <w:pPr>
        <w:spacing w:after="0" w:line="208" w:lineRule="exact"/>
        <w:rPr>
          <w:sz w:val="20"/>
          <w:szCs w:val="20"/>
          <w:color w:val="auto"/>
        </w:rPr>
      </w:pPr>
    </w:p>
    <w:p>
      <w:pPr>
        <w:ind w:right="140" w:firstLine="562"/>
        <w:spacing w:after="0" w:line="238" w:lineRule="auto"/>
        <w:rPr>
          <w:sz w:val="20"/>
          <w:szCs w:val="20"/>
          <w:color w:val="auto"/>
        </w:rPr>
      </w:pPr>
      <w:r>
        <w:rPr>
          <w:rFonts w:ascii="Arial" w:cs="Arial" w:eastAsia="Arial" w:hAnsi="Arial"/>
          <w:sz w:val="14"/>
          <w:szCs w:val="14"/>
          <w:color w:val="auto"/>
        </w:rPr>
        <w:t>An affiliated portfolio company is a company in which we have ownership of 5% or more of its voting securities. A non-controlled affiliate is a portfolio company in which we own at least 5% but less than 25% of its voting securities and a controlled affiliate is a portfolio company in which we own 25% or more of its voting securities. Transactions related to our funded investments with both controlled and non-controlled affiliates for the three months ended December 31, 2014 were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3"/>
              </w:rPr>
              <w:t>Purchases of /</w:t>
            </w:r>
          </w:p>
        </w:tc>
        <w:tc>
          <w:tcPr>
            <w:tcW w:w="60" w:type="dxa"/>
            <w:vAlign w:val="bottom"/>
          </w:tcPr>
          <w:p>
            <w:pPr>
              <w:spacing w:after="0"/>
              <w:rPr>
                <w:sz w:val="13"/>
                <w:szCs w:val="13"/>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4"/>
              </w:rPr>
              <w:t>Sale of /</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1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Name of Investment</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jc w:val="right"/>
              <w:ind w:right="280"/>
              <w:spacing w:after="0" w:line="135" w:lineRule="exact"/>
              <w:rPr>
                <w:sz w:val="20"/>
                <w:szCs w:val="20"/>
                <w:color w:val="auto"/>
              </w:rPr>
            </w:pPr>
            <w:r>
              <w:rPr>
                <w:rFonts w:ascii="Arial" w:cs="Arial" w:eastAsia="Arial" w:hAnsi="Arial"/>
                <w:sz w:val="13"/>
                <w:szCs w:val="13"/>
                <w:b w:val="1"/>
                <w:bCs w:val="1"/>
                <w:color w:val="auto"/>
              </w:rPr>
              <w:t>Fair Value at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5"/>
              </w:rPr>
              <w:t>Advances to</w:t>
            </w:r>
          </w:p>
        </w:tc>
        <w:tc>
          <w:tcPr>
            <w:tcW w:w="60" w:type="dxa"/>
            <w:vAlign w:val="bottom"/>
          </w:tcPr>
          <w:p>
            <w:pPr>
              <w:spacing w:after="0"/>
              <w:rPr>
                <w:sz w:val="11"/>
                <w:szCs w:val="11"/>
                <w:color w:val="auto"/>
              </w:rPr>
            </w:pPr>
          </w:p>
        </w:tc>
        <w:tc>
          <w:tcPr>
            <w:tcW w:w="94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7"/>
              </w:rPr>
              <w:t>Distributions</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7"/>
              </w:rPr>
              <w:t>Income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jc w:val="right"/>
              <w:ind w:right="360"/>
              <w:spacing w:after="0" w:line="135" w:lineRule="exact"/>
              <w:rPr>
                <w:sz w:val="20"/>
                <w:szCs w:val="20"/>
                <w:color w:val="auto"/>
              </w:rPr>
            </w:pPr>
            <w:r>
              <w:rPr>
                <w:rFonts w:ascii="Arial" w:cs="Arial" w:eastAsia="Arial" w:hAnsi="Arial"/>
                <w:sz w:val="13"/>
                <w:szCs w:val="13"/>
                <w:b w:val="1"/>
                <w:bCs w:val="1"/>
                <w:color w:val="auto"/>
              </w:rPr>
              <w:t>Fair Value at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w w:val="97"/>
              </w:rPr>
              <w:t>Net Realized Gains</w:t>
            </w:r>
          </w:p>
        </w:tc>
        <w:tc>
          <w:tcPr>
            <w:tcW w:w="0" w:type="dxa"/>
            <w:vAlign w:val="bottom"/>
          </w:tcPr>
          <w:p>
            <w:pPr>
              <w:spacing w:after="0"/>
              <w:rPr>
                <w:sz w:val="1"/>
                <w:szCs w:val="1"/>
                <w:color w:val="auto"/>
              </w:rPr>
            </w:pPr>
          </w:p>
        </w:tc>
      </w:tr>
      <w:tr>
        <w:trPr>
          <w:trHeight w:val="153"/>
        </w:trPr>
        <w:tc>
          <w:tcPr>
            <w:tcW w:w="410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w w:val="86"/>
              </w:rPr>
              <w:t>September 30, 2014*</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Affiliates</w:t>
            </w:r>
          </w:p>
        </w:tc>
        <w:tc>
          <w:tcPr>
            <w:tcW w:w="60" w:type="dxa"/>
            <w:vAlign w:val="bottom"/>
          </w:tcPr>
          <w:p>
            <w:pPr>
              <w:spacing w:after="0"/>
              <w:rPr>
                <w:sz w:val="13"/>
                <w:szCs w:val="13"/>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9"/>
              </w:rPr>
              <w:t>from Affiliates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8"/>
              </w:rPr>
              <w:t>Accrued</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w w:val="86"/>
              </w:rPr>
              <w:t>December 31, 2014*</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gridSpan w:val="2"/>
          </w:tcPr>
          <w:p>
            <w:pPr>
              <w:ind w:left="300"/>
              <w:spacing w:after="0"/>
              <w:rPr>
                <w:sz w:val="20"/>
                <w:szCs w:val="20"/>
                <w:color w:val="auto"/>
              </w:rPr>
            </w:pPr>
            <w:r>
              <w:rPr>
                <w:rFonts w:ascii="Arial" w:cs="Arial" w:eastAsia="Arial" w:hAnsi="Arial"/>
                <w:sz w:val="13"/>
                <w:szCs w:val="13"/>
                <w:b w:val="1"/>
                <w:bCs w:val="1"/>
                <w:color w:val="auto"/>
              </w:rPr>
              <w:t>(Losses)</w:t>
            </w:r>
          </w:p>
        </w:tc>
        <w:tc>
          <w:tcPr>
            <w:tcW w:w="0" w:type="dxa"/>
            <w:vAlign w:val="bottom"/>
          </w:tcPr>
          <w:p>
            <w:pPr>
              <w:spacing w:after="0"/>
              <w:rPr>
                <w:sz w:val="1"/>
                <w:szCs w:val="1"/>
                <w:color w:val="auto"/>
              </w:rPr>
            </w:pPr>
          </w:p>
        </w:tc>
      </w:tr>
      <w:tr>
        <w:trPr>
          <w:trHeight w:val="128"/>
        </w:trPr>
        <w:tc>
          <w:tcPr>
            <w:tcW w:w="39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Controlled Affiliates</w:t>
            </w: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118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00" w:type="dxa"/>
            <w:vAlign w:val="bottom"/>
            <w:gridSpan w:val="2"/>
          </w:tcPr>
          <w:p>
            <w:pPr>
              <w:spacing w:after="0" w:line="135" w:lineRule="exact"/>
              <w:rPr>
                <w:sz w:val="20"/>
                <w:szCs w:val="20"/>
                <w:color w:val="auto"/>
              </w:rPr>
            </w:pPr>
            <w:r>
              <w:rPr>
                <w:rFonts w:ascii="Arial" w:cs="Arial" w:eastAsia="Arial" w:hAnsi="Arial"/>
                <w:sz w:val="13"/>
                <w:szCs w:val="13"/>
                <w:color w:val="auto"/>
              </w:rPr>
              <w:t>Superior Digital Displays Holdings, Inc.</w:t>
            </w:r>
          </w:p>
        </w:tc>
        <w:tc>
          <w:tcPr>
            <w:tcW w:w="60" w:type="dxa"/>
            <w:vAlign w:val="bottom"/>
            <w:gridSpan w:val="2"/>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21,210,823</w:t>
            </w:r>
          </w:p>
        </w:tc>
        <w:tc>
          <w:tcPr>
            <w:tcW w:w="2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1,700,000</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ind w:left="720"/>
              <w:spacing w:after="0" w:line="135" w:lineRule="exact"/>
              <w:rPr>
                <w:sz w:val="20"/>
                <w:szCs w:val="20"/>
                <w:color w:val="auto"/>
              </w:rPr>
            </w:pPr>
            <w:r>
              <w:rPr>
                <w:rFonts w:ascii="Arial" w:cs="Arial" w:eastAsia="Arial" w:hAnsi="Arial"/>
                <w:sz w:val="13"/>
                <w:szCs w:val="13"/>
                <w:color w:val="auto"/>
              </w:rPr>
              <w:t>—</w:t>
            </w:r>
          </w:p>
        </w:tc>
        <w:tc>
          <w:tcPr>
            <w:tcW w:w="1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876,297</w:t>
            </w:r>
          </w:p>
        </w:tc>
        <w:tc>
          <w:tcPr>
            <w:tcW w:w="1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12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20,179,796</w:t>
            </w:r>
          </w:p>
        </w:tc>
        <w:tc>
          <w:tcPr>
            <w:tcW w:w="1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1160" w:type="dxa"/>
            <w:vAlign w:val="bottom"/>
            <w:gridSpan w:val="2"/>
          </w:tcPr>
          <w:p>
            <w:pPr>
              <w:ind w:left="9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41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SuttonPark Holdings, Inc.</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14,000,000</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6,000,000</w:t>
            </w:r>
          </w:p>
        </w:tc>
        <w:tc>
          <w:tcPr>
            <w:tcW w:w="60" w:type="dxa"/>
            <w:vAlign w:val="bottom"/>
            <w:shd w:val="clear" w:color="auto" w:fill="CCEEFF"/>
          </w:tcPr>
          <w:p>
            <w:pPr>
              <w:spacing w:after="0"/>
              <w:rPr>
                <w:sz w:val="11"/>
                <w:szCs w:val="11"/>
                <w:color w:val="auto"/>
              </w:rPr>
            </w:pPr>
          </w:p>
        </w:tc>
        <w:tc>
          <w:tcPr>
            <w:tcW w:w="940" w:type="dxa"/>
            <w:vAlign w:val="bottom"/>
            <w:gridSpan w:val="2"/>
            <w:shd w:val="clear" w:color="auto" w:fill="CCEEFF"/>
          </w:tcPr>
          <w:p>
            <w:pPr>
              <w:ind w:left="7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402,500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20,000,000</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ind w:left="9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410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Non-Controlled Affiliates</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DirectBuy Holdings, Inc.</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11,283,172</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348,964</w:t>
            </w:r>
          </w:p>
        </w:tc>
        <w:tc>
          <w:tcPr>
            <w:tcW w:w="60" w:type="dxa"/>
            <w:vAlign w:val="bottom"/>
            <w:shd w:val="clear" w:color="auto" w:fill="CCEEFF"/>
          </w:tcPr>
          <w:p>
            <w:pPr>
              <w:spacing w:after="0"/>
              <w:rPr>
                <w:sz w:val="11"/>
                <w:szCs w:val="11"/>
                <w:color w:val="auto"/>
              </w:rPr>
            </w:pPr>
          </w:p>
        </w:tc>
        <w:tc>
          <w:tcPr>
            <w:tcW w:w="940" w:type="dxa"/>
            <w:vAlign w:val="bottom"/>
            <w:gridSpan w:val="2"/>
            <w:shd w:val="clear" w:color="auto" w:fill="CCEEFF"/>
          </w:tcPr>
          <w:p>
            <w:pPr>
              <w:ind w:left="7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355,943</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9,105,636</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ind w:left="9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4100" w:type="dxa"/>
            <w:vAlign w:val="bottom"/>
            <w:gridSpan w:val="2"/>
          </w:tcPr>
          <w:p>
            <w:pPr>
              <w:spacing w:after="0" w:line="135" w:lineRule="exact"/>
              <w:rPr>
                <w:sz w:val="20"/>
                <w:szCs w:val="20"/>
                <w:color w:val="auto"/>
              </w:rPr>
            </w:pPr>
            <w:r>
              <w:rPr>
                <w:rFonts w:ascii="Arial" w:cs="Arial" w:eastAsia="Arial" w:hAnsi="Arial"/>
                <w:sz w:val="13"/>
                <w:szCs w:val="13"/>
                <w:color w:val="auto"/>
              </w:rPr>
              <w:t>EnviroSolutions Holdings, Inc.</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21,268,379</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940" w:type="dxa"/>
            <w:vAlign w:val="bottom"/>
            <w:gridSpan w:val="2"/>
          </w:tcPr>
          <w:p>
            <w:pPr>
              <w:ind w:left="7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228,163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21,862,175</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2"/>
          </w:tcPr>
          <w:p>
            <w:pPr>
              <w:ind w:left="9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41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NCP-Performance, L.P.</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940" w:type="dxa"/>
            <w:vAlign w:val="bottom"/>
            <w:gridSpan w:val="2"/>
            <w:shd w:val="clear" w:color="auto" w:fill="CCEEFF"/>
          </w:tcPr>
          <w:p>
            <w:pPr>
              <w:ind w:left="7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ind w:left="9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4100" w:type="dxa"/>
            <w:vAlign w:val="bottom"/>
            <w:gridSpan w:val="2"/>
          </w:tcPr>
          <w:p>
            <w:pPr>
              <w:spacing w:after="0" w:line="135" w:lineRule="exact"/>
              <w:rPr>
                <w:sz w:val="20"/>
                <w:szCs w:val="20"/>
                <w:color w:val="auto"/>
              </w:rPr>
            </w:pPr>
            <w:r>
              <w:rPr>
                <w:rFonts w:ascii="Arial" w:cs="Arial" w:eastAsia="Arial" w:hAnsi="Arial"/>
                <w:sz w:val="13"/>
                <w:szCs w:val="13"/>
                <w:color w:val="auto"/>
              </w:rPr>
              <w:t>PAS International Holdings, Inc.</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1,650,729</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940" w:type="dxa"/>
            <w:vAlign w:val="bottom"/>
            <w:gridSpan w:val="2"/>
          </w:tcPr>
          <w:p>
            <w:pPr>
              <w:ind w:left="7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6,115,655</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2"/>
          </w:tcPr>
          <w:p>
            <w:pPr>
              <w:ind w:left="9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41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Service Champ, Inc.</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33,645,241</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940" w:type="dxa"/>
            <w:vAlign w:val="bottom"/>
            <w:gridSpan w:val="2"/>
            <w:shd w:val="clear" w:color="auto" w:fill="CCEEFF"/>
          </w:tcPr>
          <w:p>
            <w:pPr>
              <w:ind w:left="7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901,303</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33,705,824</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ind w:left="9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2"/>
        </w:trPr>
        <w:tc>
          <w:tcPr>
            <w:tcW w:w="410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Total Controlled and Non-Controlled Affiliates</w:t>
            </w:r>
          </w:p>
        </w:tc>
        <w:tc>
          <w:tcPr>
            <w:tcW w:w="20" w:type="dxa"/>
            <w:vAlign w:val="bottom"/>
            <w:tcBorders>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11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103,058,344</w:t>
            </w:r>
          </w:p>
        </w:tc>
        <w:tc>
          <w:tcPr>
            <w:tcW w:w="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8,048,964</w:t>
            </w:r>
          </w:p>
        </w:tc>
        <w:tc>
          <w:tcPr>
            <w:tcW w:w="20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ind w:left="720"/>
              <w:spacing w:after="0" w:line="142" w:lineRule="exact"/>
              <w:rPr>
                <w:sz w:val="20"/>
                <w:szCs w:val="20"/>
                <w:color w:val="auto"/>
              </w:rPr>
            </w:pPr>
            <w:r>
              <w:rPr>
                <w:rFonts w:ascii="Arial" w:cs="Arial" w:eastAsia="Arial" w:hAnsi="Arial"/>
                <w:sz w:val="13"/>
                <w:szCs w:val="13"/>
                <w:color w:val="auto"/>
                <w:w w:val="76"/>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2,764,206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2"/>
              </w:rPr>
              <w:t>$</w:t>
            </w:r>
          </w:p>
        </w:tc>
        <w:tc>
          <w:tcPr>
            <w:tcW w:w="11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110,969,086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bottom w:val="single" w:sz="8" w:color="auto"/>
            </w:tcBorders>
          </w:tcPr>
          <w:p>
            <w:pPr>
              <w:ind w:left="960"/>
              <w:spacing w:after="0" w:line="142" w:lineRule="exact"/>
              <w:rPr>
                <w:sz w:val="20"/>
                <w:szCs w:val="20"/>
                <w:color w:val="auto"/>
              </w:rPr>
            </w:pPr>
            <w:r>
              <w:rPr>
                <w:rFonts w:ascii="Arial" w:cs="Arial" w:eastAsia="Arial" w:hAnsi="Arial"/>
                <w:sz w:val="13"/>
                <w:szCs w:val="13"/>
                <w:color w:val="auto"/>
                <w:w w:val="91"/>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185166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851660" cy="8890"/>
                    </a:xfrm>
                    <a:prstGeom prst="rect">
                      <a:avLst/>
                    </a:prstGeom>
                    <a:noFill/>
                  </pic:spPr>
                </pic:pic>
              </a:graphicData>
            </a:graphic>
          </wp:anchor>
        </w:drawing>
      </w:r>
    </w:p>
    <w:p>
      <w:pPr>
        <w:spacing w:after="0" w:line="164"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Excluding delayed draws.</w:t>
      </w:r>
    </w:p>
    <w:p>
      <w:pPr>
        <w:spacing w:after="0" w:line="105"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4"/>
          <w:szCs w:val="14"/>
          <w:b w:val="1"/>
          <w:bCs w:val="1"/>
          <w:color w:val="auto"/>
        </w:rPr>
      </w:pPr>
      <w:r>
        <w:rPr>
          <w:rFonts w:ascii="Arial" w:cs="Arial" w:eastAsia="Arial" w:hAnsi="Arial"/>
          <w:sz w:val="14"/>
          <w:szCs w:val="14"/>
          <w:b w:val="1"/>
          <w:bCs w:val="1"/>
          <w:color w:val="auto"/>
        </w:rPr>
        <w:t>CHANGE IN NET ASSETS RESULTING FROM OPERATIONS PER COMMON SHARE</w:t>
      </w:r>
    </w:p>
    <w:p>
      <w:pPr>
        <w:spacing w:after="0" w:line="100" w:lineRule="exact"/>
        <w:rPr>
          <w:sz w:val="20"/>
          <w:szCs w:val="20"/>
          <w:color w:val="auto"/>
        </w:rPr>
      </w:pPr>
    </w:p>
    <w:p>
      <w:pPr>
        <w:ind w:left="560"/>
        <w:spacing w:after="0"/>
        <w:rPr>
          <w:sz w:val="20"/>
          <w:szCs w:val="20"/>
          <w:color w:val="auto"/>
        </w:rPr>
      </w:pPr>
      <w:r>
        <w:rPr>
          <w:rFonts w:ascii="Arial" w:cs="Arial" w:eastAsia="Arial" w:hAnsi="Arial"/>
          <w:sz w:val="14"/>
          <w:szCs w:val="14"/>
          <w:color w:val="auto"/>
        </w:rPr>
        <w:t>The following information sets forth the computation of basic and diluted per share net increase in net assets resulting from operations: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gridSpan w:val="6"/>
          </w:tcPr>
          <w:p>
            <w:pPr>
              <w:ind w:left="40"/>
              <w:spacing w:after="0"/>
              <w:rPr>
                <w:sz w:val="20"/>
                <w:szCs w:val="20"/>
                <w:color w:val="auto"/>
              </w:rPr>
            </w:pPr>
            <w:r>
              <w:rPr>
                <w:rFonts w:ascii="Arial" w:cs="Arial" w:eastAsia="Arial" w:hAnsi="Arial"/>
                <w:sz w:val="13"/>
                <w:szCs w:val="13"/>
                <w:b w:val="1"/>
                <w:bCs w:val="1"/>
                <w:color w:val="auto"/>
                <w:w w:val="96"/>
              </w:rPr>
              <w:t>Three Months Ended December 31,</w:t>
            </w:r>
          </w:p>
        </w:tc>
      </w:tr>
      <w:tr>
        <w:trPr>
          <w:trHeight w:val="135"/>
        </w:trPr>
        <w:tc>
          <w:tcPr>
            <w:tcW w:w="864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right"/>
              <w:ind w:right="232"/>
              <w:spacing w:after="0" w:line="115" w:lineRule="exact"/>
              <w:rPr>
                <w:sz w:val="20"/>
                <w:szCs w:val="20"/>
                <w:color w:val="auto"/>
              </w:rPr>
            </w:pPr>
            <w:r>
              <w:rPr>
                <w:rFonts w:ascii="Arial" w:cs="Arial" w:eastAsia="Arial" w:hAnsi="Arial"/>
                <w:sz w:val="13"/>
                <w:szCs w:val="13"/>
                <w:b w:val="1"/>
                <w:bCs w:val="1"/>
                <w:color w:val="auto"/>
              </w:rPr>
              <w:t>2014</w:t>
            </w:r>
          </w:p>
        </w:tc>
        <w:tc>
          <w:tcPr>
            <w:tcW w:w="2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250"/>
              <w:spacing w:after="0" w:line="115" w:lineRule="exact"/>
              <w:rPr>
                <w:sz w:val="20"/>
                <w:szCs w:val="20"/>
                <w:color w:val="auto"/>
              </w:rPr>
            </w:pPr>
            <w:r>
              <w:rPr>
                <w:rFonts w:ascii="Arial" w:cs="Arial" w:eastAsia="Arial" w:hAnsi="Arial"/>
                <w:sz w:val="13"/>
                <w:szCs w:val="13"/>
                <w:b w:val="1"/>
                <w:bCs w:val="1"/>
                <w:color w:val="auto"/>
              </w:rPr>
              <w:t>2013</w:t>
            </w:r>
          </w:p>
        </w:tc>
        <w:tc>
          <w:tcPr>
            <w:tcW w:w="80" w:type="dxa"/>
            <w:vAlign w:val="bottom"/>
          </w:tcPr>
          <w:p>
            <w:pPr>
              <w:spacing w:after="0"/>
              <w:rPr>
                <w:sz w:val="11"/>
                <w:szCs w:val="11"/>
                <w:color w:val="auto"/>
              </w:rPr>
            </w:pPr>
          </w:p>
        </w:tc>
      </w:tr>
      <w:tr>
        <w:trPr>
          <w:trHeight w:val="136"/>
        </w:trPr>
        <w:tc>
          <w:tcPr>
            <w:tcW w:w="8640" w:type="dxa"/>
            <w:vAlign w:val="bottom"/>
            <w:tcBorders>
              <w:top w:val="single" w:sz="8" w:color="CCEEFF"/>
            </w:tcBorders>
            <w:shd w:val="clear" w:color="auto" w:fill="CCEEFF"/>
          </w:tcPr>
          <w:p>
            <w:pPr>
              <w:spacing w:after="0" w:line="135" w:lineRule="exact"/>
              <w:rPr>
                <w:sz w:val="20"/>
                <w:szCs w:val="20"/>
                <w:color w:val="auto"/>
              </w:rPr>
            </w:pPr>
            <w:r>
              <w:rPr>
                <w:rFonts w:ascii="Arial" w:cs="Arial" w:eastAsia="Arial" w:hAnsi="Arial"/>
                <w:sz w:val="14"/>
                <w:szCs w:val="14"/>
                <w:color w:val="auto"/>
              </w:rPr>
              <w:t>Numerator for net (decrease) increase in net assets resulting from operations</w:t>
            </w:r>
          </w:p>
        </w:tc>
        <w:tc>
          <w:tcPr>
            <w:tcW w:w="3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w w:val="93"/>
              </w:rPr>
              <w:t>(23,945,694)</w:t>
            </w:r>
          </w:p>
        </w:tc>
        <w:tc>
          <w:tcPr>
            <w:tcW w:w="2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39,454,953</w:t>
            </w:r>
          </w:p>
        </w:tc>
        <w:tc>
          <w:tcPr>
            <w:tcW w:w="80" w:type="dxa"/>
            <w:vAlign w:val="bottom"/>
            <w:tcBorders>
              <w:top w:val="single" w:sz="8" w:color="CCEEFF"/>
            </w:tcBorders>
            <w:shd w:val="clear" w:color="auto" w:fill="CCEEFF"/>
          </w:tcPr>
          <w:p>
            <w:pPr>
              <w:spacing w:after="0"/>
              <w:rPr>
                <w:sz w:val="11"/>
                <w:szCs w:val="11"/>
                <w:color w:val="auto"/>
              </w:rPr>
            </w:pPr>
          </w:p>
        </w:tc>
      </w:tr>
      <w:tr>
        <w:trPr>
          <w:trHeight w:val="148"/>
        </w:trPr>
        <w:tc>
          <w:tcPr>
            <w:tcW w:w="8640" w:type="dxa"/>
            <w:vAlign w:val="bottom"/>
          </w:tcPr>
          <w:p>
            <w:pPr>
              <w:spacing w:after="0" w:line="149" w:lineRule="exact"/>
              <w:rPr>
                <w:sz w:val="20"/>
                <w:szCs w:val="20"/>
                <w:color w:val="auto"/>
              </w:rPr>
            </w:pPr>
            <w:r>
              <w:rPr>
                <w:rFonts w:ascii="Arial" w:cs="Arial" w:eastAsia="Arial" w:hAnsi="Arial"/>
                <w:sz w:val="14"/>
                <w:szCs w:val="14"/>
                <w:color w:val="auto"/>
              </w:rPr>
              <w:t>Denominator for basic and diluted weighted average shares</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75,092,911</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66,546,219</w:t>
            </w:r>
          </w:p>
        </w:tc>
      </w:tr>
      <w:tr>
        <w:trPr>
          <w:trHeight w:val="148"/>
        </w:trPr>
        <w:tc>
          <w:tcPr>
            <w:tcW w:w="8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Basic and diluted net (decrease) increase in net assets per share resulting from operations</w:t>
            </w:r>
          </w:p>
        </w:tc>
        <w:tc>
          <w:tcPr>
            <w:tcW w:w="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(0.32)</w:t>
            </w:r>
          </w:p>
        </w:tc>
        <w:tc>
          <w:tcPr>
            <w:tcW w:w="34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0.59</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 CASH EQUIVALENTS</w:t>
      </w:r>
    </w:p>
    <w:p>
      <w:pPr>
        <w:spacing w:after="0" w:line="100" w:lineRule="exact"/>
        <w:rPr>
          <w:sz w:val="20"/>
          <w:szCs w:val="20"/>
          <w:color w:val="auto"/>
        </w:rPr>
      </w:pPr>
    </w:p>
    <w:p>
      <w:pPr>
        <w:ind w:right="20" w:firstLine="562"/>
        <w:spacing w:after="0" w:line="227" w:lineRule="auto"/>
        <w:rPr>
          <w:sz w:val="20"/>
          <w:szCs w:val="20"/>
          <w:color w:val="auto"/>
        </w:rPr>
      </w:pPr>
      <w:r>
        <w:rPr>
          <w:rFonts w:ascii="Arial" w:cs="Arial" w:eastAsia="Arial" w:hAnsi="Arial"/>
          <w:sz w:val="14"/>
          <w:szCs w:val="14"/>
          <w:color w:val="auto"/>
        </w:rPr>
        <w:t>Cash equivalents represent cash in money market funds pending investment in longer-term portfolio holdings. Our portfolio may consist of temporary investments in U.S. Treasury Bills (of varying maturities), repurchase agreements, money market funds or repurchase agreement-like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quarter-end. We may accomplish this in several ways, including purchasing U.S. Treasury Bills and closing out our positions on a net cash basis after quarter-end, temporarily drawing down on the Credit Facility, or utilizing repurchase agreements or other balance sheet transactions as are deemed appropriate for this purpose. These amounts are excluded from average adjusted gross assets for purposes of computing the Investment Adviser’s management fee. U.S. Treasury Bills with maturities greater than 60 days from the time of purchase are valued consistent with our valuation policy. As of December 31, 2014 and September 30, 2014, our cash and cash equivalents consisted of $54.3 million and $66.5 million, respectively.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11240"/>
          </w:cols>
          <w:pgMar w:left="320" w:top="459" w:right="3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3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300"/>
        <w:spacing w:after="0" w:line="226" w:lineRule="auto"/>
        <w:rPr>
          <w:sz w:val="20"/>
          <w:szCs w:val="20"/>
          <w:color w:val="auto"/>
        </w:rPr>
      </w:pPr>
      <w:r>
        <w:rPr>
          <w:rFonts w:ascii="Arial" w:cs="Arial" w:eastAsia="Arial" w:hAnsi="Arial"/>
          <w:sz w:val="14"/>
          <w:szCs w:val="14"/>
          <w:b w:val="1"/>
          <w:bCs w:val="1"/>
          <w:color w:val="auto"/>
        </w:rPr>
        <w:t>NOTES TO CONSOLIDATED FINANCIAL STATEMENTS – (Continued)</w:t>
      </w:r>
    </w:p>
    <w:p>
      <w:pPr>
        <w:jc w:val="center"/>
        <w:ind w:right="-39"/>
        <w:spacing w:after="0" w:line="221" w:lineRule="auto"/>
        <w:rPr>
          <w:sz w:val="20"/>
          <w:szCs w:val="20"/>
          <w:color w:val="auto"/>
        </w:rPr>
      </w:pPr>
      <w:r>
        <w:rPr>
          <w:rFonts w:ascii="Arial" w:cs="Arial" w:eastAsia="Arial" w:hAnsi="Arial"/>
          <w:sz w:val="14"/>
          <w:szCs w:val="14"/>
          <w:b w:val="1"/>
          <w:bCs w:val="1"/>
          <w:color w:val="auto"/>
        </w:rPr>
        <w:t>DECEMBER 31, 2014</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(Unaudited)</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20" w:type="dxa"/>
            <w:vAlign w:val="bottom"/>
          </w:tcPr>
          <w:p>
            <w:pPr>
              <w:spacing w:after="0"/>
              <w:rPr>
                <w:sz w:val="20"/>
                <w:szCs w:val="20"/>
                <w:color w:val="auto"/>
              </w:rPr>
            </w:pPr>
            <w:r>
              <w:rPr>
                <w:rFonts w:ascii="Arial" w:cs="Arial" w:eastAsia="Arial" w:hAnsi="Arial"/>
                <w:sz w:val="14"/>
                <w:szCs w:val="14"/>
                <w:b w:val="1"/>
                <w:bCs w:val="1"/>
                <w:color w:val="auto"/>
              </w:rPr>
              <w:t>9. FINANCIAL HIGHLIGHTS</w:t>
            </w: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8"/>
        </w:trPr>
        <w:tc>
          <w:tcPr>
            <w:tcW w:w="4320" w:type="dxa"/>
            <w:vAlign w:val="bottom"/>
          </w:tcPr>
          <w:p>
            <w:pPr>
              <w:ind w:left="800"/>
              <w:spacing w:after="0"/>
              <w:rPr>
                <w:sz w:val="20"/>
                <w:szCs w:val="20"/>
                <w:color w:val="auto"/>
              </w:rPr>
            </w:pPr>
            <w:r>
              <w:rPr>
                <w:rFonts w:ascii="Arial" w:cs="Arial" w:eastAsia="Arial" w:hAnsi="Arial"/>
                <w:sz w:val="14"/>
                <w:szCs w:val="14"/>
                <w:color w:val="auto"/>
              </w:rPr>
              <w:t>Below are the financial highlights:</w:t>
            </w: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4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2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Three Months Ended December 31,</w:t>
            </w:r>
          </w:p>
        </w:tc>
        <w:tc>
          <w:tcPr>
            <w:tcW w:w="0" w:type="dxa"/>
            <w:vAlign w:val="bottom"/>
          </w:tcPr>
          <w:p>
            <w:pPr>
              <w:spacing w:after="0"/>
              <w:rPr>
                <w:sz w:val="1"/>
                <w:szCs w:val="1"/>
                <w:color w:val="auto"/>
              </w:rPr>
            </w:pPr>
          </w:p>
        </w:tc>
      </w:tr>
      <w:tr>
        <w:trPr>
          <w:trHeight w:val="142"/>
        </w:trPr>
        <w:tc>
          <w:tcPr>
            <w:tcW w:w="4320" w:type="dxa"/>
            <w:vAlign w:val="bottom"/>
            <w:tcBorders>
              <w:bottom w:val="single" w:sz="8" w:color="CCEEFF"/>
            </w:tcBorders>
          </w:tcPr>
          <w:p>
            <w:pPr>
              <w:spacing w:after="0"/>
              <w:rPr>
                <w:sz w:val="12"/>
                <w:szCs w:val="12"/>
                <w:color w:val="auto"/>
              </w:rPr>
            </w:pPr>
          </w:p>
        </w:tc>
        <w:tc>
          <w:tcPr>
            <w:tcW w:w="920" w:type="dxa"/>
            <w:vAlign w:val="bottom"/>
            <w:tcBorders>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488"/>
              <w:spacing w:after="0" w:line="142" w:lineRule="exact"/>
              <w:rPr>
                <w:sz w:val="20"/>
                <w:szCs w:val="20"/>
                <w:color w:val="auto"/>
              </w:rPr>
            </w:pPr>
            <w:r>
              <w:rPr>
                <w:rFonts w:ascii="Arial" w:cs="Arial" w:eastAsia="Arial" w:hAnsi="Arial"/>
                <w:sz w:val="14"/>
                <w:szCs w:val="14"/>
                <w:b w:val="1"/>
                <w:bCs w:val="1"/>
                <w:color w:val="auto"/>
              </w:rPr>
              <w:t>2014</w:t>
            </w:r>
          </w:p>
        </w:tc>
        <w:tc>
          <w:tcPr>
            <w:tcW w:w="36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88"/>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432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Per Share Data:</w:t>
            </w:r>
          </w:p>
        </w:tc>
        <w:tc>
          <w:tcPr>
            <w:tcW w:w="9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320" w:type="dxa"/>
            <w:vAlign w:val="bottom"/>
          </w:tcPr>
          <w:p>
            <w:pPr>
              <w:spacing w:after="0" w:line="149" w:lineRule="exact"/>
              <w:rPr>
                <w:sz w:val="20"/>
                <w:szCs w:val="20"/>
                <w:color w:val="auto"/>
              </w:rPr>
            </w:pPr>
            <w:r>
              <w:rPr>
                <w:rFonts w:ascii="Arial" w:cs="Arial" w:eastAsia="Arial" w:hAnsi="Arial"/>
                <w:sz w:val="14"/>
                <w:szCs w:val="14"/>
                <w:color w:val="auto"/>
              </w:rPr>
              <w:t>Net asset value, beginning of period</w:t>
            </w:r>
          </w:p>
        </w:tc>
        <w:tc>
          <w:tcPr>
            <w:tcW w:w="1200" w:type="dxa"/>
            <w:vAlign w:val="bottom"/>
            <w:gridSpan w:val="2"/>
          </w:tcPr>
          <w:p>
            <w:pPr>
              <w:jc w:val="right"/>
              <w:ind w:right="169"/>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11.03</w:t>
            </w:r>
          </w:p>
        </w:tc>
        <w:tc>
          <w:tcPr>
            <w:tcW w:w="320" w:type="dxa"/>
            <w:vAlign w:val="bottom"/>
          </w:tcPr>
          <w:p>
            <w:pPr>
              <w:jc w:val="right"/>
              <w:ind w:right="168"/>
              <w:spacing w:after="0" w:line="149" w:lineRule="exact"/>
              <w:rPr>
                <w:sz w:val="20"/>
                <w:szCs w:val="20"/>
                <w:color w:val="auto"/>
              </w:rPr>
            </w:pPr>
            <w:r>
              <w:rPr>
                <w:rFonts w:ascii="Arial" w:cs="Arial" w:eastAsia="Arial" w:hAnsi="Arial"/>
                <w:sz w:val="14"/>
                <w:szCs w:val="14"/>
                <w:color w:val="auto"/>
                <w:w w:val="76"/>
              </w:rPr>
              <w:t>$</w:t>
            </w:r>
          </w:p>
        </w:tc>
        <w:tc>
          <w:tcPr>
            <w:tcW w:w="12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10.49</w:t>
            </w:r>
          </w:p>
        </w:tc>
        <w:tc>
          <w:tcPr>
            <w:tcW w:w="0" w:type="dxa"/>
            <w:vAlign w:val="bottom"/>
          </w:tcPr>
          <w:p>
            <w:pPr>
              <w:spacing w:after="0"/>
              <w:rPr>
                <w:sz w:val="1"/>
                <w:szCs w:val="1"/>
                <w:color w:val="auto"/>
              </w:rPr>
            </w:pPr>
          </w:p>
        </w:tc>
      </w:tr>
      <w:tr>
        <w:trPr>
          <w:trHeight w:val="148"/>
        </w:trPr>
        <w:tc>
          <w:tcPr>
            <w:tcW w:w="4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Net investment income </w:t>
            </w:r>
            <w:r>
              <w:rPr>
                <w:rFonts w:ascii="Arial" w:cs="Arial" w:eastAsia="Arial" w:hAnsi="Arial"/>
                <w:sz w:val="12"/>
                <w:szCs w:val="12"/>
                <w:color w:val="auto"/>
              </w:rPr>
              <w:t>(1)</w:t>
            </w:r>
          </w:p>
        </w:tc>
        <w:tc>
          <w:tcPr>
            <w:tcW w:w="9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0.26</w:t>
            </w:r>
          </w:p>
        </w:tc>
        <w:tc>
          <w:tcPr>
            <w:tcW w:w="3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0.27</w:t>
            </w:r>
          </w:p>
        </w:tc>
        <w:tc>
          <w:tcPr>
            <w:tcW w:w="0" w:type="dxa"/>
            <w:vAlign w:val="bottom"/>
          </w:tcPr>
          <w:p>
            <w:pPr>
              <w:spacing w:after="0"/>
              <w:rPr>
                <w:sz w:val="1"/>
                <w:szCs w:val="1"/>
                <w:color w:val="auto"/>
              </w:rPr>
            </w:pPr>
          </w:p>
        </w:tc>
      </w:tr>
      <w:tr>
        <w:trPr>
          <w:trHeight w:val="148"/>
        </w:trPr>
        <w:tc>
          <w:tcPr>
            <w:tcW w:w="4320" w:type="dxa"/>
            <w:vAlign w:val="bottom"/>
          </w:tcPr>
          <w:p>
            <w:pPr>
              <w:spacing w:after="0" w:line="149" w:lineRule="exact"/>
              <w:rPr>
                <w:sz w:val="20"/>
                <w:szCs w:val="20"/>
                <w:color w:val="auto"/>
              </w:rPr>
            </w:pPr>
            <w:r>
              <w:rPr>
                <w:rFonts w:ascii="Arial" w:cs="Arial" w:eastAsia="Arial" w:hAnsi="Arial"/>
                <w:sz w:val="14"/>
                <w:szCs w:val="14"/>
                <w:color w:val="auto"/>
              </w:rPr>
              <w:t xml:space="preserve">Net realized and unrealized gain </w:t>
            </w:r>
            <w:r>
              <w:rPr>
                <w:rFonts w:ascii="Arial" w:cs="Arial" w:eastAsia="Arial" w:hAnsi="Arial"/>
                <w:sz w:val="12"/>
                <w:szCs w:val="12"/>
                <w:color w:val="auto"/>
              </w:rPr>
              <w:t>(1)</w:t>
            </w: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(0.58)</w:t>
            </w:r>
          </w:p>
        </w:tc>
        <w:tc>
          <w:tcPr>
            <w:tcW w:w="320" w:type="dxa"/>
            <w:vAlign w:val="bottom"/>
          </w:tcPr>
          <w:p>
            <w:pPr>
              <w:spacing w:after="0"/>
              <w:rPr>
                <w:sz w:val="12"/>
                <w:szCs w:val="12"/>
                <w:color w:val="auto"/>
              </w:rPr>
            </w:pPr>
          </w:p>
        </w:tc>
        <w:tc>
          <w:tcPr>
            <w:tcW w:w="12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0.32</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Net increase in net assets resulting from operations </w:t>
            </w:r>
            <w:r>
              <w:rPr>
                <w:rFonts w:ascii="Arial" w:cs="Arial" w:eastAsia="Arial" w:hAnsi="Arial"/>
                <w:sz w:val="12"/>
                <w:szCs w:val="12"/>
                <w:color w:val="auto"/>
              </w:rPr>
              <w:t>(1)</w:t>
            </w:r>
          </w:p>
        </w:tc>
        <w:tc>
          <w:tcPr>
            <w:tcW w:w="9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(0.32)</w:t>
            </w:r>
          </w:p>
        </w:tc>
        <w:tc>
          <w:tcPr>
            <w:tcW w:w="3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0.59</w:t>
            </w:r>
          </w:p>
        </w:tc>
        <w:tc>
          <w:tcPr>
            <w:tcW w:w="0" w:type="dxa"/>
            <w:vAlign w:val="bottom"/>
          </w:tcPr>
          <w:p>
            <w:pPr>
              <w:spacing w:after="0"/>
              <w:rPr>
                <w:sz w:val="1"/>
                <w:szCs w:val="1"/>
                <w:color w:val="auto"/>
              </w:rPr>
            </w:pPr>
          </w:p>
        </w:tc>
      </w:tr>
      <w:tr>
        <w:trPr>
          <w:trHeight w:val="148"/>
        </w:trPr>
        <w:tc>
          <w:tcPr>
            <w:tcW w:w="4320" w:type="dxa"/>
            <w:vAlign w:val="bottom"/>
          </w:tcPr>
          <w:p>
            <w:pPr>
              <w:spacing w:after="0" w:line="149" w:lineRule="exact"/>
              <w:rPr>
                <w:sz w:val="20"/>
                <w:szCs w:val="20"/>
                <w:color w:val="auto"/>
              </w:rPr>
            </w:pPr>
            <w:r>
              <w:rPr>
                <w:rFonts w:ascii="Arial" w:cs="Arial" w:eastAsia="Arial" w:hAnsi="Arial"/>
                <w:sz w:val="14"/>
                <w:szCs w:val="14"/>
                <w:color w:val="auto"/>
              </w:rPr>
              <w:t xml:space="preserve">Distributions to stockholders </w:t>
            </w:r>
            <w:r>
              <w:rPr>
                <w:rFonts w:ascii="Arial" w:cs="Arial" w:eastAsia="Arial" w:hAnsi="Arial"/>
                <w:sz w:val="12"/>
                <w:szCs w:val="12"/>
                <w:color w:val="auto"/>
              </w:rPr>
              <w:t>(1), (2)</w:t>
            </w: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(0.28)</w:t>
            </w:r>
          </w:p>
        </w:tc>
        <w:tc>
          <w:tcPr>
            <w:tcW w:w="320" w:type="dxa"/>
            <w:vAlign w:val="bottom"/>
          </w:tcPr>
          <w:p>
            <w:pPr>
              <w:spacing w:after="0"/>
              <w:rPr>
                <w:sz w:val="12"/>
                <w:szCs w:val="12"/>
                <w:color w:val="auto"/>
              </w:rPr>
            </w:pPr>
          </w:p>
        </w:tc>
        <w:tc>
          <w:tcPr>
            <w:tcW w:w="12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(0.28)</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4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asset value, end of period</w:t>
            </w:r>
          </w:p>
        </w:tc>
        <w:tc>
          <w:tcPr>
            <w:tcW w:w="1200" w:type="dxa"/>
            <w:vAlign w:val="bottom"/>
            <w:gridSpan w:val="2"/>
            <w:shd w:val="clear" w:color="auto" w:fill="CCEEFF"/>
          </w:tcPr>
          <w:p>
            <w:pPr>
              <w:jc w:val="right"/>
              <w:ind w:right="169"/>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10.43</w:t>
            </w:r>
          </w:p>
        </w:tc>
        <w:tc>
          <w:tcPr>
            <w:tcW w:w="32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w w:val="76"/>
              </w:rPr>
              <w:t>$</w:t>
            </w:r>
          </w:p>
        </w:tc>
        <w:tc>
          <w:tcPr>
            <w:tcW w:w="12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10.80</w:t>
            </w:r>
          </w:p>
        </w:tc>
        <w:tc>
          <w:tcPr>
            <w:tcW w:w="0" w:type="dxa"/>
            <w:vAlign w:val="bottom"/>
          </w:tcPr>
          <w:p>
            <w:pPr>
              <w:spacing w:after="0"/>
              <w:rPr>
                <w:sz w:val="1"/>
                <w:szCs w:val="1"/>
                <w:color w:val="auto"/>
              </w:rPr>
            </w:pPr>
          </w:p>
        </w:tc>
      </w:tr>
      <w:tr>
        <w:trPr>
          <w:trHeight w:val="20"/>
        </w:trPr>
        <w:tc>
          <w:tcPr>
            <w:tcW w:w="4320" w:type="dxa"/>
            <w:vAlign w:val="bottom"/>
            <w:vMerge w:val="restart"/>
          </w:tcPr>
          <w:p>
            <w:pPr>
              <w:spacing w:after="0"/>
              <w:rPr>
                <w:sz w:val="20"/>
                <w:szCs w:val="20"/>
                <w:color w:val="auto"/>
              </w:rPr>
            </w:pPr>
            <w:r>
              <w:rPr>
                <w:rFonts w:ascii="Arial" w:cs="Arial" w:eastAsia="Arial" w:hAnsi="Arial"/>
                <w:sz w:val="14"/>
                <w:szCs w:val="14"/>
                <w:color w:val="auto"/>
              </w:rPr>
              <w:t>Per share market value, end of period</w:t>
            </w:r>
          </w:p>
        </w:tc>
        <w:tc>
          <w:tcPr>
            <w:tcW w:w="9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320" w:type="dxa"/>
            <w:vAlign w:val="bottom"/>
            <w:vMerge w:val="continue"/>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Borders>
              <w:bottom w:val="single" w:sz="8" w:color="auto"/>
            </w:tcBorders>
          </w:tcPr>
          <w:p>
            <w:pPr>
              <w:jc w:val="right"/>
              <w:ind w:right="169"/>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9.53</w:t>
            </w:r>
          </w:p>
        </w:tc>
        <w:tc>
          <w:tcPr>
            <w:tcW w:w="360" w:type="dxa"/>
            <w:vAlign w:val="bottom"/>
          </w:tcPr>
          <w:p>
            <w:pPr>
              <w:spacing w:after="0"/>
              <w:rPr>
                <w:sz w:val="12"/>
                <w:szCs w:val="12"/>
                <w:color w:val="auto"/>
              </w:rPr>
            </w:pPr>
          </w:p>
        </w:tc>
        <w:tc>
          <w:tcPr>
            <w:tcW w:w="320" w:type="dxa"/>
            <w:vAlign w:val="bottom"/>
            <w:tcBorders>
              <w:bottom w:val="single" w:sz="8" w:color="auto"/>
            </w:tcBorders>
          </w:tcPr>
          <w:p>
            <w:pPr>
              <w:jc w:val="right"/>
              <w:ind w:right="168"/>
              <w:spacing w:after="0" w:line="143" w:lineRule="exact"/>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11.60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32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 xml:space="preserve">Total return* </w:t>
            </w:r>
            <w:r>
              <w:rPr>
                <w:rFonts w:ascii="Arial" w:cs="Arial" w:eastAsia="Arial" w:hAnsi="Arial"/>
                <w:sz w:val="12"/>
                <w:szCs w:val="12"/>
                <w:color w:val="auto"/>
              </w:rPr>
              <w:t>(3)</w:t>
            </w:r>
          </w:p>
        </w:tc>
        <w:tc>
          <w:tcPr>
            <w:tcW w:w="9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rPr>
              <w:t>(10.06)%</w:t>
            </w:r>
          </w:p>
        </w:tc>
        <w:tc>
          <w:tcPr>
            <w:tcW w:w="3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5.38%</w:t>
            </w:r>
          </w:p>
        </w:tc>
        <w:tc>
          <w:tcPr>
            <w:tcW w:w="0" w:type="dxa"/>
            <w:vAlign w:val="bottom"/>
          </w:tcPr>
          <w:p>
            <w:pPr>
              <w:spacing w:after="0"/>
              <w:rPr>
                <w:sz w:val="1"/>
                <w:szCs w:val="1"/>
                <w:color w:val="auto"/>
              </w:rPr>
            </w:pPr>
          </w:p>
        </w:tc>
      </w:tr>
      <w:tr>
        <w:trPr>
          <w:trHeight w:val="148"/>
        </w:trPr>
        <w:tc>
          <w:tcPr>
            <w:tcW w:w="4320" w:type="dxa"/>
            <w:vAlign w:val="bottom"/>
          </w:tcPr>
          <w:p>
            <w:pPr>
              <w:spacing w:after="0" w:line="149" w:lineRule="exact"/>
              <w:rPr>
                <w:sz w:val="20"/>
                <w:szCs w:val="20"/>
                <w:color w:val="auto"/>
              </w:rPr>
            </w:pPr>
            <w:r>
              <w:rPr>
                <w:rFonts w:ascii="Arial" w:cs="Arial" w:eastAsia="Arial" w:hAnsi="Arial"/>
                <w:sz w:val="14"/>
                <w:szCs w:val="14"/>
                <w:color w:val="auto"/>
              </w:rPr>
              <w:t>Shares outstanding at end of period</w:t>
            </w: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75,092,911</w:t>
            </w:r>
          </w:p>
        </w:tc>
        <w:tc>
          <w:tcPr>
            <w:tcW w:w="320" w:type="dxa"/>
            <w:vAlign w:val="bottom"/>
          </w:tcPr>
          <w:p>
            <w:pPr>
              <w:spacing w:after="0"/>
              <w:rPr>
                <w:sz w:val="12"/>
                <w:szCs w:val="12"/>
                <w:color w:val="auto"/>
              </w:rPr>
            </w:pPr>
          </w:p>
        </w:tc>
        <w:tc>
          <w:tcPr>
            <w:tcW w:w="12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66,546,734</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32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Ratios**/ Supplemental Data:</w:t>
            </w:r>
          </w:p>
        </w:tc>
        <w:tc>
          <w:tcPr>
            <w:tcW w:w="9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20" w:type="dxa"/>
            <w:vAlign w:val="bottom"/>
          </w:tcPr>
          <w:p>
            <w:pPr>
              <w:spacing w:after="0" w:line="149" w:lineRule="exact"/>
              <w:rPr>
                <w:sz w:val="20"/>
                <w:szCs w:val="20"/>
                <w:color w:val="auto"/>
              </w:rPr>
            </w:pPr>
            <w:r>
              <w:rPr>
                <w:rFonts w:ascii="Arial" w:cs="Arial" w:eastAsia="Arial" w:hAnsi="Arial"/>
                <w:sz w:val="14"/>
                <w:szCs w:val="14"/>
                <w:color w:val="auto"/>
              </w:rPr>
              <w:t xml:space="preserve">Ratio of operating expenses to average net assets </w:t>
            </w:r>
            <w:r>
              <w:rPr>
                <w:rFonts w:ascii="Arial" w:cs="Arial" w:eastAsia="Arial" w:hAnsi="Arial"/>
                <w:sz w:val="12"/>
                <w:szCs w:val="12"/>
                <w:color w:val="auto"/>
              </w:rPr>
              <w:t>(4)</w:t>
            </w: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6.49%</w:t>
            </w:r>
          </w:p>
        </w:tc>
        <w:tc>
          <w:tcPr>
            <w:tcW w:w="320" w:type="dxa"/>
            <w:vAlign w:val="bottom"/>
          </w:tcPr>
          <w:p>
            <w:pPr>
              <w:spacing w:after="0"/>
              <w:rPr>
                <w:sz w:val="12"/>
                <w:szCs w:val="12"/>
                <w:color w:val="auto"/>
              </w:rPr>
            </w:pP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6.66%</w:t>
            </w:r>
          </w:p>
        </w:tc>
        <w:tc>
          <w:tcPr>
            <w:tcW w:w="0" w:type="dxa"/>
            <w:vAlign w:val="bottom"/>
          </w:tcPr>
          <w:p>
            <w:pPr>
              <w:spacing w:after="0"/>
              <w:rPr>
                <w:sz w:val="1"/>
                <w:szCs w:val="1"/>
                <w:color w:val="auto"/>
              </w:rPr>
            </w:pPr>
          </w:p>
        </w:tc>
      </w:tr>
      <w:tr>
        <w:trPr>
          <w:trHeight w:val="148"/>
        </w:trPr>
        <w:tc>
          <w:tcPr>
            <w:tcW w:w="4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Ratio of interest and expenses on debt to average net assets</w:t>
            </w:r>
          </w:p>
        </w:tc>
        <w:tc>
          <w:tcPr>
            <w:tcW w:w="9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3.20%</w:t>
            </w:r>
          </w:p>
        </w:tc>
        <w:tc>
          <w:tcPr>
            <w:tcW w:w="3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2.55%</w:t>
            </w:r>
          </w:p>
        </w:tc>
        <w:tc>
          <w:tcPr>
            <w:tcW w:w="0" w:type="dxa"/>
            <w:vAlign w:val="bottom"/>
          </w:tcPr>
          <w:p>
            <w:pPr>
              <w:spacing w:after="0"/>
              <w:rPr>
                <w:sz w:val="1"/>
                <w:szCs w:val="1"/>
                <w:color w:val="auto"/>
              </w:rPr>
            </w:pPr>
          </w:p>
        </w:tc>
      </w:tr>
      <w:tr>
        <w:trPr>
          <w:trHeight w:val="20"/>
        </w:trPr>
        <w:tc>
          <w:tcPr>
            <w:tcW w:w="4320" w:type="dxa"/>
            <w:vAlign w:val="bottom"/>
            <w:vMerge w:val="restart"/>
          </w:tcPr>
          <w:p>
            <w:pPr>
              <w:spacing w:after="0"/>
              <w:rPr>
                <w:sz w:val="20"/>
                <w:szCs w:val="20"/>
                <w:color w:val="auto"/>
              </w:rPr>
            </w:pPr>
            <w:r>
              <w:rPr>
                <w:rFonts w:ascii="Arial" w:cs="Arial" w:eastAsia="Arial" w:hAnsi="Arial"/>
                <w:sz w:val="14"/>
                <w:szCs w:val="14"/>
                <w:color w:val="auto"/>
              </w:rPr>
              <w:t>Ratio of total expenses to average net assets</w:t>
            </w:r>
          </w:p>
        </w:tc>
        <w:tc>
          <w:tcPr>
            <w:tcW w:w="9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320" w:type="dxa"/>
            <w:vAlign w:val="bottom"/>
            <w:vMerge w:val="continue"/>
          </w:tcPr>
          <w:p>
            <w:pPr>
              <w:spacing w:after="0"/>
              <w:rPr>
                <w:sz w:val="13"/>
                <w:szCs w:val="13"/>
                <w:color w:val="auto"/>
              </w:rPr>
            </w:pPr>
          </w:p>
        </w:tc>
        <w:tc>
          <w:tcPr>
            <w:tcW w:w="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8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rPr>
              <w:t>9.69%</w:t>
            </w:r>
          </w:p>
        </w:tc>
        <w:tc>
          <w:tcPr>
            <w:tcW w:w="320" w:type="dxa"/>
            <w:vAlign w:val="bottom"/>
          </w:tcPr>
          <w:p>
            <w:pPr>
              <w:spacing w:after="0"/>
              <w:rPr>
                <w:sz w:val="13"/>
                <w:szCs w:val="13"/>
                <w:color w:val="auto"/>
              </w:rPr>
            </w:pPr>
          </w:p>
        </w:tc>
        <w:tc>
          <w:tcPr>
            <w:tcW w:w="12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9.21%</w:t>
            </w:r>
          </w:p>
        </w:tc>
        <w:tc>
          <w:tcPr>
            <w:tcW w:w="0" w:type="dxa"/>
            <w:vAlign w:val="bottom"/>
          </w:tcPr>
          <w:p>
            <w:pPr>
              <w:spacing w:after="0"/>
              <w:rPr>
                <w:sz w:val="1"/>
                <w:szCs w:val="1"/>
                <w:color w:val="auto"/>
              </w:rPr>
            </w:pPr>
          </w:p>
        </w:tc>
      </w:tr>
      <w:tr>
        <w:trPr>
          <w:trHeight w:val="149"/>
        </w:trPr>
        <w:tc>
          <w:tcPr>
            <w:tcW w:w="4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Ratio of net investment income to average net assets</w:t>
            </w:r>
          </w:p>
        </w:tc>
        <w:tc>
          <w:tcPr>
            <w:tcW w:w="9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9.57%</w:t>
            </w:r>
          </w:p>
        </w:tc>
        <w:tc>
          <w:tcPr>
            <w:tcW w:w="3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10.03%</w:t>
            </w:r>
          </w:p>
        </w:tc>
        <w:tc>
          <w:tcPr>
            <w:tcW w:w="0" w:type="dxa"/>
            <w:vAlign w:val="bottom"/>
          </w:tcPr>
          <w:p>
            <w:pPr>
              <w:spacing w:after="0"/>
              <w:rPr>
                <w:sz w:val="1"/>
                <w:szCs w:val="1"/>
                <w:color w:val="auto"/>
              </w:rPr>
            </w:pPr>
          </w:p>
        </w:tc>
      </w:tr>
      <w:tr>
        <w:trPr>
          <w:trHeight w:val="148"/>
        </w:trPr>
        <w:tc>
          <w:tcPr>
            <w:tcW w:w="4320" w:type="dxa"/>
            <w:vAlign w:val="bottom"/>
          </w:tcPr>
          <w:p>
            <w:pPr>
              <w:spacing w:after="0" w:line="149" w:lineRule="exact"/>
              <w:rPr>
                <w:sz w:val="20"/>
                <w:szCs w:val="20"/>
                <w:color w:val="auto"/>
              </w:rPr>
            </w:pPr>
            <w:r>
              <w:rPr>
                <w:rFonts w:ascii="Arial" w:cs="Arial" w:eastAsia="Arial" w:hAnsi="Arial"/>
                <w:sz w:val="14"/>
                <w:szCs w:val="14"/>
                <w:color w:val="auto"/>
              </w:rPr>
              <w:t>Net assets at end of period</w:t>
            </w:r>
          </w:p>
        </w:tc>
        <w:tc>
          <w:tcPr>
            <w:tcW w:w="1200" w:type="dxa"/>
            <w:vAlign w:val="bottom"/>
            <w:gridSpan w:val="2"/>
          </w:tcPr>
          <w:p>
            <w:pPr>
              <w:jc w:val="right"/>
              <w:ind w:right="169"/>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783,038,240</w:t>
            </w:r>
          </w:p>
        </w:tc>
        <w:tc>
          <w:tcPr>
            <w:tcW w:w="320" w:type="dxa"/>
            <w:vAlign w:val="bottom"/>
          </w:tcPr>
          <w:p>
            <w:pPr>
              <w:jc w:val="right"/>
              <w:ind w:right="168"/>
              <w:spacing w:after="0" w:line="149" w:lineRule="exact"/>
              <w:rPr>
                <w:sz w:val="20"/>
                <w:szCs w:val="20"/>
                <w:color w:val="auto"/>
              </w:rPr>
            </w:pPr>
            <w:r>
              <w:rPr>
                <w:rFonts w:ascii="Arial" w:cs="Arial" w:eastAsia="Arial" w:hAnsi="Arial"/>
                <w:sz w:val="14"/>
                <w:szCs w:val="14"/>
                <w:color w:val="auto"/>
                <w:w w:val="76"/>
              </w:rPr>
              <w:t>$</w:t>
            </w:r>
          </w:p>
        </w:tc>
        <w:tc>
          <w:tcPr>
            <w:tcW w:w="12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718,865,187</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4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Weighted average debt outstanding </w:t>
            </w:r>
            <w:r>
              <w:rPr>
                <w:rFonts w:ascii="Arial" w:cs="Arial" w:eastAsia="Arial" w:hAnsi="Arial"/>
                <w:sz w:val="12"/>
                <w:szCs w:val="12"/>
                <w:color w:val="auto"/>
              </w:rPr>
              <w:t>(5)</w:t>
            </w:r>
          </w:p>
        </w:tc>
        <w:tc>
          <w:tcPr>
            <w:tcW w:w="1200" w:type="dxa"/>
            <w:vAlign w:val="bottom"/>
            <w:gridSpan w:val="2"/>
            <w:shd w:val="clear" w:color="auto" w:fill="CCEEFF"/>
          </w:tcPr>
          <w:p>
            <w:pPr>
              <w:jc w:val="right"/>
              <w:ind w:right="169"/>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562,649,862</w:t>
            </w:r>
          </w:p>
        </w:tc>
        <w:tc>
          <w:tcPr>
            <w:tcW w:w="32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w w:val="76"/>
              </w:rPr>
              <w:t>$</w:t>
            </w:r>
          </w:p>
        </w:tc>
        <w:tc>
          <w:tcPr>
            <w:tcW w:w="12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433,815,217</w:t>
            </w:r>
          </w:p>
        </w:tc>
        <w:tc>
          <w:tcPr>
            <w:tcW w:w="0" w:type="dxa"/>
            <w:vAlign w:val="bottom"/>
          </w:tcPr>
          <w:p>
            <w:pPr>
              <w:spacing w:after="0"/>
              <w:rPr>
                <w:sz w:val="1"/>
                <w:szCs w:val="1"/>
                <w:color w:val="auto"/>
              </w:rPr>
            </w:pPr>
          </w:p>
        </w:tc>
      </w:tr>
      <w:tr>
        <w:trPr>
          <w:trHeight w:val="156"/>
        </w:trPr>
        <w:tc>
          <w:tcPr>
            <w:tcW w:w="4320" w:type="dxa"/>
            <w:vAlign w:val="bottom"/>
          </w:tcPr>
          <w:p>
            <w:pPr>
              <w:spacing w:after="0" w:line="155" w:lineRule="exact"/>
              <w:rPr>
                <w:sz w:val="20"/>
                <w:szCs w:val="20"/>
                <w:color w:val="auto"/>
              </w:rPr>
            </w:pPr>
            <w:r>
              <w:rPr>
                <w:rFonts w:ascii="Arial" w:cs="Arial" w:eastAsia="Arial" w:hAnsi="Arial"/>
                <w:sz w:val="14"/>
                <w:szCs w:val="14"/>
                <w:color w:val="auto"/>
              </w:rPr>
              <w:t xml:space="preserve">Weighted average debt per share </w:t>
            </w:r>
            <w:r>
              <w:rPr>
                <w:rFonts w:ascii="Arial" w:cs="Arial" w:eastAsia="Arial" w:hAnsi="Arial"/>
                <w:sz w:val="12"/>
                <w:szCs w:val="12"/>
                <w:color w:val="auto"/>
              </w:rPr>
              <w:t>(1), (5)</w:t>
            </w:r>
          </w:p>
        </w:tc>
        <w:tc>
          <w:tcPr>
            <w:tcW w:w="920" w:type="dxa"/>
            <w:vAlign w:val="bottom"/>
          </w:tcPr>
          <w:p>
            <w:pPr>
              <w:spacing w:after="0"/>
              <w:rPr>
                <w:sz w:val="13"/>
                <w:szCs w:val="13"/>
                <w:color w:val="auto"/>
              </w:rPr>
            </w:pPr>
          </w:p>
        </w:tc>
        <w:tc>
          <w:tcPr>
            <w:tcW w:w="280" w:type="dxa"/>
            <w:vAlign w:val="bottom"/>
            <w:tcBorders>
              <w:top w:val="single" w:sz="8" w:color="auto"/>
            </w:tcBorders>
          </w:tcPr>
          <w:p>
            <w:pPr>
              <w:jc w:val="right"/>
              <w:ind w:right="169"/>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7.49</w:t>
            </w:r>
          </w:p>
        </w:tc>
        <w:tc>
          <w:tcPr>
            <w:tcW w:w="360" w:type="dxa"/>
            <w:vAlign w:val="bottom"/>
          </w:tcPr>
          <w:p>
            <w:pPr>
              <w:spacing w:after="0"/>
              <w:rPr>
                <w:sz w:val="13"/>
                <w:szCs w:val="13"/>
                <w:color w:val="auto"/>
              </w:rPr>
            </w:pPr>
          </w:p>
        </w:tc>
        <w:tc>
          <w:tcPr>
            <w:tcW w:w="320" w:type="dxa"/>
            <w:vAlign w:val="bottom"/>
            <w:tcBorders>
              <w:top w:val="single" w:sz="8" w:color="auto"/>
            </w:tcBorders>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6.52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Asset coverage per unit </w:t>
            </w:r>
            <w:r>
              <w:rPr>
                <w:rFonts w:ascii="Arial" w:cs="Arial" w:eastAsia="Arial" w:hAnsi="Arial"/>
                <w:sz w:val="12"/>
                <w:szCs w:val="12"/>
                <w:color w:val="auto"/>
              </w:rPr>
              <w:t>(6)</w:t>
            </w:r>
          </w:p>
        </w:tc>
        <w:tc>
          <w:tcPr>
            <w:tcW w:w="1200" w:type="dxa"/>
            <w:vAlign w:val="bottom"/>
            <w:gridSpan w:val="2"/>
            <w:shd w:val="clear" w:color="auto" w:fill="CCEEFF"/>
          </w:tcPr>
          <w:p>
            <w:pPr>
              <w:jc w:val="right"/>
              <w:ind w:right="169"/>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2,755</w:t>
            </w:r>
          </w:p>
        </w:tc>
        <w:tc>
          <w:tcPr>
            <w:tcW w:w="32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w w:val="76"/>
              </w:rPr>
              <w:t>$</w:t>
            </w:r>
          </w:p>
        </w:tc>
        <w:tc>
          <w:tcPr>
            <w:tcW w:w="12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3,362</w:t>
            </w:r>
          </w:p>
        </w:tc>
        <w:tc>
          <w:tcPr>
            <w:tcW w:w="0" w:type="dxa"/>
            <w:vAlign w:val="bottom"/>
          </w:tcPr>
          <w:p>
            <w:pPr>
              <w:spacing w:after="0"/>
              <w:rPr>
                <w:sz w:val="1"/>
                <w:szCs w:val="1"/>
                <w:color w:val="auto"/>
              </w:rPr>
            </w:pPr>
          </w:p>
        </w:tc>
      </w:tr>
      <w:tr>
        <w:trPr>
          <w:trHeight w:val="182"/>
        </w:trPr>
        <w:tc>
          <w:tcPr>
            <w:tcW w:w="4320" w:type="dxa"/>
            <w:vAlign w:val="bottom"/>
          </w:tcPr>
          <w:p>
            <w:pPr>
              <w:spacing w:after="0"/>
              <w:rPr>
                <w:sz w:val="20"/>
                <w:szCs w:val="20"/>
                <w:color w:val="auto"/>
              </w:rPr>
            </w:pPr>
            <w:r>
              <w:rPr>
                <w:rFonts w:ascii="Arial" w:cs="Arial" w:eastAsia="Arial" w:hAnsi="Arial"/>
                <w:sz w:val="14"/>
                <w:szCs w:val="14"/>
                <w:color w:val="auto"/>
              </w:rPr>
              <w:t>Portfolio turnover ratio</w:t>
            </w: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4"/>
                <w:szCs w:val="14"/>
                <w:color w:val="auto"/>
              </w:rPr>
              <w:t>24.04%</w:t>
            </w:r>
          </w:p>
        </w:tc>
        <w:tc>
          <w:tcPr>
            <w:tcW w:w="320" w:type="dxa"/>
            <w:vAlign w:val="bottom"/>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50.16%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18516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103"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4"/>
          <w:szCs w:val="14"/>
          <w:color w:val="auto"/>
        </w:rPr>
      </w:pPr>
      <w:r>
        <w:rPr>
          <w:rFonts w:ascii="Arial" w:cs="Arial" w:eastAsia="Arial" w:hAnsi="Arial"/>
          <w:sz w:val="14"/>
          <w:szCs w:val="14"/>
          <w:color w:val="auto"/>
        </w:rPr>
        <w:t>Not annualized for periods less than one year.</w:t>
      </w:r>
    </w:p>
    <w:p>
      <w:pPr>
        <w:spacing w:after="0" w:line="28"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2"/>
          <w:szCs w:val="12"/>
          <w:color w:val="auto"/>
        </w:rPr>
        <w:t>Annualized for periods less than one year.</w:t>
      </w:r>
    </w:p>
    <w:p>
      <w:pPr>
        <w:spacing w:after="0" w:line="28"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2"/>
          <w:szCs w:val="12"/>
          <w:color w:val="auto"/>
        </w:rPr>
      </w:pPr>
      <w:r>
        <w:rPr>
          <w:rFonts w:ascii="Arial" w:cs="Arial" w:eastAsia="Arial" w:hAnsi="Arial"/>
          <w:sz w:val="14"/>
          <w:szCs w:val="14"/>
          <w:color w:val="auto"/>
        </w:rPr>
        <w:t>Based on the weighted average shares outstanding for the respective periods.</w:t>
      </w:r>
    </w:p>
    <w:p>
      <w:pPr>
        <w:spacing w:after="0" w:line="28" w:lineRule="exact"/>
        <w:rPr>
          <w:rFonts w:ascii="Arial" w:cs="Arial" w:eastAsia="Arial" w:hAnsi="Arial"/>
          <w:sz w:val="12"/>
          <w:szCs w:val="12"/>
          <w:color w:val="auto"/>
        </w:rPr>
      </w:pPr>
    </w:p>
    <w:p>
      <w:pPr>
        <w:ind w:left="460" w:right="240" w:hanging="452"/>
        <w:spacing w:after="0" w:line="251" w:lineRule="auto"/>
        <w:tabs>
          <w:tab w:leader="none" w:pos="460" w:val="left"/>
        </w:tabs>
        <w:numPr>
          <w:ilvl w:val="0"/>
          <w:numId w:val="10"/>
        </w:numPr>
        <w:rPr>
          <w:rFonts w:ascii="Arial" w:cs="Arial" w:eastAsia="Arial" w:hAnsi="Arial"/>
          <w:sz w:val="12"/>
          <w:szCs w:val="12"/>
          <w:color w:val="auto"/>
        </w:rPr>
      </w:pPr>
      <w:r>
        <w:rPr>
          <w:rFonts w:ascii="Arial" w:cs="Arial" w:eastAsia="Arial" w:hAnsi="Arial"/>
          <w:sz w:val="14"/>
          <w:szCs w:val="14"/>
          <w:color w:val="auto"/>
        </w:rPr>
        <w:t>The tax status of distributions is calculated in accordance with income tax regulations, which may differ from amounts determined under GAAP, and reported on Form 1099-DIV each calendar year.</w:t>
      </w:r>
    </w:p>
    <w:p>
      <w:pPr>
        <w:ind w:left="460" w:hanging="452"/>
        <w:spacing w:after="0"/>
        <w:tabs>
          <w:tab w:leader="none" w:pos="460" w:val="left"/>
        </w:tabs>
        <w:numPr>
          <w:ilvl w:val="0"/>
          <w:numId w:val="10"/>
        </w:numPr>
        <w:rPr>
          <w:rFonts w:ascii="Arial" w:cs="Arial" w:eastAsia="Arial" w:hAnsi="Arial"/>
          <w:sz w:val="12"/>
          <w:szCs w:val="12"/>
          <w:color w:val="auto"/>
        </w:rPr>
      </w:pPr>
      <w:r>
        <w:rPr>
          <w:rFonts w:ascii="Arial" w:cs="Arial" w:eastAsia="Arial" w:hAnsi="Arial"/>
          <w:sz w:val="14"/>
          <w:szCs w:val="14"/>
          <w:color w:val="auto"/>
        </w:rPr>
        <w:t>Based on the change in market price per share during the period and takes into account distributions, if any, reinvested in accordance with our dividend reinvestment plan.</w:t>
      </w:r>
    </w:p>
    <w:p>
      <w:pPr>
        <w:spacing w:after="0" w:line="28" w:lineRule="exact"/>
        <w:rPr>
          <w:rFonts w:ascii="Arial" w:cs="Arial" w:eastAsia="Arial" w:hAnsi="Arial"/>
          <w:sz w:val="12"/>
          <w:szCs w:val="12"/>
          <w:color w:val="auto"/>
        </w:rPr>
      </w:pPr>
    </w:p>
    <w:p>
      <w:pPr>
        <w:ind w:left="460" w:hanging="452"/>
        <w:spacing w:after="0"/>
        <w:tabs>
          <w:tab w:leader="none" w:pos="460" w:val="left"/>
        </w:tabs>
        <w:numPr>
          <w:ilvl w:val="0"/>
          <w:numId w:val="10"/>
        </w:numPr>
        <w:rPr>
          <w:rFonts w:ascii="Arial" w:cs="Arial" w:eastAsia="Arial" w:hAnsi="Arial"/>
          <w:sz w:val="12"/>
          <w:szCs w:val="12"/>
          <w:color w:val="auto"/>
        </w:rPr>
      </w:pPr>
      <w:r>
        <w:rPr>
          <w:rFonts w:ascii="Arial" w:cs="Arial" w:eastAsia="Arial" w:hAnsi="Arial"/>
          <w:sz w:val="14"/>
          <w:szCs w:val="14"/>
          <w:color w:val="auto"/>
        </w:rPr>
        <w:t>Excludes debt related costs.</w:t>
      </w:r>
    </w:p>
    <w:p>
      <w:pPr>
        <w:spacing w:after="0" w:line="28" w:lineRule="exact"/>
        <w:rPr>
          <w:rFonts w:ascii="Arial" w:cs="Arial" w:eastAsia="Arial" w:hAnsi="Arial"/>
          <w:sz w:val="12"/>
          <w:szCs w:val="12"/>
          <w:color w:val="auto"/>
        </w:rPr>
      </w:pPr>
    </w:p>
    <w:p>
      <w:pPr>
        <w:ind w:left="460" w:hanging="452"/>
        <w:spacing w:after="0"/>
        <w:tabs>
          <w:tab w:leader="none" w:pos="460" w:val="left"/>
        </w:tabs>
        <w:numPr>
          <w:ilvl w:val="0"/>
          <w:numId w:val="10"/>
        </w:numPr>
        <w:rPr>
          <w:rFonts w:ascii="Arial" w:cs="Arial" w:eastAsia="Arial" w:hAnsi="Arial"/>
          <w:sz w:val="12"/>
          <w:szCs w:val="12"/>
          <w:color w:val="auto"/>
        </w:rPr>
      </w:pPr>
      <w:r>
        <w:rPr>
          <w:rFonts w:ascii="Arial" w:cs="Arial" w:eastAsia="Arial" w:hAnsi="Arial"/>
          <w:sz w:val="14"/>
          <w:szCs w:val="14"/>
          <w:color w:val="auto"/>
        </w:rPr>
        <w:t>Includes SBA debentures outstanding.</w:t>
      </w:r>
    </w:p>
    <w:p>
      <w:pPr>
        <w:spacing w:after="0" w:line="28" w:lineRule="exact"/>
        <w:rPr>
          <w:rFonts w:ascii="Arial" w:cs="Arial" w:eastAsia="Arial" w:hAnsi="Arial"/>
          <w:sz w:val="12"/>
          <w:szCs w:val="12"/>
          <w:color w:val="auto"/>
        </w:rPr>
      </w:pPr>
    </w:p>
    <w:p>
      <w:pPr>
        <w:jc w:val="both"/>
        <w:ind w:left="460" w:right="320" w:hanging="452"/>
        <w:spacing w:after="0" w:line="264" w:lineRule="auto"/>
        <w:tabs>
          <w:tab w:leader="none" w:pos="460" w:val="left"/>
        </w:tabs>
        <w:numPr>
          <w:ilvl w:val="0"/>
          <w:numId w:val="10"/>
        </w:numPr>
        <w:rPr>
          <w:rFonts w:ascii="Arial" w:cs="Arial" w:eastAsia="Arial" w:hAnsi="Arial"/>
          <w:sz w:val="11"/>
          <w:szCs w:val="11"/>
          <w:color w:val="auto"/>
        </w:rPr>
      </w:pPr>
      <w:r>
        <w:rPr>
          <w:rFonts w:ascii="Arial" w:cs="Arial" w:eastAsia="Arial" w:hAnsi="Arial"/>
          <w:sz w:val="13"/>
          <w:szCs w:val="13"/>
          <w:color w:val="auto"/>
        </w:rPr>
        <w:t>The asset coverage ratio for a class of senior securities representing indebtedness is calculated on our consolidated total assets, less all liabilities and indebtedness not represented by senior securities, divided by the senior securities representing indebtedness. This asset coverage ratio is multiplied by $1,000 to determine the asset coverage per unit. These amounts exclude SBIC LP’s SBA debentures from our asset coverage per unit computation pursuant to an exemptive relief letter provided by the SEC in June 2011.</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 DEBT</w:t>
      </w:r>
    </w:p>
    <w:p>
      <w:pPr>
        <w:spacing w:after="0" w:line="100" w:lineRule="exact"/>
        <w:rPr>
          <w:sz w:val="20"/>
          <w:szCs w:val="20"/>
          <w:color w:val="auto"/>
        </w:rPr>
      </w:pPr>
    </w:p>
    <w:p>
      <w:pPr>
        <w:ind w:right="100" w:firstLine="562"/>
        <w:spacing w:after="0" w:line="233" w:lineRule="auto"/>
        <w:rPr>
          <w:sz w:val="20"/>
          <w:szCs w:val="20"/>
          <w:color w:val="auto"/>
        </w:rPr>
      </w:pPr>
      <w:r>
        <w:rPr>
          <w:rFonts w:ascii="Arial" w:cs="Arial" w:eastAsia="Arial" w:hAnsi="Arial"/>
          <w:sz w:val="14"/>
          <w:szCs w:val="14"/>
          <w:color w:val="auto"/>
        </w:rPr>
        <w:t>Our annualized weighted average cost of debt for the three months ended December 31, 2014 and 2013, inclusive of the fee on the undrawn commitment on the Credit Facility and amortized upfront fees on SBA debentures but excluding debt issuance costs, was 4.63% and 4.20%, respectively. In accordance with the 1940 Act, with certain limited exceptions, we are only allowed to borrow amounts such that we are in compliance with our asset coverage ratio after such borrowing, excluding SBA debentures, pursuant to exemptive relief from the SEC received in June 2011.</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Credit Facility</w:t>
      </w:r>
    </w:p>
    <w:p>
      <w:pPr>
        <w:spacing w:after="0" w:line="96" w:lineRule="exact"/>
        <w:rPr>
          <w:sz w:val="20"/>
          <w:szCs w:val="20"/>
          <w:color w:val="auto"/>
        </w:rPr>
      </w:pPr>
    </w:p>
    <w:p>
      <w:pPr>
        <w:ind w:firstLine="562"/>
        <w:spacing w:after="0" w:line="231" w:lineRule="auto"/>
        <w:rPr>
          <w:sz w:val="20"/>
          <w:szCs w:val="20"/>
          <w:color w:val="auto"/>
        </w:rPr>
      </w:pPr>
      <w:r>
        <w:rPr>
          <w:rFonts w:ascii="Arial" w:cs="Arial" w:eastAsia="Arial" w:hAnsi="Arial"/>
          <w:sz w:val="14"/>
          <w:szCs w:val="14"/>
          <w:color w:val="auto"/>
        </w:rPr>
        <w:t>We have a $545 million multi-currency Credit Facility with certain lenders and SunTrust Bank, acting as administrative agent, and JPMorgan Chase Bank, N.A., acting as syndication agent for the lenders. As of December 31, 2014 and September 30, 2014, there was $125.9 million (including a temporary draw of $8.0 million) and $55.2 million, respectively, in outstanding borrowings under the Credit Facility, with a weighted average interest rate at the time of 2.75% and 2.80%, exclusive of the fee on undrawn commitments of 0.375%. The Credit Facility is a five-year revolving facility with a stated maturity date of June 25, 2019, a one-year term-out period following its fourth year and pricing set at 225 basis points over LIBOR. The Credit Facility is secured by substantially all of our assets excluding assets held by our SBIC Funds.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25</w:t>
      </w:r>
    </w:p>
    <w:p>
      <w:pPr>
        <w:sectPr>
          <w:pgSz w:w="11900" w:h="16838" w:orient="portrait"/>
          <w:cols w:equalWidth="0" w:num="1">
            <w:col w:w="11220"/>
          </w:cols>
          <w:pgMar w:left="320" w:top="459" w:right="3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3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300"/>
        <w:spacing w:after="0" w:line="226" w:lineRule="auto"/>
        <w:rPr>
          <w:sz w:val="20"/>
          <w:szCs w:val="20"/>
          <w:color w:val="auto"/>
        </w:rPr>
      </w:pPr>
      <w:r>
        <w:rPr>
          <w:rFonts w:ascii="Arial" w:cs="Arial" w:eastAsia="Arial" w:hAnsi="Arial"/>
          <w:sz w:val="14"/>
          <w:szCs w:val="14"/>
          <w:b w:val="1"/>
          <w:bCs w:val="1"/>
          <w:color w:val="auto"/>
        </w:rPr>
        <w:t>NOTES TO CONSOLIDATED FINANCIAL STATEMENTS – (Continued)</w:t>
      </w:r>
    </w:p>
    <w:p>
      <w:pPr>
        <w:jc w:val="center"/>
        <w:ind w:right="-19"/>
        <w:spacing w:after="0" w:line="221" w:lineRule="auto"/>
        <w:rPr>
          <w:sz w:val="20"/>
          <w:szCs w:val="20"/>
          <w:color w:val="auto"/>
        </w:rPr>
      </w:pPr>
      <w:r>
        <w:rPr>
          <w:rFonts w:ascii="Arial" w:cs="Arial" w:eastAsia="Arial" w:hAnsi="Arial"/>
          <w:sz w:val="14"/>
          <w:szCs w:val="14"/>
          <w:b w:val="1"/>
          <w:bCs w:val="1"/>
          <w:color w:val="auto"/>
        </w:rPr>
        <w:t>DECEMBER 31, 2014</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SBA Debentures</w:t>
      </w:r>
    </w:p>
    <w:p>
      <w:pPr>
        <w:spacing w:after="0" w:line="96" w:lineRule="exact"/>
        <w:rPr>
          <w:sz w:val="20"/>
          <w:szCs w:val="20"/>
          <w:color w:val="auto"/>
        </w:rPr>
      </w:pPr>
    </w:p>
    <w:p>
      <w:pPr>
        <w:ind w:firstLine="562"/>
        <w:spacing w:after="0" w:line="229" w:lineRule="auto"/>
        <w:rPr>
          <w:sz w:val="20"/>
          <w:szCs w:val="20"/>
          <w:color w:val="auto"/>
        </w:rPr>
      </w:pPr>
      <w:r>
        <w:rPr>
          <w:rFonts w:ascii="Arial" w:cs="Arial" w:eastAsia="Arial" w:hAnsi="Arial"/>
          <w:sz w:val="14"/>
          <w:szCs w:val="14"/>
          <w:color w:val="auto"/>
        </w:rPr>
        <w:t>Our SBIC Funds are able to borrow funds from the SBA against regulatory capital (which approximates equity capital) that is paid-in and is subject to customary regulatory requirements including an examination by the SBA. We have funded SBIC LP with $75.0 million of equity capital and it had SBA debentures outstanding of $150.0 million as of December 31, 2014. We have funded SBIC II with $37.5 million of equity capital and we received a commitment from the SBA to allow SBIC II to access $75.0 million in SBA debentures. SBA debentures are non-recourse to us and may be prepaid at any time without penalty. The interest rate of SBA debentures is fixed at the time of issuance, often referred to as pooling, at a market-driven spread over 10-year U.S. Treasury Notes. Under current SBA regulations, a SBIC may individually borrow to a maximum of $150 million, which is up to twice its potential regulatory capital, and as part of a group of SBICs under common control may borrow a maximum of $225 million in the aggregate.</w:t>
      </w:r>
    </w:p>
    <w:p>
      <w:pPr>
        <w:spacing w:after="0" w:line="77" w:lineRule="exact"/>
        <w:rPr>
          <w:sz w:val="20"/>
          <w:szCs w:val="20"/>
          <w:color w:val="auto"/>
        </w:rPr>
      </w:pPr>
    </w:p>
    <w:p>
      <w:pPr>
        <w:ind w:right="380" w:firstLine="562"/>
        <w:spacing w:after="0" w:line="253" w:lineRule="auto"/>
        <w:rPr>
          <w:sz w:val="20"/>
          <w:szCs w:val="20"/>
          <w:color w:val="auto"/>
        </w:rPr>
      </w:pPr>
      <w:r>
        <w:rPr>
          <w:rFonts w:ascii="Arial" w:cs="Arial" w:eastAsia="Arial" w:hAnsi="Arial"/>
          <w:sz w:val="14"/>
          <w:szCs w:val="14"/>
          <w:color w:val="auto"/>
        </w:rPr>
        <w:t>As of December 31, 2014 and September 30, 2014, our SBIC Funds had $225 million and $150 million in debt commitments, respectively, and $150.0 million was drawn for each period. Both SBA debentures’ upfront fees of 3.43% consist of a commitment fee of 1.00% and an issuance discount of 2.43%, which are being amortized.</w:t>
      </w:r>
    </w:p>
    <w:p>
      <w:pPr>
        <w:spacing w:after="0" w:line="66" w:lineRule="exact"/>
        <w:rPr>
          <w:sz w:val="20"/>
          <w:szCs w:val="20"/>
          <w:color w:val="auto"/>
        </w:rPr>
      </w:pPr>
    </w:p>
    <w:p>
      <w:pPr>
        <w:ind w:left="560"/>
        <w:spacing w:after="0"/>
        <w:rPr>
          <w:sz w:val="20"/>
          <w:szCs w:val="20"/>
          <w:color w:val="auto"/>
        </w:rPr>
      </w:pPr>
      <w:r>
        <w:rPr>
          <w:rFonts w:ascii="Arial" w:cs="Arial" w:eastAsia="Arial" w:hAnsi="Arial"/>
          <w:sz w:val="14"/>
          <w:szCs w:val="14"/>
          <w:color w:val="auto"/>
        </w:rPr>
        <w:t>Our fixed-rate SBA debentures as of December 31, 2014 and September 30, 2014 were as follows:</w:t>
      </w:r>
    </w:p>
    <w:p>
      <w:pPr>
        <w:spacing w:after="0" w:line="214" w:lineRule="exact"/>
        <w:rPr>
          <w:sz w:val="20"/>
          <w:szCs w:val="20"/>
          <w:color w:val="auto"/>
        </w:rPr>
      </w:pPr>
    </w:p>
    <w:tbl>
      <w:tblPr>
        <w:tblLayout w:type="fixed"/>
        <w:tblInd w:w="1360" w:type="dxa"/>
        <w:tblCellMar>
          <w:top w:w="0" w:type="dxa"/>
          <w:left w:w="0" w:type="dxa"/>
          <w:bottom w:w="0" w:type="dxa"/>
          <w:right w:w="0" w:type="dxa"/>
        </w:tblCellMar>
      </w:tblPr>
      <w:tr>
        <w:trPr>
          <w:trHeight w:val="161"/>
        </w:trPr>
        <w:tc>
          <w:tcPr>
            <w:tcW w:w="2200" w:type="dxa"/>
            <w:vAlign w:val="bottom"/>
            <w:vMerge w:val="restart"/>
          </w:tcPr>
          <w:p>
            <w:pPr>
              <w:jc w:val="right"/>
              <w:ind w:right="568"/>
              <w:spacing w:after="0"/>
              <w:rPr>
                <w:sz w:val="20"/>
                <w:szCs w:val="20"/>
                <w:color w:val="auto"/>
              </w:rPr>
            </w:pPr>
            <w:r>
              <w:rPr>
                <w:rFonts w:ascii="Arial" w:cs="Arial" w:eastAsia="Arial" w:hAnsi="Arial"/>
                <w:sz w:val="14"/>
                <w:szCs w:val="14"/>
                <w:b w:val="1"/>
                <w:bCs w:val="1"/>
                <w:color w:val="auto"/>
              </w:rPr>
              <w:t>Issuance Dates</w:t>
            </w:r>
          </w:p>
        </w:tc>
        <w:tc>
          <w:tcPr>
            <w:tcW w:w="360" w:type="dxa"/>
            <w:vAlign w:val="bottom"/>
            <w:vMerge w:val="restart"/>
          </w:tcPr>
          <w:p>
            <w:pPr>
              <w:spacing w:after="0"/>
              <w:rPr>
                <w:sz w:val="14"/>
                <w:szCs w:val="14"/>
                <w:color w:val="auto"/>
              </w:rPr>
            </w:pPr>
          </w:p>
        </w:tc>
        <w:tc>
          <w:tcPr>
            <w:tcW w:w="1900" w:type="dxa"/>
            <w:vAlign w:val="bottom"/>
            <w:vMerge w:val="restart"/>
          </w:tcPr>
          <w:p>
            <w:pPr>
              <w:jc w:val="right"/>
              <w:ind w:right="628"/>
              <w:spacing w:after="0"/>
              <w:rPr>
                <w:sz w:val="20"/>
                <w:szCs w:val="20"/>
                <w:color w:val="auto"/>
              </w:rPr>
            </w:pPr>
            <w:r>
              <w:rPr>
                <w:rFonts w:ascii="Arial" w:cs="Arial" w:eastAsia="Arial" w:hAnsi="Arial"/>
                <w:sz w:val="14"/>
                <w:szCs w:val="14"/>
                <w:b w:val="1"/>
                <w:bCs w:val="1"/>
                <w:color w:val="auto"/>
              </w:rPr>
              <w:t>Maturity</w:t>
            </w:r>
          </w:p>
        </w:tc>
        <w:tc>
          <w:tcPr>
            <w:tcW w:w="440" w:type="dxa"/>
            <w:vAlign w:val="bottom"/>
            <w:vMerge w:val="restart"/>
          </w:tcPr>
          <w:p>
            <w:pPr>
              <w:spacing w:after="0"/>
              <w:rPr>
                <w:sz w:val="14"/>
                <w:szCs w:val="14"/>
                <w:color w:val="auto"/>
              </w:rPr>
            </w:pPr>
          </w:p>
        </w:tc>
        <w:tc>
          <w:tcPr>
            <w:tcW w:w="2020" w:type="dxa"/>
            <w:vAlign w:val="bottom"/>
            <w:gridSpan w:val="2"/>
          </w:tcPr>
          <w:p>
            <w:pPr>
              <w:ind w:left="140"/>
              <w:spacing w:after="0"/>
              <w:rPr>
                <w:sz w:val="20"/>
                <w:szCs w:val="20"/>
                <w:color w:val="auto"/>
              </w:rPr>
            </w:pPr>
            <w:r>
              <w:rPr>
                <w:rFonts w:ascii="Arial" w:cs="Arial" w:eastAsia="Arial" w:hAnsi="Arial"/>
                <w:sz w:val="14"/>
                <w:szCs w:val="14"/>
                <w:b w:val="1"/>
                <w:bCs w:val="1"/>
                <w:color w:val="auto"/>
              </w:rPr>
              <w:t>Fixed All-in coupon</w:t>
            </w:r>
          </w:p>
        </w:tc>
        <w:tc>
          <w:tcPr>
            <w:tcW w:w="180" w:type="dxa"/>
            <w:vAlign w:val="bottom"/>
          </w:tcPr>
          <w:p>
            <w:pPr>
              <w:spacing w:after="0"/>
              <w:rPr>
                <w:sz w:val="14"/>
                <w:szCs w:val="14"/>
                <w:color w:val="auto"/>
              </w:rPr>
            </w:pPr>
          </w:p>
        </w:tc>
        <w:tc>
          <w:tcPr>
            <w:tcW w:w="134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w w:val="95"/>
              </w:rPr>
              <w:t>Principal Balance</w:t>
            </w:r>
          </w:p>
        </w:tc>
        <w:tc>
          <w:tcPr>
            <w:tcW w:w="8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200" w:type="dxa"/>
            <w:vAlign w:val="bottom"/>
            <w:tcBorders>
              <w:bottom w:val="single" w:sz="8" w:color="auto"/>
            </w:tcBorders>
            <w:vMerge w:val="continue"/>
          </w:tcPr>
          <w:p>
            <w:pPr>
              <w:spacing w:after="0"/>
              <w:rPr>
                <w:sz w:val="14"/>
                <w:szCs w:val="14"/>
                <w:color w:val="auto"/>
              </w:rPr>
            </w:pPr>
          </w:p>
        </w:tc>
        <w:tc>
          <w:tcPr>
            <w:tcW w:w="360" w:type="dxa"/>
            <w:vAlign w:val="bottom"/>
            <w:tcBorders>
              <w:bottom w:val="single" w:sz="8" w:color="CCEEFF"/>
            </w:tcBorders>
            <w:vMerge w:val="continue"/>
          </w:tcPr>
          <w:p>
            <w:pPr>
              <w:spacing w:after="0"/>
              <w:rPr>
                <w:sz w:val="14"/>
                <w:szCs w:val="14"/>
                <w:color w:val="auto"/>
              </w:rPr>
            </w:pPr>
          </w:p>
        </w:tc>
        <w:tc>
          <w:tcPr>
            <w:tcW w:w="1900" w:type="dxa"/>
            <w:vAlign w:val="bottom"/>
            <w:tcBorders>
              <w:bottom w:val="single" w:sz="8" w:color="auto"/>
            </w:tcBorders>
            <w:vMerge w:val="continue"/>
          </w:tcPr>
          <w:p>
            <w:pPr>
              <w:spacing w:after="0"/>
              <w:rPr>
                <w:sz w:val="14"/>
                <w:szCs w:val="14"/>
                <w:color w:val="auto"/>
              </w:rPr>
            </w:pPr>
          </w:p>
        </w:tc>
        <w:tc>
          <w:tcPr>
            <w:tcW w:w="440" w:type="dxa"/>
            <w:vAlign w:val="bottom"/>
            <w:tcBorders>
              <w:bottom w:val="single" w:sz="8" w:color="CCEEFF"/>
            </w:tcBorders>
            <w:vMerge w:val="continue"/>
          </w:tcPr>
          <w:p>
            <w:pPr>
              <w:spacing w:after="0"/>
              <w:rPr>
                <w:sz w:val="14"/>
                <w:szCs w:val="14"/>
                <w:color w:val="auto"/>
              </w:rPr>
            </w:pPr>
          </w:p>
        </w:tc>
        <w:tc>
          <w:tcPr>
            <w:tcW w:w="152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 xml:space="preserve">rate </w:t>
            </w:r>
            <w:r>
              <w:rPr>
                <w:rFonts w:ascii="Arial" w:cs="Arial" w:eastAsia="Arial" w:hAnsi="Arial"/>
                <w:sz w:val="12"/>
                <w:szCs w:val="12"/>
                <w:b w:val="1"/>
                <w:bCs w:val="1"/>
                <w:color w:val="auto"/>
              </w:rPr>
              <w:t>(1)</w:t>
            </w:r>
          </w:p>
        </w:tc>
        <w:tc>
          <w:tcPr>
            <w:tcW w:w="5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200" w:type="dxa"/>
            <w:vAlign w:val="bottom"/>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September 22, 2010</w:t>
            </w:r>
          </w:p>
        </w:tc>
        <w:tc>
          <w:tcPr>
            <w:tcW w:w="360" w:type="dxa"/>
            <w:vAlign w:val="bottom"/>
            <w:shd w:val="clear" w:color="auto" w:fill="CCEEFF"/>
          </w:tcPr>
          <w:p>
            <w:pPr>
              <w:spacing w:after="0"/>
              <w:rPr>
                <w:sz w:val="12"/>
                <w:szCs w:val="12"/>
                <w:color w:val="auto"/>
              </w:rPr>
            </w:pPr>
          </w:p>
        </w:tc>
        <w:tc>
          <w:tcPr>
            <w:tcW w:w="1900" w:type="dxa"/>
            <w:vAlign w:val="bottom"/>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September 1, 2020</w:t>
            </w:r>
          </w:p>
        </w:tc>
        <w:tc>
          <w:tcPr>
            <w:tcW w:w="440" w:type="dxa"/>
            <w:vAlign w:val="bottom"/>
            <w:shd w:val="clear" w:color="auto" w:fill="CCEEFF"/>
          </w:tcPr>
          <w:p>
            <w:pPr>
              <w:spacing w:after="0"/>
              <w:rPr>
                <w:sz w:val="12"/>
                <w:szCs w:val="12"/>
                <w:color w:val="auto"/>
              </w:rPr>
            </w:pPr>
          </w:p>
        </w:tc>
        <w:tc>
          <w:tcPr>
            <w:tcW w:w="2020" w:type="dxa"/>
            <w:vAlign w:val="bottom"/>
            <w:gridSpan w:val="2"/>
            <w:shd w:val="clear" w:color="auto" w:fill="CCEEFF"/>
          </w:tcPr>
          <w:p>
            <w:pPr>
              <w:ind w:left="1260"/>
              <w:spacing w:after="0" w:line="142" w:lineRule="exact"/>
              <w:rPr>
                <w:sz w:val="20"/>
                <w:szCs w:val="20"/>
                <w:color w:val="auto"/>
              </w:rPr>
            </w:pPr>
            <w:r>
              <w:rPr>
                <w:rFonts w:ascii="Arial" w:cs="Arial" w:eastAsia="Arial" w:hAnsi="Arial"/>
                <w:sz w:val="14"/>
                <w:szCs w:val="14"/>
                <w:color w:val="auto"/>
              </w:rPr>
              <w:t>3.50%</w:t>
            </w:r>
          </w:p>
        </w:tc>
        <w:tc>
          <w:tcPr>
            <w:tcW w:w="1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500,000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March 29, 2011</w:t>
            </w:r>
          </w:p>
        </w:tc>
        <w:tc>
          <w:tcPr>
            <w:tcW w:w="23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March 1, 2021</w:t>
            </w:r>
          </w:p>
        </w:tc>
        <w:tc>
          <w:tcPr>
            <w:tcW w:w="2020" w:type="dxa"/>
            <w:vAlign w:val="bottom"/>
            <w:gridSpan w:val="2"/>
          </w:tcPr>
          <w:p>
            <w:pPr>
              <w:ind w:left="1260"/>
              <w:spacing w:after="0" w:line="149" w:lineRule="exact"/>
              <w:rPr>
                <w:sz w:val="20"/>
                <w:szCs w:val="20"/>
                <w:color w:val="auto"/>
              </w:rPr>
            </w:pPr>
            <w:r>
              <w:rPr>
                <w:rFonts w:ascii="Arial" w:cs="Arial" w:eastAsia="Arial" w:hAnsi="Arial"/>
                <w:sz w:val="14"/>
                <w:szCs w:val="14"/>
                <w:color w:val="auto"/>
              </w:rPr>
              <w:t>4.46</w:t>
            </w:r>
          </w:p>
        </w:tc>
        <w:tc>
          <w:tcPr>
            <w:tcW w:w="18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Arial" w:cs="Arial" w:eastAsia="Arial" w:hAnsi="Arial"/>
                <w:sz w:val="14"/>
                <w:szCs w:val="14"/>
                <w:color w:val="auto"/>
              </w:rPr>
              <w:t>44,500,000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September 21, 2011</w:t>
            </w:r>
          </w:p>
        </w:tc>
        <w:tc>
          <w:tcPr>
            <w:tcW w:w="23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September 1, 2021</w:t>
            </w:r>
          </w:p>
        </w:tc>
        <w:tc>
          <w:tcPr>
            <w:tcW w:w="1520" w:type="dxa"/>
            <w:vAlign w:val="bottom"/>
            <w:tcBorders>
              <w:bottom w:val="single" w:sz="8" w:color="auto"/>
            </w:tcBorders>
            <w:shd w:val="clear" w:color="auto" w:fill="CCEEFF"/>
          </w:tcPr>
          <w:p>
            <w:pPr>
              <w:ind w:left="1260"/>
              <w:spacing w:after="0" w:line="149" w:lineRule="exact"/>
              <w:rPr>
                <w:sz w:val="20"/>
                <w:szCs w:val="20"/>
                <w:color w:val="auto"/>
              </w:rPr>
            </w:pPr>
            <w:r>
              <w:rPr>
                <w:rFonts w:ascii="Arial" w:cs="Arial" w:eastAsia="Arial" w:hAnsi="Arial"/>
                <w:sz w:val="14"/>
                <w:szCs w:val="14"/>
                <w:color w:val="auto"/>
                <w:w w:val="87"/>
              </w:rPr>
              <w:t>3.38</w:t>
            </w:r>
          </w:p>
        </w:tc>
        <w:tc>
          <w:tcPr>
            <w:tcW w:w="5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13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105,000,000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560" w:type="dxa"/>
            <w:vAlign w:val="bottom"/>
            <w:gridSpan w:val="2"/>
          </w:tcPr>
          <w:p>
            <w:pPr>
              <w:jc w:val="right"/>
              <w:ind w:right="440"/>
              <w:spacing w:after="0" w:line="155" w:lineRule="exact"/>
              <w:rPr>
                <w:sz w:val="20"/>
                <w:szCs w:val="20"/>
                <w:color w:val="auto"/>
              </w:rPr>
            </w:pPr>
            <w:r>
              <w:rPr>
                <w:rFonts w:ascii="Arial" w:cs="Arial" w:eastAsia="Arial" w:hAnsi="Arial"/>
                <w:sz w:val="14"/>
                <w:szCs w:val="14"/>
                <w:color w:val="auto"/>
              </w:rPr>
              <w:t>Weighted Average Rate / Total</w:t>
            </w:r>
          </w:p>
        </w:tc>
        <w:tc>
          <w:tcPr>
            <w:tcW w:w="19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20" w:type="dxa"/>
            <w:vAlign w:val="bottom"/>
            <w:gridSpan w:val="2"/>
          </w:tcPr>
          <w:p>
            <w:pPr>
              <w:ind w:left="1260"/>
              <w:spacing w:after="0" w:line="155" w:lineRule="exact"/>
              <w:rPr>
                <w:sz w:val="20"/>
                <w:szCs w:val="20"/>
                <w:color w:val="auto"/>
              </w:rPr>
            </w:pPr>
            <w:r>
              <w:rPr>
                <w:rFonts w:ascii="Arial" w:cs="Arial" w:eastAsia="Arial" w:hAnsi="Arial"/>
                <w:sz w:val="14"/>
                <w:szCs w:val="14"/>
                <w:color w:val="auto"/>
              </w:rPr>
              <w:t>3.70%</w:t>
            </w:r>
          </w:p>
        </w:tc>
        <w:tc>
          <w:tcPr>
            <w:tcW w:w="18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340" w:type="dxa"/>
            <w:vAlign w:val="bottom"/>
          </w:tcPr>
          <w:p>
            <w:pPr>
              <w:jc w:val="right"/>
              <w:spacing w:after="0" w:line="155" w:lineRule="exact"/>
              <w:rPr>
                <w:sz w:val="20"/>
                <w:szCs w:val="20"/>
                <w:color w:val="auto"/>
              </w:rPr>
            </w:pPr>
            <w:r>
              <w:rPr>
                <w:rFonts w:ascii="Arial" w:cs="Arial" w:eastAsia="Arial" w:hAnsi="Arial"/>
                <w:sz w:val="14"/>
                <w:szCs w:val="14"/>
                <w:color w:val="auto"/>
              </w:rPr>
              <w:t>150,000,000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18516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164"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(1)</w:t>
        <w:tab/>
        <w:t>Excluding 3.43% of upfront fees.</w:t>
      </w:r>
    </w:p>
    <w:p>
      <w:pPr>
        <w:spacing w:after="0" w:line="204" w:lineRule="exact"/>
        <w:rPr>
          <w:sz w:val="20"/>
          <w:szCs w:val="20"/>
          <w:color w:val="auto"/>
        </w:rPr>
      </w:pPr>
    </w:p>
    <w:p>
      <w:pPr>
        <w:ind w:right="20" w:firstLine="562"/>
        <w:spacing w:after="0" w:line="231" w:lineRule="auto"/>
        <w:rPr>
          <w:sz w:val="20"/>
          <w:szCs w:val="20"/>
          <w:color w:val="auto"/>
        </w:rPr>
      </w:pPr>
      <w:r>
        <w:rPr>
          <w:rFonts w:ascii="Arial" w:cs="Arial" w:eastAsia="Arial" w:hAnsi="Arial"/>
          <w:sz w:val="14"/>
          <w:szCs w:val="14"/>
          <w:color w:val="auto"/>
        </w:rPr>
        <w:t>The SBIC program is designed to stimulate the flow of capital into eligible businesses. Under SBA regulations, our SBIC Funds are subject to regulatory requirements, including making investments in SBA-eligible businesses, investing at least 25% of regulatory capital in eligible smaller businesses, as defined under the 1958 Act, placing certain limitations on the financing terms of investments, prohibiting investment in certain industries and requiring capitalization thresholds that limit distributions to us, and are subject to periodic audits and examinations of their financial statements that are prepared on a basis of accounting other than GAAP (for example, fair value, as defined under ASC 820, is not required to be used for assets or liabilities for such compliance reporting). As of December 31, 2014, our SBIC Funds were in compliance with their regulatory requirements.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2019 Notes</w:t>
      </w:r>
    </w:p>
    <w:p>
      <w:pPr>
        <w:spacing w:after="0" w:line="204" w:lineRule="exact"/>
        <w:rPr>
          <w:sz w:val="20"/>
          <w:szCs w:val="20"/>
          <w:color w:val="auto"/>
        </w:rPr>
      </w:pPr>
    </w:p>
    <w:p>
      <w:pPr>
        <w:ind w:right="60" w:firstLine="562"/>
        <w:spacing w:after="0" w:line="233" w:lineRule="auto"/>
        <w:rPr>
          <w:sz w:val="20"/>
          <w:szCs w:val="20"/>
          <w:color w:val="auto"/>
        </w:rPr>
      </w:pPr>
      <w:r>
        <w:rPr>
          <w:rFonts w:ascii="Arial" w:cs="Arial" w:eastAsia="Arial" w:hAnsi="Arial"/>
          <w:sz w:val="14"/>
          <w:szCs w:val="14"/>
          <w:color w:val="auto"/>
        </w:rPr>
        <w:t>As of December 31, 2014 and September 30, 2014, we had $250.0 million in aggregate principal amount of 2019 Notes. Interest on the 2019 Notes is paid semi-annually on April 1 and October 1, at a rate of 4.50% per year, beginning on April 1, 2015. The 2019 Notes mature on October 1, 2019. The 2019 Notes are general, unsecured obligations and rank equal in right of payment with all of our existing and future senior unsecured indebtedness. The 2019 Notes are structurally subordinated to our SBA debentures and effectively subordinated to the assets pledged or secured under our Credit Facility.</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2025 Notes</w:t>
      </w:r>
    </w:p>
    <w:p>
      <w:pPr>
        <w:spacing w:after="0" w:line="95" w:lineRule="exact"/>
        <w:rPr>
          <w:sz w:val="20"/>
          <w:szCs w:val="20"/>
          <w:color w:val="auto"/>
        </w:rPr>
      </w:pPr>
    </w:p>
    <w:p>
      <w:pPr>
        <w:ind w:left="560"/>
        <w:spacing w:after="0"/>
        <w:rPr>
          <w:sz w:val="20"/>
          <w:szCs w:val="20"/>
          <w:color w:val="auto"/>
        </w:rPr>
      </w:pPr>
      <w:r>
        <w:rPr>
          <w:rFonts w:ascii="Arial" w:cs="Arial" w:eastAsia="Arial" w:hAnsi="Arial"/>
          <w:sz w:val="14"/>
          <w:szCs w:val="14"/>
          <w:color w:val="auto"/>
        </w:rPr>
        <w:t>As of December 31, 2014 and September 30, 2014, we had $71.3 million in aggregate principal amount of 2025 Notes. Interest on the 2025 Notes is paid quarterly on</w:t>
      </w:r>
    </w:p>
    <w:p>
      <w:pPr>
        <w:ind w:right="40"/>
        <w:spacing w:after="0" w:line="232" w:lineRule="auto"/>
        <w:rPr>
          <w:sz w:val="20"/>
          <w:szCs w:val="20"/>
          <w:color w:val="auto"/>
        </w:rPr>
      </w:pPr>
      <w:r>
        <w:rPr>
          <w:rFonts w:ascii="Arial" w:cs="Arial" w:eastAsia="Arial" w:hAnsi="Arial"/>
          <w:sz w:val="14"/>
          <w:szCs w:val="14"/>
          <w:color w:val="auto"/>
        </w:rPr>
        <w:t>February 1, May 1, August 1 and November 1, at a rate of 6.25% per year. The 2025 Notes mature on February 1, 2025. The 2025 Notes are general, unsecured obligations and rank equal in right of payment with all of our existing and future senior unsecured indebtedness. The 2025 Notes are structurally subordinated to our SBA debentures and effectively subordinated to the assets pledged or secured under our Credit Facility. Our 2025 Notes trade on the NYSE under the symbol “PNTA.”</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11. COMMITMENTS AND CONTINGENCIES</w:t>
      </w:r>
    </w:p>
    <w:p>
      <w:pPr>
        <w:spacing w:after="0" w:line="100" w:lineRule="exact"/>
        <w:rPr>
          <w:sz w:val="20"/>
          <w:szCs w:val="20"/>
          <w:color w:val="auto"/>
        </w:rPr>
      </w:pPr>
    </w:p>
    <w:p>
      <w:pPr>
        <w:ind w:right="80" w:firstLine="562"/>
        <w:spacing w:after="0" w:line="255" w:lineRule="auto"/>
        <w:rPr>
          <w:sz w:val="20"/>
          <w:szCs w:val="20"/>
          <w:color w:val="auto"/>
        </w:rPr>
      </w:pPr>
      <w:r>
        <w:rPr>
          <w:rFonts w:ascii="Arial" w:cs="Arial" w:eastAsia="Arial" w:hAnsi="Arial"/>
          <w:sz w:val="13"/>
          <w:szCs w:val="13"/>
          <w:color w:val="auto"/>
        </w:rPr>
        <w:t>From time to time, we, the Investment Adviser or the Administrator may be a party to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and equity investments, if any, are disclosed in the Consolidated Schedule of Investments. As of December 31, 2014 and 2013, we had $11.9 million and $15.6 million, respectively, in commitments to fund various revolving and delayed draw investments.</w:t>
      </w:r>
    </w:p>
    <w:p>
      <w:pPr>
        <w:spacing w:after="0" w:line="67" w:lineRule="exact"/>
        <w:rPr>
          <w:sz w:val="20"/>
          <w:szCs w:val="20"/>
          <w:color w:val="auto"/>
        </w:rPr>
      </w:pPr>
    </w:p>
    <w:p>
      <w:pPr>
        <w:jc w:val="both"/>
        <w:ind w:right="80" w:firstLine="562"/>
        <w:spacing w:after="0" w:line="238" w:lineRule="auto"/>
        <w:rPr>
          <w:sz w:val="20"/>
          <w:szCs w:val="20"/>
          <w:color w:val="auto"/>
        </w:rPr>
      </w:pPr>
      <w:r>
        <w:rPr>
          <w:rFonts w:ascii="Arial" w:cs="Arial" w:eastAsia="Arial" w:hAnsi="Arial"/>
          <w:sz w:val="14"/>
          <w:szCs w:val="14"/>
          <w:color w:val="auto"/>
        </w:rPr>
        <w:t>We, in the ordinary course of business, have guaranteed certain obligations of SPH. The guaranties are only triggered if there were administrative errors in acquiring assets which SPH subsequently sold or securitized. As of December 31, 2014, our maximum guaranty was $9.5 million. Based on SPH’s and industry historical loss rates we believe the risk of loss is remote, thus, we have not recorded a liability associated with the guaranties. The current guaranties will decline over time.</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12. SUBSEQUENT EVENTS</w:t>
      </w:r>
    </w:p>
    <w:p>
      <w:pPr>
        <w:spacing w:after="0" w:line="100" w:lineRule="exact"/>
        <w:rPr>
          <w:sz w:val="20"/>
          <w:szCs w:val="20"/>
          <w:color w:val="auto"/>
        </w:rPr>
      </w:pPr>
    </w:p>
    <w:p>
      <w:pPr>
        <w:ind w:right="300" w:firstLine="562"/>
        <w:spacing w:after="0" w:line="253" w:lineRule="auto"/>
        <w:rPr>
          <w:sz w:val="20"/>
          <w:szCs w:val="20"/>
          <w:color w:val="auto"/>
        </w:rPr>
      </w:pPr>
      <w:r>
        <w:rPr>
          <w:rFonts w:ascii="Arial" w:cs="Arial" w:eastAsia="Arial" w:hAnsi="Arial"/>
          <w:sz w:val="14"/>
          <w:szCs w:val="14"/>
          <w:color w:val="auto"/>
        </w:rPr>
        <w:t>After quarter-end, Patriot National, Inc. priced and closed an initial public offering. Our proceeds of approximately $60 million resulted in about $0.13 per share of realized gain, an increase in NAV per share of about $0.08 and about $0.04 per share of other income.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26</w:t>
      </w:r>
    </w:p>
    <w:p>
      <w:pPr>
        <w:sectPr>
          <w:pgSz w:w="11900" w:h="16838" w:orient="portrait"/>
          <w:cols w:equalWidth="0" w:num="1">
            <w:col w:w="11240"/>
          </w:cols>
          <w:pgMar w:left="320" w:top="459" w:right="3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The Board of Directors and Stockholders</w:t>
      </w:r>
    </w:p>
    <w:p>
      <w:pPr>
        <w:spacing w:after="0"/>
        <w:rPr>
          <w:sz w:val="20"/>
          <w:szCs w:val="20"/>
          <w:color w:val="auto"/>
        </w:rPr>
      </w:pPr>
      <w:r>
        <w:rPr>
          <w:rFonts w:ascii="Arial" w:cs="Arial" w:eastAsia="Arial" w:hAnsi="Arial"/>
          <w:sz w:val="14"/>
          <w:szCs w:val="14"/>
          <w:color w:val="auto"/>
        </w:rPr>
        <w:t>PennantPark Investment Corporation and its Subsidiaries:</w:t>
      </w:r>
    </w:p>
    <w:p>
      <w:pPr>
        <w:spacing w:after="0" w:line="84" w:lineRule="exact"/>
        <w:rPr>
          <w:sz w:val="20"/>
          <w:szCs w:val="20"/>
          <w:color w:val="auto"/>
        </w:rPr>
      </w:pPr>
    </w:p>
    <w:p>
      <w:pPr>
        <w:ind w:right="480" w:firstLine="562"/>
        <w:spacing w:after="0" w:line="238" w:lineRule="auto"/>
        <w:rPr>
          <w:sz w:val="20"/>
          <w:szCs w:val="20"/>
          <w:color w:val="auto"/>
        </w:rPr>
      </w:pPr>
      <w:r>
        <w:rPr>
          <w:rFonts w:ascii="Arial" w:cs="Arial" w:eastAsia="Arial" w:hAnsi="Arial"/>
          <w:sz w:val="14"/>
          <w:szCs w:val="14"/>
          <w:color w:val="auto"/>
        </w:rPr>
        <w:t>We have reviewed the accompanying consolidated statement of assets and liabilities of PennantPark Investment Corporation and its Subsidiaries (the “Company”), including the consolidated schedule of investments, as of December 31, 2014, and the related consolidated statements of operations, changes in net assets, and cash flows for the three months ended December 31, 2014 and 2013. These consolidated financial statements are the responsibility of the Company’s management.</w:t>
      </w:r>
    </w:p>
    <w:p>
      <w:pPr>
        <w:spacing w:after="0" w:line="75" w:lineRule="exact"/>
        <w:rPr>
          <w:sz w:val="20"/>
          <w:szCs w:val="20"/>
          <w:color w:val="auto"/>
        </w:rPr>
      </w:pPr>
    </w:p>
    <w:p>
      <w:pPr>
        <w:ind w:firstLine="562"/>
        <w:spacing w:after="0" w:line="233" w:lineRule="auto"/>
        <w:rPr>
          <w:sz w:val="20"/>
          <w:szCs w:val="20"/>
          <w:color w:val="auto"/>
        </w:rPr>
      </w:pPr>
      <w:r>
        <w:rPr>
          <w:rFonts w:ascii="Arial" w:cs="Arial" w:eastAsia="Arial" w:hAnsi="Arial"/>
          <w:sz w:val="14"/>
          <w:szCs w:val="14"/>
          <w:color w:val="auto"/>
        </w:rPr>
        <w:t>We conducted our reviews in accordance with the standards of the Public Company Accounting Oversight Board (United States). A review of interim financial information consists principally of applying analytical procedures to financial data and making inquiries of persons responsible for financial and accounting matters. It is substantially less in scope than an audit conducted in accordance with the standards of the Public Company Accounting Oversight Board, the objective of which is the expression of an opinion regarding the financial statements taken as a whole. Accordingly, we do not express such an opinion.</w:t>
      </w:r>
    </w:p>
    <w:p>
      <w:pPr>
        <w:spacing w:after="0" w:line="77" w:lineRule="exact"/>
        <w:rPr>
          <w:sz w:val="20"/>
          <w:szCs w:val="20"/>
          <w:color w:val="auto"/>
        </w:rPr>
      </w:pPr>
    </w:p>
    <w:p>
      <w:pPr>
        <w:ind w:right="240" w:firstLine="562"/>
        <w:spacing w:after="0" w:line="253" w:lineRule="auto"/>
        <w:rPr>
          <w:sz w:val="20"/>
          <w:szCs w:val="20"/>
          <w:color w:val="auto"/>
        </w:rPr>
      </w:pPr>
      <w:r>
        <w:rPr>
          <w:rFonts w:ascii="Arial" w:cs="Arial" w:eastAsia="Arial" w:hAnsi="Arial"/>
          <w:sz w:val="14"/>
          <w:szCs w:val="14"/>
          <w:color w:val="auto"/>
        </w:rPr>
        <w:t>Based on our reviews, we are not aware of any material modifications that should be made to the accompanying consolidated financial statements referred to above for them to be in conformity with U.S. generally accepted accounting principles.</w:t>
      </w:r>
    </w:p>
    <w:p>
      <w:pPr>
        <w:spacing w:after="0" w:line="66" w:lineRule="exact"/>
        <w:rPr>
          <w:sz w:val="20"/>
          <w:szCs w:val="20"/>
          <w:color w:val="auto"/>
        </w:rPr>
      </w:pPr>
    </w:p>
    <w:p>
      <w:pPr>
        <w:jc w:val="both"/>
        <w:ind w:right="60" w:firstLine="562"/>
        <w:spacing w:after="0" w:line="238" w:lineRule="auto"/>
        <w:rPr>
          <w:sz w:val="20"/>
          <w:szCs w:val="20"/>
          <w:color w:val="auto"/>
        </w:rPr>
      </w:pPr>
      <w:r>
        <w:rPr>
          <w:rFonts w:ascii="Arial" w:cs="Arial" w:eastAsia="Arial" w:hAnsi="Arial"/>
          <w:sz w:val="14"/>
          <w:szCs w:val="14"/>
          <w:color w:val="auto"/>
        </w:rPr>
        <w:t>We have previously audited, in accordance with the standards of the Public Company Accounting Oversight Board, the consolidated statement of assets and liabilities of the Company, including the consolidated schedule of investments, as of September 30, 2014, and the related consolidated statements of operations, changes in net assets, and cash flows for the year then ended (not presented herein); and in our report dated November 12, 2014, we expressed an unqualified opinion on those financial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/s/ McGladrey LLP</w:t>
      </w:r>
    </w:p>
    <w:p>
      <w:pPr>
        <w:spacing w:after="0" w:line="221" w:lineRule="auto"/>
        <w:rPr>
          <w:sz w:val="20"/>
          <w:szCs w:val="20"/>
          <w:color w:val="auto"/>
        </w:rPr>
      </w:pPr>
      <w:r>
        <w:rPr>
          <w:rFonts w:ascii="Arial" w:cs="Arial" w:eastAsia="Arial" w:hAnsi="Arial"/>
          <w:sz w:val="14"/>
          <w:szCs w:val="14"/>
          <w:color w:val="auto"/>
        </w:rPr>
        <w:t>New York, New York</w:t>
      </w:r>
    </w:p>
    <w:p>
      <w:pPr>
        <w:spacing w:after="0"/>
        <w:rPr>
          <w:sz w:val="20"/>
          <w:szCs w:val="20"/>
          <w:color w:val="auto"/>
        </w:rPr>
      </w:pPr>
      <w:r>
        <w:rPr>
          <w:rFonts w:ascii="Arial" w:cs="Arial" w:eastAsia="Arial" w:hAnsi="Arial"/>
          <w:sz w:val="14"/>
          <w:szCs w:val="14"/>
          <w:color w:val="auto"/>
        </w:rPr>
        <w:t>February 4, 2015</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27</w:t>
      </w:r>
    </w:p>
    <w:p>
      <w:pPr>
        <w:sectPr>
          <w:pgSz w:w="11900" w:h="16838" w:orient="portrait"/>
          <w:cols w:equalWidth="0" w:num="1">
            <w:col w:w="11220"/>
          </w:cols>
          <w:pgMar w:left="320" w:top="459" w:right="3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80"/>
        <w:spacing w:after="0"/>
        <w:tabs>
          <w:tab w:leader="none" w:pos="880" w:val="left"/>
        </w:tabs>
        <w:rPr>
          <w:sz w:val="20"/>
          <w:szCs w:val="20"/>
          <w:color w:val="auto"/>
        </w:rPr>
      </w:pPr>
      <w:r>
        <w:rPr>
          <w:rFonts w:ascii="Arial" w:cs="Arial" w:eastAsia="Arial" w:hAnsi="Arial"/>
          <w:sz w:val="14"/>
          <w:szCs w:val="14"/>
          <w:b w:val="1"/>
          <w:bCs w:val="1"/>
          <w:color w:val="auto"/>
        </w:rPr>
        <w:t>Item 2.</w:t>
      </w:r>
      <w:r>
        <w:rPr>
          <w:sz w:val="20"/>
          <w:szCs w:val="20"/>
          <w:color w:val="auto"/>
        </w:rPr>
        <w:tab/>
      </w:r>
      <w:r>
        <w:rPr>
          <w:rFonts w:ascii="Arial" w:cs="Arial" w:eastAsia="Arial" w:hAnsi="Arial"/>
          <w:sz w:val="14"/>
          <w:szCs w:val="14"/>
          <w:b w:val="1"/>
          <w:bCs w:val="1"/>
          <w:color w:val="auto"/>
        </w:rPr>
        <w:t>MANAGEMENT’S DISCUSSION AND ANALYSIS OF FINANCIAL CONDITION AND RESULTS OF OPERATIONS</w:t>
      </w: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FORWARD-LOOKING STATEMENTS</w:t>
      </w:r>
    </w:p>
    <w:p>
      <w:pPr>
        <w:spacing w:after="0" w:line="100" w:lineRule="exact"/>
        <w:rPr>
          <w:sz w:val="20"/>
          <w:szCs w:val="20"/>
          <w:color w:val="auto"/>
        </w:rPr>
      </w:pPr>
    </w:p>
    <w:p>
      <w:pPr>
        <w:ind w:right="80" w:firstLine="562"/>
        <w:spacing w:after="0" w:line="233" w:lineRule="auto"/>
        <w:rPr>
          <w:sz w:val="20"/>
          <w:szCs w:val="20"/>
          <w:color w:val="auto"/>
        </w:rPr>
      </w:pPr>
      <w:r>
        <w:rPr>
          <w:rFonts w:ascii="Arial" w:cs="Arial" w:eastAsia="Arial" w:hAnsi="Arial"/>
          <w:sz w:val="14"/>
          <w:szCs w:val="14"/>
          <w:color w:val="auto"/>
        </w:rPr>
        <w:t>This Report, including Management’s Discussion and Analysis of Financial Condition and Results of Operations, contains statements that constitute forward-looking statements, which relate to us and our consolidated subsidiaries regarding future events or our future performance or our future financial condition. These forward-looking statements are not historical facts, but rather are based on current expectations, estimates and projections about our Company, our industry, our beliefs and our assumptions. The forward-looking statements contained in this Report involve risks and uncertainties, including statements as to:</w:t>
      </w:r>
    </w:p>
    <w:p>
      <w:pPr>
        <w:spacing w:after="0" w:line="212" w:lineRule="exact"/>
        <w:rPr>
          <w:sz w:val="20"/>
          <w:szCs w:val="20"/>
          <w:color w:val="auto"/>
        </w:rPr>
      </w:pPr>
    </w:p>
    <w:p>
      <w:pPr>
        <w:ind w:left="2120" w:hanging="776"/>
        <w:spacing w:after="0"/>
        <w:tabs>
          <w:tab w:leader="none" w:pos="21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our future operating results;</w:t>
      </w:r>
    </w:p>
    <w:p>
      <w:pPr>
        <w:spacing w:after="0" w:line="136" w:lineRule="exact"/>
        <w:rPr>
          <w:rFonts w:ascii="Arial" w:cs="Arial" w:eastAsia="Arial" w:hAnsi="Arial"/>
          <w:sz w:val="14"/>
          <w:szCs w:val="14"/>
          <w:color w:val="auto"/>
        </w:rPr>
      </w:pPr>
    </w:p>
    <w:p>
      <w:pPr>
        <w:ind w:left="2120" w:hanging="776"/>
        <w:spacing w:after="0"/>
        <w:tabs>
          <w:tab w:leader="none" w:pos="21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our business prospects and the prospects of our prospective portfolio companies;</w:t>
      </w:r>
    </w:p>
    <w:p>
      <w:pPr>
        <w:spacing w:after="0" w:line="136" w:lineRule="exact"/>
        <w:rPr>
          <w:rFonts w:ascii="Arial" w:cs="Arial" w:eastAsia="Arial" w:hAnsi="Arial"/>
          <w:sz w:val="14"/>
          <w:szCs w:val="14"/>
          <w:color w:val="auto"/>
        </w:rPr>
      </w:pPr>
    </w:p>
    <w:p>
      <w:pPr>
        <w:ind w:left="2120" w:hanging="776"/>
        <w:spacing w:after="0"/>
        <w:tabs>
          <w:tab w:leader="none" w:pos="21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dependence of our future success on the general economy and its impact on the industries in which we invest;</w:t>
      </w:r>
    </w:p>
    <w:p>
      <w:pPr>
        <w:spacing w:after="0" w:line="136" w:lineRule="exact"/>
        <w:rPr>
          <w:rFonts w:ascii="Arial" w:cs="Arial" w:eastAsia="Arial" w:hAnsi="Arial"/>
          <w:sz w:val="14"/>
          <w:szCs w:val="14"/>
          <w:color w:val="auto"/>
        </w:rPr>
      </w:pPr>
    </w:p>
    <w:p>
      <w:pPr>
        <w:ind w:left="2120" w:hanging="776"/>
        <w:spacing w:after="0"/>
        <w:tabs>
          <w:tab w:leader="none" w:pos="21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impact of a protracted decline in the liquidity of credit markets on our business;</w:t>
      </w:r>
    </w:p>
    <w:p>
      <w:pPr>
        <w:spacing w:after="0" w:line="136" w:lineRule="exact"/>
        <w:rPr>
          <w:rFonts w:ascii="Arial" w:cs="Arial" w:eastAsia="Arial" w:hAnsi="Arial"/>
          <w:sz w:val="14"/>
          <w:szCs w:val="14"/>
          <w:color w:val="auto"/>
        </w:rPr>
      </w:pPr>
    </w:p>
    <w:p>
      <w:pPr>
        <w:ind w:left="2120" w:hanging="776"/>
        <w:spacing w:after="0"/>
        <w:tabs>
          <w:tab w:leader="none" w:pos="21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impact of investments that we expect to make;</w:t>
      </w:r>
    </w:p>
    <w:p>
      <w:pPr>
        <w:spacing w:after="0" w:line="136" w:lineRule="exact"/>
        <w:rPr>
          <w:rFonts w:ascii="Arial" w:cs="Arial" w:eastAsia="Arial" w:hAnsi="Arial"/>
          <w:sz w:val="14"/>
          <w:szCs w:val="14"/>
          <w:color w:val="auto"/>
        </w:rPr>
      </w:pPr>
    </w:p>
    <w:p>
      <w:pPr>
        <w:ind w:left="2120" w:hanging="776"/>
        <w:spacing w:after="0"/>
        <w:tabs>
          <w:tab w:leader="none" w:pos="21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impact of fluctuations in interest rates and foreign exchange rates on our business and our portfolio companies;</w:t>
      </w:r>
    </w:p>
    <w:p>
      <w:pPr>
        <w:spacing w:after="0" w:line="136" w:lineRule="exact"/>
        <w:rPr>
          <w:rFonts w:ascii="Arial" w:cs="Arial" w:eastAsia="Arial" w:hAnsi="Arial"/>
          <w:sz w:val="14"/>
          <w:szCs w:val="14"/>
          <w:color w:val="auto"/>
        </w:rPr>
      </w:pPr>
    </w:p>
    <w:p>
      <w:pPr>
        <w:ind w:left="2120" w:hanging="776"/>
        <w:spacing w:after="0"/>
        <w:tabs>
          <w:tab w:leader="none" w:pos="21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our contractual arrangements and relationships with third parties;</w:t>
      </w:r>
    </w:p>
    <w:p>
      <w:pPr>
        <w:spacing w:after="0" w:line="136" w:lineRule="exact"/>
        <w:rPr>
          <w:rFonts w:ascii="Arial" w:cs="Arial" w:eastAsia="Arial" w:hAnsi="Arial"/>
          <w:sz w:val="14"/>
          <w:szCs w:val="14"/>
          <w:color w:val="auto"/>
        </w:rPr>
      </w:pPr>
    </w:p>
    <w:p>
      <w:pPr>
        <w:ind w:left="2120" w:hanging="776"/>
        <w:spacing w:after="0"/>
        <w:tabs>
          <w:tab w:leader="none" w:pos="21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valuation of our investments in portfolio companies, particularly those having no liquid trading market;</w:t>
      </w:r>
    </w:p>
    <w:p>
      <w:pPr>
        <w:spacing w:after="0" w:line="136" w:lineRule="exact"/>
        <w:rPr>
          <w:rFonts w:ascii="Arial" w:cs="Arial" w:eastAsia="Arial" w:hAnsi="Arial"/>
          <w:sz w:val="14"/>
          <w:szCs w:val="14"/>
          <w:color w:val="auto"/>
        </w:rPr>
      </w:pPr>
    </w:p>
    <w:p>
      <w:pPr>
        <w:ind w:left="2120" w:hanging="776"/>
        <w:spacing w:after="0"/>
        <w:tabs>
          <w:tab w:leader="none" w:pos="21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ability of our prospective portfolio companies to achieve their objectives;</w:t>
      </w:r>
    </w:p>
    <w:p>
      <w:pPr>
        <w:spacing w:after="0" w:line="136" w:lineRule="exact"/>
        <w:rPr>
          <w:rFonts w:ascii="Arial" w:cs="Arial" w:eastAsia="Arial" w:hAnsi="Arial"/>
          <w:sz w:val="14"/>
          <w:szCs w:val="14"/>
          <w:color w:val="auto"/>
        </w:rPr>
      </w:pPr>
    </w:p>
    <w:p>
      <w:pPr>
        <w:ind w:left="2120" w:hanging="776"/>
        <w:spacing w:after="0"/>
        <w:tabs>
          <w:tab w:leader="none" w:pos="21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our expected financings and investments;</w:t>
      </w:r>
    </w:p>
    <w:p>
      <w:pPr>
        <w:spacing w:after="0" w:line="136" w:lineRule="exact"/>
        <w:rPr>
          <w:rFonts w:ascii="Arial" w:cs="Arial" w:eastAsia="Arial" w:hAnsi="Arial"/>
          <w:sz w:val="14"/>
          <w:szCs w:val="14"/>
          <w:color w:val="auto"/>
        </w:rPr>
      </w:pPr>
    </w:p>
    <w:p>
      <w:pPr>
        <w:ind w:left="2120" w:hanging="776"/>
        <w:spacing w:after="0"/>
        <w:tabs>
          <w:tab w:leader="none" w:pos="21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adequacy of our cash resources and working capital;</w:t>
      </w:r>
    </w:p>
    <w:p>
      <w:pPr>
        <w:spacing w:after="0" w:line="136" w:lineRule="exact"/>
        <w:rPr>
          <w:rFonts w:ascii="Arial" w:cs="Arial" w:eastAsia="Arial" w:hAnsi="Arial"/>
          <w:sz w:val="14"/>
          <w:szCs w:val="14"/>
          <w:color w:val="auto"/>
        </w:rPr>
      </w:pPr>
    </w:p>
    <w:p>
      <w:pPr>
        <w:ind w:left="2120" w:hanging="776"/>
        <w:spacing w:after="0"/>
        <w:tabs>
          <w:tab w:leader="none" w:pos="21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timing of cash flows, if any, from the operations of our prospective portfolio companies;</w:t>
      </w:r>
    </w:p>
    <w:p>
      <w:pPr>
        <w:spacing w:after="0" w:line="136" w:lineRule="exact"/>
        <w:rPr>
          <w:rFonts w:ascii="Arial" w:cs="Arial" w:eastAsia="Arial" w:hAnsi="Arial"/>
          <w:sz w:val="14"/>
          <w:szCs w:val="14"/>
          <w:color w:val="auto"/>
        </w:rPr>
      </w:pPr>
    </w:p>
    <w:p>
      <w:pPr>
        <w:ind w:left="2120" w:hanging="776"/>
        <w:spacing w:after="0"/>
        <w:tabs>
          <w:tab w:leader="none" w:pos="21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impact of price and volume fluctuations in the stock market;</w:t>
      </w:r>
    </w:p>
    <w:p>
      <w:pPr>
        <w:spacing w:after="0" w:line="136" w:lineRule="exact"/>
        <w:rPr>
          <w:rFonts w:ascii="Arial" w:cs="Arial" w:eastAsia="Arial" w:hAnsi="Arial"/>
          <w:sz w:val="14"/>
          <w:szCs w:val="14"/>
          <w:color w:val="auto"/>
        </w:rPr>
      </w:pPr>
    </w:p>
    <w:p>
      <w:pPr>
        <w:ind w:left="2120" w:hanging="776"/>
        <w:spacing w:after="0"/>
        <w:tabs>
          <w:tab w:leader="none" w:pos="21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ability of our Investment Adviser to locate suitable investments for us and to monitor and administer our investments;</w:t>
      </w:r>
    </w:p>
    <w:p>
      <w:pPr>
        <w:spacing w:after="0" w:line="136" w:lineRule="exact"/>
        <w:rPr>
          <w:rFonts w:ascii="Arial" w:cs="Arial" w:eastAsia="Arial" w:hAnsi="Arial"/>
          <w:sz w:val="14"/>
          <w:szCs w:val="14"/>
          <w:color w:val="auto"/>
        </w:rPr>
      </w:pPr>
    </w:p>
    <w:p>
      <w:pPr>
        <w:ind w:left="2120" w:hanging="776"/>
        <w:spacing w:after="0"/>
        <w:tabs>
          <w:tab w:leader="none" w:pos="21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impact of future legislation and regulation on our business and our portfolio companies; and</w:t>
      </w:r>
    </w:p>
    <w:p>
      <w:pPr>
        <w:spacing w:after="0" w:line="136" w:lineRule="exact"/>
        <w:rPr>
          <w:rFonts w:ascii="Arial" w:cs="Arial" w:eastAsia="Arial" w:hAnsi="Arial"/>
          <w:sz w:val="14"/>
          <w:szCs w:val="14"/>
          <w:color w:val="auto"/>
        </w:rPr>
      </w:pPr>
    </w:p>
    <w:p>
      <w:pPr>
        <w:ind w:left="2120" w:hanging="776"/>
        <w:spacing w:after="0"/>
        <w:tabs>
          <w:tab w:leader="none" w:pos="21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impact of European sovereign debt issues.</w:t>
      </w:r>
    </w:p>
    <w:p>
      <w:pPr>
        <w:spacing w:after="0" w:line="204" w:lineRule="exact"/>
        <w:rPr>
          <w:sz w:val="20"/>
          <w:szCs w:val="20"/>
          <w:color w:val="auto"/>
        </w:rPr>
      </w:pPr>
    </w:p>
    <w:p>
      <w:pPr>
        <w:ind w:right="40" w:firstLine="562"/>
        <w:spacing w:after="0" w:line="238" w:lineRule="auto"/>
        <w:rPr>
          <w:sz w:val="20"/>
          <w:szCs w:val="20"/>
          <w:color w:val="auto"/>
        </w:rPr>
      </w:pPr>
      <w:r>
        <w:rPr>
          <w:rFonts w:ascii="Arial" w:cs="Arial" w:eastAsia="Arial" w:hAnsi="Arial"/>
          <w:sz w:val="14"/>
          <w:szCs w:val="14"/>
          <w:color w:val="auto"/>
        </w:rPr>
        <w:t>We use words such as “anticipates,” “believes,” “expects,” “intends,” “seeks,” “plans,” “estimates” and similar expressions to identify forward-looking statements. You should not place undue influence on the forward-looking statements as our actual results could differ materially from those projected in the forward-looking statements for any reason including the factors set forth in “Risk Factors” in our annual report on form 10-K for the fiscal year-ended September 30, 2014 and elsewhere in this Report.</w:t>
      </w:r>
    </w:p>
    <w:p>
      <w:pPr>
        <w:spacing w:after="0" w:line="75" w:lineRule="exact"/>
        <w:rPr>
          <w:sz w:val="20"/>
          <w:szCs w:val="20"/>
          <w:color w:val="auto"/>
        </w:rPr>
      </w:pPr>
    </w:p>
    <w:p>
      <w:pPr>
        <w:ind w:firstLine="562"/>
        <w:spacing w:after="0" w:line="233" w:lineRule="auto"/>
        <w:rPr>
          <w:sz w:val="20"/>
          <w:szCs w:val="20"/>
          <w:color w:val="auto"/>
        </w:rPr>
      </w:pPr>
      <w:r>
        <w:rPr>
          <w:rFonts w:ascii="Arial" w:cs="Arial" w:eastAsia="Arial" w:hAnsi="Arial"/>
          <w:sz w:val="14"/>
          <w:szCs w:val="14"/>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Report should not be regarded as a representation by us that our plans and objectives will be achieved.</w:t>
      </w:r>
    </w:p>
    <w:p>
      <w:pPr>
        <w:spacing w:after="0" w:line="77" w:lineRule="exact"/>
        <w:rPr>
          <w:sz w:val="20"/>
          <w:szCs w:val="20"/>
          <w:color w:val="auto"/>
        </w:rPr>
      </w:pPr>
    </w:p>
    <w:p>
      <w:pPr>
        <w:ind w:right="220" w:firstLine="562"/>
        <w:spacing w:after="0" w:line="233" w:lineRule="auto"/>
        <w:rPr>
          <w:sz w:val="20"/>
          <w:szCs w:val="20"/>
          <w:color w:val="auto"/>
        </w:rPr>
      </w:pPr>
      <w:r>
        <w:rPr>
          <w:rFonts w:ascii="Arial" w:cs="Arial" w:eastAsia="Arial" w:hAnsi="Arial"/>
          <w:sz w:val="14"/>
          <w:szCs w:val="14"/>
          <w:color w:val="auto"/>
        </w:rPr>
        <w:t>We have based the forward-looking statements included in this Report on information available to us on the date of this Report, and we assume no obligation to update any such forward-looking statements. Although we undertake no obligation to revise or update any forward-looking statements in this Report, whether as a result of new information, future events or otherwise, you are advised to consult any additional disclosures that we may make directly to you or through reports that we in the future may file with the SEC, including reports on Form 10-Q/K and current reports on Form 8-K.</w:t>
      </w:r>
    </w:p>
    <w:p>
      <w:pPr>
        <w:spacing w:after="0" w:line="77" w:lineRule="exact"/>
        <w:rPr>
          <w:sz w:val="20"/>
          <w:szCs w:val="20"/>
          <w:color w:val="auto"/>
        </w:rPr>
      </w:pPr>
    </w:p>
    <w:p>
      <w:pPr>
        <w:ind w:right="100" w:firstLine="562"/>
        <w:spacing w:after="0" w:line="253" w:lineRule="auto"/>
        <w:rPr>
          <w:sz w:val="20"/>
          <w:szCs w:val="20"/>
          <w:color w:val="auto"/>
        </w:rPr>
      </w:pPr>
      <w:r>
        <w:rPr>
          <w:rFonts w:ascii="Arial" w:cs="Arial" w:eastAsia="Arial" w:hAnsi="Arial"/>
          <w:sz w:val="14"/>
          <w:szCs w:val="14"/>
          <w:color w:val="auto"/>
        </w:rPr>
        <w:t>You should understand that under Section 27A(b)(2)(B) of the Securities Act, and Section 21E(b)(2)(B) of the Securities Exchange Act of 1934, or the Exchange Act, the “safe harbor” provisions of the Private Securities Litigation Reform Act of 1995 do not apply to forward-looking statements made in periodic reports we file under the Exchange Act.</w:t>
      </w:r>
    </w:p>
    <w:p>
      <w:pPr>
        <w:spacing w:after="0" w:line="66" w:lineRule="exact"/>
        <w:rPr>
          <w:sz w:val="20"/>
          <w:szCs w:val="20"/>
          <w:color w:val="auto"/>
        </w:rPr>
      </w:pPr>
    </w:p>
    <w:p>
      <w:pPr>
        <w:ind w:right="460" w:firstLine="562"/>
        <w:spacing w:after="0" w:line="253" w:lineRule="auto"/>
        <w:rPr>
          <w:sz w:val="20"/>
          <w:szCs w:val="20"/>
          <w:color w:val="auto"/>
        </w:rPr>
      </w:pPr>
      <w:r>
        <w:rPr>
          <w:rFonts w:ascii="Arial" w:cs="Arial" w:eastAsia="Arial" w:hAnsi="Arial"/>
          <w:sz w:val="14"/>
          <w:szCs w:val="14"/>
          <w:color w:val="auto"/>
        </w:rPr>
        <w:t>The following analysis of our financial condition and results of operations should be read in conjunction with our Consolidated Financial Statements and the related notes thereto contained elsewhere in this Report.</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Overview</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3"/>
          <w:szCs w:val="13"/>
          <w:color w:val="auto"/>
        </w:rPr>
        <w:t>PennantPark Investment Corporation is a BDC whose objectives are to generate both current income and capital appreciation through debt and equity investments primarily in U.S.</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middle-market companies in the form of senior secured loans, mezzanine debt and equity investments.</w:t>
      </w:r>
    </w:p>
    <w:p>
      <w:pPr>
        <w:spacing w:after="0" w:line="84" w:lineRule="exact"/>
        <w:rPr>
          <w:sz w:val="20"/>
          <w:szCs w:val="20"/>
          <w:color w:val="auto"/>
        </w:rPr>
      </w:pPr>
    </w:p>
    <w:p>
      <w:pPr>
        <w:ind w:right="40" w:firstLine="562"/>
        <w:spacing w:after="0" w:line="245" w:lineRule="auto"/>
        <w:rPr>
          <w:sz w:val="20"/>
          <w:szCs w:val="20"/>
          <w:color w:val="auto"/>
        </w:rPr>
      </w:pPr>
      <w:r>
        <w:rPr>
          <w:rFonts w:ascii="Arial" w:cs="Arial" w:eastAsia="Arial" w:hAnsi="Arial"/>
          <w:sz w:val="13"/>
          <w:szCs w:val="13"/>
          <w:color w:val="auto"/>
        </w:rPr>
        <w:t>We believe middle-market companies offer attractive risk-reward to investors due to the limited amount of capital available for such companies. We seek to create a diversified portfolio that includes senior secured loans, mezzanine debt and equity investments by investing approximately $10 million to $50 million of capital, on average, in the securities of middle-market companies. We expect this investment size to vary proportionately with the size of our capital base. We use the term “middle-market” to refer to companies with annual revenues between $50 million and $1 billion.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Securities rated below investment grade are often referred to as “leveraged loans” or “high yield” securities or “junk bonds” and are often higher risk compared to debt instruments that are rated above investment grade and have speculative characteristics.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28</w:t>
      </w:r>
    </w:p>
    <w:p>
      <w:pPr>
        <w:sectPr>
          <w:pgSz w:w="11900" w:h="16838" w:orient="portrait"/>
          <w:cols w:equalWidth="0" w:num="1">
            <w:col w:w="11240"/>
          </w:cols>
          <w:pgMar w:left="320" w:top="459" w:right="3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right="40" w:firstLine="562"/>
        <w:spacing w:after="0" w:line="238" w:lineRule="auto"/>
        <w:rPr>
          <w:sz w:val="20"/>
          <w:szCs w:val="20"/>
          <w:color w:val="auto"/>
        </w:rPr>
      </w:pPr>
      <w:r>
        <w:rPr>
          <w:rFonts w:ascii="Arial" w:cs="Arial" w:eastAsia="Arial" w:hAnsi="Arial"/>
          <w:sz w:val="14"/>
          <w:szCs w:val="14"/>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Credit Facility, SBA debentures, proceeds from the rotation of our portfolio and proceeds from public and private offerings of securities to finance our investment objectives.</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Organization and Structure of PennantPark Investment Corporation</w:t>
      </w:r>
    </w:p>
    <w:p>
      <w:pPr>
        <w:spacing w:after="0" w:line="96" w:lineRule="exact"/>
        <w:rPr>
          <w:sz w:val="20"/>
          <w:szCs w:val="20"/>
          <w:color w:val="auto"/>
        </w:rPr>
      </w:pPr>
    </w:p>
    <w:p>
      <w:pPr>
        <w:ind w:right="180" w:firstLine="562"/>
        <w:spacing w:after="0" w:line="290" w:lineRule="auto"/>
        <w:rPr>
          <w:sz w:val="20"/>
          <w:szCs w:val="20"/>
          <w:color w:val="auto"/>
        </w:rPr>
      </w:pPr>
      <w:r>
        <w:rPr>
          <w:rFonts w:ascii="Arial" w:cs="Arial" w:eastAsia="Arial" w:hAnsi="Arial"/>
          <w:sz w:val="13"/>
          <w:szCs w:val="13"/>
          <w:color w:val="auto"/>
        </w:rPr>
        <w:t>PennantPark Investment Corporation, a Maryland corporation organized in January 2007,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44" w:lineRule="exact"/>
        <w:rPr>
          <w:sz w:val="20"/>
          <w:szCs w:val="20"/>
          <w:color w:val="auto"/>
        </w:rPr>
      </w:pPr>
    </w:p>
    <w:p>
      <w:pPr>
        <w:ind w:firstLine="562"/>
        <w:spacing w:after="0" w:line="238" w:lineRule="auto"/>
        <w:rPr>
          <w:sz w:val="20"/>
          <w:szCs w:val="20"/>
          <w:color w:val="auto"/>
        </w:rPr>
      </w:pPr>
      <w:r>
        <w:rPr>
          <w:rFonts w:ascii="Arial" w:cs="Arial" w:eastAsia="Arial" w:hAnsi="Arial"/>
          <w:sz w:val="14"/>
          <w:szCs w:val="14"/>
          <w:color w:val="auto"/>
        </w:rPr>
        <w:t>Our wholly owned subsidiaries, SBIC LP and SBIC II, were organized as Delaware limited partnerships in 2010 and 2012, respectively. SBIC LP and SBIC II received licenses from the SBA to operate as SBICs, under Section 301(c) of the 1958 Act. Our SBIC Funds’ objectives are to generate both current income and capital appreciation through debt and equity investments generally by investing with us in SBA eligible businesses that meet the investment criteria used by PennantPark Investment.</w:t>
      </w:r>
    </w:p>
    <w:p>
      <w:pPr>
        <w:spacing w:after="0" w:line="75" w:lineRule="exact"/>
        <w:rPr>
          <w:sz w:val="20"/>
          <w:szCs w:val="20"/>
          <w:color w:val="auto"/>
        </w:rPr>
      </w:pPr>
    </w:p>
    <w:p>
      <w:pPr>
        <w:ind w:right="80" w:firstLine="562"/>
        <w:spacing w:after="0" w:line="227" w:lineRule="auto"/>
        <w:rPr>
          <w:sz w:val="20"/>
          <w:szCs w:val="20"/>
          <w:color w:val="auto"/>
        </w:rPr>
      </w:pPr>
      <w:r>
        <w:rPr>
          <w:rFonts w:ascii="Arial" w:cs="Arial" w:eastAsia="Arial" w:hAnsi="Arial"/>
          <w:sz w:val="14"/>
          <w:szCs w:val="14"/>
          <w:color w:val="auto"/>
        </w:rPr>
        <w:t>Our investment activities are managed by the Investment Adviser. Under our Investment Management Agreement, we have agreed to pay our Investment Adviser an annual base management fee based on our average adjusted gross assets as well as an incentive fee based on our investment performance. PennantPark Investment, through the Investment Adviser, provides similar services to our SBIC Funds under their investment management agreements. Our SBIC Funds investment management agreements do not affect the management and incentive fees on a consolidated basis. We have also entered into an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PennantPark Investment, through the Administrator, provides similar services to our SBIC Funds under their administration agreements with us. Our board of directors, a majority of whom are independent of us, supervises our activities, and the Investment Adviser manages our day-to-day activities.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Revenues</w:t>
      </w:r>
    </w:p>
    <w:p>
      <w:pPr>
        <w:spacing w:after="0" w:line="96" w:lineRule="exact"/>
        <w:rPr>
          <w:sz w:val="20"/>
          <w:szCs w:val="20"/>
          <w:color w:val="auto"/>
        </w:rPr>
      </w:pPr>
    </w:p>
    <w:p>
      <w:pPr>
        <w:ind w:firstLine="562"/>
        <w:spacing w:after="0" w:line="247" w:lineRule="auto"/>
        <w:rPr>
          <w:sz w:val="20"/>
          <w:szCs w:val="20"/>
          <w:color w:val="auto"/>
        </w:rPr>
      </w:pPr>
      <w:r>
        <w:rPr>
          <w:rFonts w:ascii="Arial" w:cs="Arial" w:eastAsia="Arial" w:hAnsi="Arial"/>
          <w:sz w:val="13"/>
          <w:szCs w:val="13"/>
          <w:color w:val="auto"/>
        </w:rPr>
        <w:t>We generate revenue in the form of interest income on the debt securities we hold and capital gains and dividends, if any, on investment securities that we may acquire in portfolio companies. Our debt investments, whether in the form of senior secured loans or mezzanine debt, typically have terms of three to ten years and bear interest at a fixed or a floating rate. Interest on debt securities is generally payable quarterly or semiannually. In some cases, some of our investments provide for deferred interest payments and PIK interest. The principal amount of the debt securities and any accrued but unpaid interest generally becomes due at the maturity date. In addition, we may generate revenue in the form of amendment, commitment, origination, structuring or diligence fees, fees for providing managerial assistance and possibly consulting fees. Loan origination fees, OID, market discount or premium and deferred financing costs on financing costs on liabilities which we do not fair value are capitalized and then accreted or amortized using the effective intest method as interest income. We record prepayment penalties on loans and debt securities as income. Dividend income, if any, is recognized on an accrual basis on the ex-dividend date to the extent that we expect to collect such amounts.</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Expenses</w:t>
      </w:r>
    </w:p>
    <w:p>
      <w:pPr>
        <w:spacing w:after="0" w:line="96" w:lineRule="exact"/>
        <w:rPr>
          <w:sz w:val="20"/>
          <w:szCs w:val="20"/>
          <w:color w:val="auto"/>
        </w:rPr>
      </w:pPr>
    </w:p>
    <w:p>
      <w:pPr>
        <w:ind w:right="220" w:firstLine="562"/>
        <w:spacing w:after="0" w:line="233" w:lineRule="auto"/>
        <w:rPr>
          <w:sz w:val="20"/>
          <w:szCs w:val="20"/>
          <w:color w:val="auto"/>
        </w:rPr>
      </w:pPr>
      <w:r>
        <w:rPr>
          <w:rFonts w:ascii="Arial" w:cs="Arial" w:eastAsia="Arial" w:hAnsi="Arial"/>
          <w:sz w:val="14"/>
          <w:szCs w:val="14"/>
          <w:color w:val="auto"/>
        </w:rPr>
        <w:t>Our primary operating expenses include the payment of a management fee to our Investment Adviser, the payment of an incentive fee to our Investment Adviser, if any,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and unused commitment fees under our various debt facilities. We bear all other direct or indirect costs and expenses of our operations and transactions, including:</w:t>
      </w:r>
    </w:p>
    <w:p>
      <w:pPr>
        <w:spacing w:after="0" w:line="212" w:lineRule="exact"/>
        <w:rPr>
          <w:sz w:val="20"/>
          <w:szCs w:val="20"/>
          <w:color w:val="auto"/>
        </w:rPr>
      </w:pPr>
    </w:p>
    <w:p>
      <w:pPr>
        <w:ind w:left="1120" w:hanging="329"/>
        <w:spacing w:after="0"/>
        <w:tabs>
          <w:tab w:leader="none" w:pos="11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cost of calculating our net asset value, including the cost of any third-party valuation services;</w:t>
      </w:r>
    </w:p>
    <w:p>
      <w:pPr>
        <w:spacing w:after="0" w:line="136" w:lineRule="exact"/>
        <w:rPr>
          <w:rFonts w:ascii="Arial" w:cs="Arial" w:eastAsia="Arial" w:hAnsi="Arial"/>
          <w:sz w:val="14"/>
          <w:szCs w:val="14"/>
          <w:color w:val="auto"/>
        </w:rPr>
      </w:pPr>
    </w:p>
    <w:p>
      <w:pPr>
        <w:ind w:left="1120" w:hanging="329"/>
        <w:spacing w:after="0"/>
        <w:tabs>
          <w:tab w:leader="none" w:pos="11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cost of effecting sales and repurchases of shares of our common stock and other securities;</w:t>
      </w:r>
    </w:p>
    <w:p>
      <w:pPr>
        <w:spacing w:after="0" w:line="136" w:lineRule="exact"/>
        <w:rPr>
          <w:rFonts w:ascii="Arial" w:cs="Arial" w:eastAsia="Arial" w:hAnsi="Arial"/>
          <w:sz w:val="14"/>
          <w:szCs w:val="14"/>
          <w:color w:val="auto"/>
        </w:rPr>
      </w:pPr>
    </w:p>
    <w:p>
      <w:pPr>
        <w:ind w:left="1120" w:right="600" w:hanging="329"/>
        <w:spacing w:after="0" w:line="253" w:lineRule="auto"/>
        <w:tabs>
          <w:tab w:leader="none" w:pos="11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fees payable to third parties relating to, or associated with, making investments, including fees and expenses associated with performing due diligence and reviews of prospective investments or complementary businesses;</w:t>
      </w:r>
    </w:p>
    <w:p>
      <w:pPr>
        <w:spacing w:after="0" w:line="106" w:lineRule="exact"/>
        <w:rPr>
          <w:rFonts w:ascii="Arial" w:cs="Arial" w:eastAsia="Arial" w:hAnsi="Arial"/>
          <w:sz w:val="14"/>
          <w:szCs w:val="14"/>
          <w:color w:val="auto"/>
        </w:rPr>
      </w:pPr>
    </w:p>
    <w:p>
      <w:pPr>
        <w:ind w:left="1120" w:hanging="329"/>
        <w:spacing w:after="0"/>
        <w:tabs>
          <w:tab w:leader="none" w:pos="11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expenses incurred by the Investment Adviser in performing due diligence and reviews of investments;</w:t>
      </w:r>
    </w:p>
    <w:p>
      <w:pPr>
        <w:spacing w:after="0" w:line="136" w:lineRule="exact"/>
        <w:rPr>
          <w:rFonts w:ascii="Arial" w:cs="Arial" w:eastAsia="Arial" w:hAnsi="Arial"/>
          <w:sz w:val="14"/>
          <w:szCs w:val="14"/>
          <w:color w:val="auto"/>
        </w:rPr>
      </w:pPr>
    </w:p>
    <w:p>
      <w:pPr>
        <w:ind w:left="1120" w:hanging="329"/>
        <w:spacing w:after="0"/>
        <w:tabs>
          <w:tab w:leader="none" w:pos="11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transfer agent and custodial fees;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fees and expenses associated with marketing efforts;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federal and state registration fees and any exchange listing fees;</w:t>
      </w:r>
    </w:p>
    <w:p>
      <w:pPr>
        <w:spacing w:after="0" w:line="136" w:lineRule="exact"/>
        <w:rPr>
          <w:rFonts w:ascii="Arial" w:cs="Arial" w:eastAsia="Arial" w:hAnsi="Arial"/>
          <w:sz w:val="14"/>
          <w:szCs w:val="14"/>
          <w:color w:val="auto"/>
        </w:rPr>
      </w:pPr>
    </w:p>
    <w:p>
      <w:pPr>
        <w:ind w:left="1120" w:hanging="329"/>
        <w:spacing w:after="0"/>
        <w:tabs>
          <w:tab w:leader="none" w:pos="11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federal, state, local and foreign taxes;</w:t>
      </w:r>
    </w:p>
    <w:p>
      <w:pPr>
        <w:spacing w:after="0" w:line="136" w:lineRule="exact"/>
        <w:rPr>
          <w:rFonts w:ascii="Arial" w:cs="Arial" w:eastAsia="Arial" w:hAnsi="Arial"/>
          <w:sz w:val="14"/>
          <w:szCs w:val="14"/>
          <w:color w:val="auto"/>
        </w:rPr>
      </w:pPr>
    </w:p>
    <w:p>
      <w:pPr>
        <w:ind w:left="1120" w:hanging="329"/>
        <w:spacing w:after="0"/>
        <w:tabs>
          <w:tab w:leader="none" w:pos="11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independent directors’ fees and expenses;</w:t>
      </w:r>
    </w:p>
    <w:p>
      <w:pPr>
        <w:spacing w:after="0" w:line="136" w:lineRule="exact"/>
        <w:rPr>
          <w:rFonts w:ascii="Arial" w:cs="Arial" w:eastAsia="Arial" w:hAnsi="Arial"/>
          <w:sz w:val="14"/>
          <w:szCs w:val="14"/>
          <w:color w:val="auto"/>
        </w:rPr>
      </w:pPr>
    </w:p>
    <w:p>
      <w:pPr>
        <w:ind w:left="1120" w:hanging="329"/>
        <w:spacing w:after="0"/>
        <w:tabs>
          <w:tab w:leader="none" w:pos="11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brokerage commissions;</w:t>
      </w:r>
    </w:p>
    <w:p>
      <w:pPr>
        <w:spacing w:after="0" w:line="136" w:lineRule="exact"/>
        <w:rPr>
          <w:rFonts w:ascii="Arial" w:cs="Arial" w:eastAsia="Arial" w:hAnsi="Arial"/>
          <w:sz w:val="14"/>
          <w:szCs w:val="14"/>
          <w:color w:val="auto"/>
        </w:rPr>
      </w:pPr>
    </w:p>
    <w:p>
      <w:pPr>
        <w:ind w:left="1120" w:hanging="329"/>
        <w:spacing w:after="0"/>
        <w:tabs>
          <w:tab w:leader="none" w:pos="11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fidelity bond, directors and officers, errors and omissions liability insurance and other insurance premiums;</w:t>
      </w:r>
    </w:p>
    <w:p>
      <w:pPr>
        <w:spacing w:after="0" w:line="136" w:lineRule="exact"/>
        <w:rPr>
          <w:rFonts w:ascii="Arial" w:cs="Arial" w:eastAsia="Arial" w:hAnsi="Arial"/>
          <w:sz w:val="14"/>
          <w:szCs w:val="14"/>
          <w:color w:val="auto"/>
        </w:rPr>
      </w:pPr>
    </w:p>
    <w:p>
      <w:pPr>
        <w:ind w:left="1120" w:hanging="329"/>
        <w:spacing w:after="0"/>
        <w:tabs>
          <w:tab w:leader="none" w:pos="11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direct costs such as printing, mailing, long distance telephone and staff;</w:t>
      </w:r>
    </w:p>
    <w:p>
      <w:pPr>
        <w:spacing w:after="0" w:line="136" w:lineRule="exact"/>
        <w:rPr>
          <w:rFonts w:ascii="Arial" w:cs="Arial" w:eastAsia="Arial" w:hAnsi="Arial"/>
          <w:sz w:val="14"/>
          <w:szCs w:val="14"/>
          <w:color w:val="auto"/>
        </w:rPr>
      </w:pPr>
    </w:p>
    <w:p>
      <w:pPr>
        <w:ind w:left="1120" w:hanging="329"/>
        <w:spacing w:after="0"/>
        <w:tabs>
          <w:tab w:leader="none" w:pos="11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fees and expenses associated with independent audits and outside legal costs;</w:t>
      </w:r>
    </w:p>
    <w:p>
      <w:pPr>
        <w:spacing w:after="0" w:line="136" w:lineRule="exact"/>
        <w:rPr>
          <w:rFonts w:ascii="Arial" w:cs="Arial" w:eastAsia="Arial" w:hAnsi="Arial"/>
          <w:sz w:val="14"/>
          <w:szCs w:val="14"/>
          <w:color w:val="auto"/>
        </w:rPr>
      </w:pPr>
    </w:p>
    <w:p>
      <w:pPr>
        <w:ind w:left="1120" w:hanging="329"/>
        <w:spacing w:after="0"/>
        <w:tabs>
          <w:tab w:leader="none" w:pos="11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costs associated with our reporting and compliance obligations under the 1940 Act, the 1958 Act and applicable federal and state securities laws; and</w:t>
      </w:r>
    </w:p>
    <w:p>
      <w:pPr>
        <w:spacing w:after="0" w:line="136" w:lineRule="exact"/>
        <w:rPr>
          <w:rFonts w:ascii="Arial" w:cs="Arial" w:eastAsia="Arial" w:hAnsi="Arial"/>
          <w:sz w:val="14"/>
          <w:szCs w:val="14"/>
          <w:color w:val="auto"/>
        </w:rPr>
      </w:pPr>
    </w:p>
    <w:p>
      <w:pPr>
        <w:ind w:left="1120" w:right="60" w:hanging="329"/>
        <w:spacing w:after="0" w:line="264" w:lineRule="auto"/>
        <w:tabs>
          <w:tab w:leader="none" w:pos="1120" w:val="left"/>
        </w:tabs>
        <w:numPr>
          <w:ilvl w:val="0"/>
          <w:numId w:val="12"/>
        </w:numPr>
        <w:rPr>
          <w:rFonts w:ascii="Arial" w:cs="Arial" w:eastAsia="Arial" w:hAnsi="Arial"/>
          <w:sz w:val="13"/>
          <w:szCs w:val="13"/>
          <w:color w:val="auto"/>
        </w:rPr>
      </w:pPr>
      <w:r>
        <w:rPr>
          <w:rFonts w:ascii="Arial" w:cs="Arial" w:eastAsia="Arial" w:hAnsi="Arial"/>
          <w:sz w:val="13"/>
          <w:szCs w:val="13"/>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29</w:t>
      </w:r>
    </w:p>
    <w:p>
      <w:pPr>
        <w:sectPr>
          <w:pgSz w:w="11900" w:h="16838" w:orient="portrait"/>
          <w:cols w:equalWidth="0" w:num="1">
            <w:col w:w="11240"/>
          </w:cols>
          <w:pgMar w:left="320" w:top="459" w:right="3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380" w:firstLine="562"/>
        <w:spacing w:after="0" w:line="290" w:lineRule="auto"/>
        <w:rPr>
          <w:sz w:val="20"/>
          <w:szCs w:val="20"/>
          <w:color w:val="auto"/>
        </w:rPr>
      </w:pPr>
      <w:r>
        <w:rPr>
          <w:rFonts w:ascii="Arial" w:cs="Arial" w:eastAsia="Arial" w:hAnsi="Arial"/>
          <w:sz w:val="13"/>
          <w:szCs w:val="13"/>
          <w:color w:val="auto"/>
        </w:rPr>
        <w:t>Generally, during periods of asset growth, we expect our general and administrative expenses to be relatively stable or to decline as a percentage of total assets and increase during periods of asset declines. Incentive fees, interest expense and costs relating to future offerings of securities would be additive to the expenses described above.</w:t>
      </w:r>
    </w:p>
    <w:p>
      <w:pPr>
        <w:spacing w:after="0" w:line="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PORTFOLIO AND INVESTMENT ACTIVITY</w:t>
      </w:r>
    </w:p>
    <w:p>
      <w:pPr>
        <w:spacing w:after="0" w:line="100" w:lineRule="exact"/>
        <w:rPr>
          <w:sz w:val="20"/>
          <w:szCs w:val="20"/>
          <w:color w:val="auto"/>
        </w:rPr>
      </w:pPr>
    </w:p>
    <w:p>
      <w:pPr>
        <w:ind w:right="120" w:firstLine="562"/>
        <w:spacing w:after="0" w:line="231" w:lineRule="auto"/>
        <w:rPr>
          <w:sz w:val="20"/>
          <w:szCs w:val="20"/>
          <w:color w:val="auto"/>
        </w:rPr>
      </w:pPr>
      <w:r>
        <w:rPr>
          <w:rFonts w:ascii="Arial" w:cs="Arial" w:eastAsia="Arial" w:hAnsi="Arial"/>
          <w:sz w:val="14"/>
          <w:szCs w:val="14"/>
          <w:color w:val="auto"/>
        </w:rPr>
        <w:t>As of December 31, 2014, our portfolio totaled $1,340.6 million and consisted of $423.0 million of senior secured loans, $588.0 million of second lien secured debt, $218.9 million of subordinated debt and $110.7 million of preferred and common equity. Our debt portfolio consisted of 30% fixed-rate and 70% variable-rate investments (including 64% with a LIBOR or prime floor). As of December 31, 2014, we had two non-accrual debt investments, representing 1.7% of our overall portfolio on a cost basis. Our overall portfolio consisted of 66 companies with an average investment size of $20.3 million, had a weighted average yield on debt investments of 12.5% and was invested 32% in senior secured loans, 44% in second lien secured debt, 16% in subordinated debt and 8% in preferred and common equity.</w:t>
      </w:r>
    </w:p>
    <w:p>
      <w:pPr>
        <w:spacing w:after="0" w:line="76" w:lineRule="exact"/>
        <w:rPr>
          <w:sz w:val="20"/>
          <w:szCs w:val="20"/>
          <w:color w:val="auto"/>
        </w:rPr>
      </w:pPr>
    </w:p>
    <w:p>
      <w:pPr>
        <w:ind w:right="120" w:firstLine="562"/>
        <w:spacing w:after="0" w:line="231" w:lineRule="auto"/>
        <w:rPr>
          <w:sz w:val="20"/>
          <w:szCs w:val="20"/>
          <w:color w:val="auto"/>
        </w:rPr>
      </w:pPr>
      <w:r>
        <w:rPr>
          <w:rFonts w:ascii="Arial" w:cs="Arial" w:eastAsia="Arial" w:hAnsi="Arial"/>
          <w:sz w:val="14"/>
          <w:szCs w:val="14"/>
          <w:color w:val="auto"/>
        </w:rPr>
        <w:t>As of September 30, 2014, our portfolio totaled $1,318.1 million and consisted of $465.6 million of senior secured loans, $493.4 million of second lien secured debt, $247.1 million of subordinated debt and $112.0 million of preferred and common equity. Our debt portfolio consisted of 33% fixed-rate and 67% variable-rate investments (including 61% with a LIBOR or prime floor). As of September 30, 2014, we had one non-accrual debt investment, representing 0.3% of our overall portfolio on a cost basis. Our overall portfolio consisted of 67 companies with an average investment size of $19.7 million, had a weighted average yield on debt investments of 12.5% and was invested 35% in senior secured loans, 37% in second lien secured debt, 19% in subordinated debt and 9% in preferred and common equity.</w:t>
      </w:r>
    </w:p>
    <w:p>
      <w:pPr>
        <w:spacing w:after="0" w:line="76" w:lineRule="exact"/>
        <w:rPr>
          <w:sz w:val="20"/>
          <w:szCs w:val="20"/>
          <w:color w:val="auto"/>
        </w:rPr>
      </w:pPr>
    </w:p>
    <w:p>
      <w:pPr>
        <w:ind w:right="260" w:firstLine="562"/>
        <w:spacing w:after="0" w:line="253" w:lineRule="auto"/>
        <w:rPr>
          <w:sz w:val="20"/>
          <w:szCs w:val="20"/>
          <w:color w:val="auto"/>
        </w:rPr>
      </w:pPr>
      <w:r>
        <w:rPr>
          <w:rFonts w:ascii="Arial" w:cs="Arial" w:eastAsia="Arial" w:hAnsi="Arial"/>
          <w:sz w:val="14"/>
          <w:szCs w:val="14"/>
          <w:color w:val="auto"/>
        </w:rPr>
        <w:t>For the three months ended December 31, 2014, we invested $158.9 million in three new and five existing portfolio companies with a weighted average yield on debt investments of 12.6%. Sales and repayments of investments for the three months ended December 31, 2014 totaled $79.3 million.</w:t>
      </w:r>
    </w:p>
    <w:p>
      <w:pPr>
        <w:spacing w:after="0" w:line="66" w:lineRule="exact"/>
        <w:rPr>
          <w:sz w:val="20"/>
          <w:szCs w:val="20"/>
          <w:color w:val="auto"/>
        </w:rPr>
      </w:pPr>
    </w:p>
    <w:p>
      <w:pPr>
        <w:ind w:right="200" w:firstLine="562"/>
        <w:spacing w:after="0" w:line="253" w:lineRule="auto"/>
        <w:rPr>
          <w:sz w:val="20"/>
          <w:szCs w:val="20"/>
          <w:color w:val="auto"/>
        </w:rPr>
      </w:pPr>
      <w:r>
        <w:rPr>
          <w:rFonts w:ascii="Arial" w:cs="Arial" w:eastAsia="Arial" w:hAnsi="Arial"/>
          <w:sz w:val="14"/>
          <w:szCs w:val="14"/>
          <w:color w:val="auto"/>
        </w:rPr>
        <w:t>For the three months ended December 31, 2013, we invested $228.0 million in nine new and seven existing portfolio companies with a weighted average yield on debt investments of 12.4%. Sales and repayments of investments for the three months ended December 31, 2013 totaled $144.0 million.</w:t>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w:t>
      </w:r>
    </w:p>
    <w:p>
      <w:pPr>
        <w:spacing w:after="0" w:line="100" w:lineRule="exact"/>
        <w:rPr>
          <w:sz w:val="20"/>
          <w:szCs w:val="20"/>
          <w:color w:val="auto"/>
        </w:rPr>
      </w:pPr>
    </w:p>
    <w:p>
      <w:pPr>
        <w:ind w:right="20" w:firstLine="562"/>
        <w:spacing w:after="0" w:line="247" w:lineRule="auto"/>
        <w:rPr>
          <w:sz w:val="20"/>
          <w:szCs w:val="20"/>
          <w:color w:val="auto"/>
        </w:rPr>
      </w:pPr>
      <w:r>
        <w:rPr>
          <w:rFonts w:ascii="Arial" w:cs="Arial" w:eastAsia="Arial" w:hAnsi="Arial"/>
          <w:sz w:val="13"/>
          <w:szCs w:val="13"/>
          <w:color w:val="auto"/>
        </w:rPr>
        <w:t>The preparation of our Consolidated Financial Statements in conformity with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We may reclassify certain prior period amounts to conform to the current period presentation. We have eliminated all intercompany balances and transactions. References to ASC serve as a single source of accounting literature. Subsequent events are evaluated and disclosed as appropriate for events occurring through the date the Consolidated Financial Statements are issued. In addition to the discussion below, we describe our critical accounting policies in the notes to our Consolidated Financial Statements.</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Valuation of Portfolio Investments</w:t>
      </w:r>
    </w:p>
    <w:p>
      <w:pPr>
        <w:spacing w:after="0" w:line="96" w:lineRule="exact"/>
        <w:rPr>
          <w:sz w:val="20"/>
          <w:szCs w:val="20"/>
          <w:color w:val="auto"/>
        </w:rPr>
      </w:pPr>
    </w:p>
    <w:p>
      <w:pPr>
        <w:ind w:firstLine="562"/>
        <w:spacing w:after="0" w:line="247" w:lineRule="auto"/>
        <w:rPr>
          <w:sz w:val="20"/>
          <w:szCs w:val="20"/>
          <w:color w:val="auto"/>
        </w:rPr>
      </w:pPr>
      <w:r>
        <w:rPr>
          <w:rFonts w:ascii="Arial" w:cs="Arial" w:eastAsia="Arial" w:hAnsi="Arial"/>
          <w:sz w:val="13"/>
          <w:szCs w:val="13"/>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described in this Report,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could be material.</w:t>
      </w:r>
    </w:p>
    <w:p>
      <w:pPr>
        <w:spacing w:after="0" w:line="71" w:lineRule="exact"/>
        <w:rPr>
          <w:sz w:val="20"/>
          <w:szCs w:val="20"/>
          <w:color w:val="auto"/>
        </w:rPr>
      </w:pPr>
    </w:p>
    <w:p>
      <w:pPr>
        <w:ind w:right="120" w:firstLine="562"/>
        <w:spacing w:after="0" w:line="290" w:lineRule="auto"/>
        <w:rPr>
          <w:sz w:val="20"/>
          <w:szCs w:val="20"/>
          <w:color w:val="auto"/>
        </w:rPr>
      </w:pPr>
      <w:r>
        <w:rPr>
          <w:rFonts w:ascii="Arial" w:cs="Arial" w:eastAsia="Arial" w:hAnsi="Arial"/>
          <w:sz w:val="13"/>
          <w:szCs w:val="13"/>
          <w:color w:val="auto"/>
        </w:rPr>
        <w:t>Our investments generally consist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179" w:lineRule="exact"/>
        <w:rPr>
          <w:sz w:val="20"/>
          <w:szCs w:val="20"/>
          <w:color w:val="auto"/>
        </w:rPr>
      </w:pPr>
    </w:p>
    <w:p>
      <w:pPr>
        <w:ind w:left="880" w:right="60" w:hanging="319"/>
        <w:spacing w:after="0" w:line="253" w:lineRule="auto"/>
        <w:tabs>
          <w:tab w:leader="none" w:pos="8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our Investment Adviser responsible for the portfolio investment;</w:t>
      </w:r>
    </w:p>
    <w:p>
      <w:pPr>
        <w:spacing w:after="0" w:line="79" w:lineRule="exact"/>
        <w:rPr>
          <w:rFonts w:ascii="Arial" w:cs="Arial" w:eastAsia="Arial" w:hAnsi="Arial"/>
          <w:sz w:val="14"/>
          <w:szCs w:val="14"/>
          <w:color w:val="auto"/>
        </w:rPr>
      </w:pPr>
    </w:p>
    <w:p>
      <w:pPr>
        <w:ind w:left="880" w:hanging="319"/>
        <w:spacing w:after="0"/>
        <w:tabs>
          <w:tab w:leader="none" w:pos="8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our Investment Adviser;</w:t>
      </w:r>
    </w:p>
    <w:p>
      <w:pPr>
        <w:spacing w:after="0" w:line="109" w:lineRule="exact"/>
        <w:rPr>
          <w:rFonts w:ascii="Arial" w:cs="Arial" w:eastAsia="Arial" w:hAnsi="Arial"/>
          <w:sz w:val="14"/>
          <w:szCs w:val="14"/>
          <w:color w:val="auto"/>
        </w:rPr>
      </w:pPr>
    </w:p>
    <w:p>
      <w:pPr>
        <w:jc w:val="both"/>
        <w:ind w:left="880" w:right="100" w:hanging="319"/>
        <w:spacing w:after="0" w:line="264" w:lineRule="auto"/>
        <w:tabs>
          <w:tab w:leader="none" w:pos="8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73" w:lineRule="exact"/>
        <w:rPr>
          <w:rFonts w:ascii="Arial" w:cs="Arial" w:eastAsia="Arial" w:hAnsi="Arial"/>
          <w:sz w:val="13"/>
          <w:szCs w:val="13"/>
          <w:color w:val="auto"/>
        </w:rPr>
      </w:pPr>
    </w:p>
    <w:p>
      <w:pPr>
        <w:ind w:left="880" w:right="340" w:hanging="319"/>
        <w:spacing w:after="0" w:line="238" w:lineRule="auto"/>
        <w:tabs>
          <w:tab w:leader="none" w:pos="8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88" w:lineRule="exact"/>
        <w:rPr>
          <w:rFonts w:ascii="Arial" w:cs="Arial" w:eastAsia="Arial" w:hAnsi="Arial"/>
          <w:sz w:val="14"/>
          <w:szCs w:val="14"/>
          <w:color w:val="auto"/>
        </w:rPr>
      </w:pPr>
    </w:p>
    <w:p>
      <w:pPr>
        <w:ind w:left="880" w:right="120" w:hanging="319"/>
        <w:spacing w:after="0" w:line="253" w:lineRule="auto"/>
        <w:tabs>
          <w:tab w:leader="none" w:pos="8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66" w:lineRule="exact"/>
        <w:rPr>
          <w:sz w:val="20"/>
          <w:szCs w:val="20"/>
          <w:color w:val="auto"/>
        </w:rPr>
      </w:pPr>
    </w:p>
    <w:p>
      <w:pPr>
        <w:ind w:right="100" w:firstLine="562"/>
        <w:spacing w:after="0" w:line="251" w:lineRule="auto"/>
        <w:rPr>
          <w:sz w:val="20"/>
          <w:szCs w:val="20"/>
          <w:color w:val="auto"/>
        </w:rPr>
      </w:pPr>
      <w:r>
        <w:rPr>
          <w:rFonts w:ascii="Arial" w:cs="Arial" w:eastAsia="Arial" w:hAnsi="Arial"/>
          <w:sz w:val="13"/>
          <w:szCs w:val="13"/>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by a principal market maker or a primary market dealer. The Investment Adviser assesses the source and reliability of bids from brokers or dealers. If our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fair value.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30</w:t>
      </w:r>
    </w:p>
    <w:p>
      <w:pPr>
        <w:sectPr>
          <w:pgSz w:w="11900" w:h="16838" w:orient="portrait"/>
          <w:cols w:equalWidth="0" w:num="1">
            <w:col w:w="11240"/>
          </w:cols>
          <w:pgMar w:left="320" w:top="459" w:right="3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firstLine="562"/>
        <w:spacing w:after="0" w:line="251" w:lineRule="auto"/>
        <w:rPr>
          <w:sz w:val="20"/>
          <w:szCs w:val="20"/>
          <w:color w:val="auto"/>
        </w:rPr>
      </w:pPr>
      <w:r>
        <w:rPr>
          <w:rFonts w:ascii="Arial" w:cs="Arial" w:eastAsia="Arial" w:hAnsi="Arial"/>
          <w:sz w:val="13"/>
          <w:szCs w:val="13"/>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69" w:lineRule="exact"/>
        <w:rPr>
          <w:sz w:val="20"/>
          <w:szCs w:val="20"/>
          <w:color w:val="auto"/>
        </w:rPr>
      </w:pPr>
    </w:p>
    <w:p>
      <w:pPr>
        <w:ind w:left="560"/>
        <w:spacing w:after="0"/>
        <w:rPr>
          <w:sz w:val="20"/>
          <w:szCs w:val="20"/>
          <w:color w:val="auto"/>
        </w:rPr>
      </w:pPr>
      <w:r>
        <w:rPr>
          <w:rFonts w:ascii="Arial" w:cs="Arial" w:eastAsia="Arial" w:hAnsi="Arial"/>
          <w:sz w:val="14"/>
          <w:szCs w:val="14"/>
          <w:color w:val="auto"/>
        </w:rPr>
        <w:t>ASC 820 classifies the inputs used to measure these fair values into the following hierarchies:</w:t>
      </w:r>
    </w:p>
    <w:p>
      <w:pPr>
        <w:spacing w:after="0" w:line="109" w:lineRule="exact"/>
        <w:rPr>
          <w:sz w:val="20"/>
          <w:szCs w:val="20"/>
          <w:color w:val="auto"/>
        </w:rPr>
      </w:pPr>
    </w:p>
    <w:p>
      <w:pPr>
        <w:ind w:left="680"/>
        <w:spacing w:after="0"/>
        <w:tabs>
          <w:tab w:leader="none" w:pos="1520" w:val="left"/>
        </w:tabs>
        <w:rPr>
          <w:sz w:val="20"/>
          <w:szCs w:val="20"/>
          <w:color w:val="auto"/>
        </w:rPr>
      </w:pPr>
      <w:r>
        <w:rPr>
          <w:rFonts w:ascii="Arial" w:cs="Arial" w:eastAsia="Arial" w:hAnsi="Arial"/>
          <w:sz w:val="14"/>
          <w:szCs w:val="14"/>
          <w:color w:val="auto"/>
        </w:rPr>
        <w:t>Level 1:</w:t>
      </w:r>
      <w:r>
        <w:rPr>
          <w:sz w:val="20"/>
          <w:szCs w:val="20"/>
          <w:color w:val="auto"/>
        </w:rPr>
        <w:tab/>
      </w:r>
      <w:r>
        <w:rPr>
          <w:rFonts w:ascii="Arial" w:cs="Arial" w:eastAsia="Arial" w:hAnsi="Arial"/>
          <w:sz w:val="12"/>
          <w:szCs w:val="12"/>
          <w:color w:val="auto"/>
        </w:rPr>
        <w:t>Inputs that are quoted prices (unadjusted) in active markets for identical assets or liabilities, accessible by us at the measurement date.</w:t>
      </w:r>
    </w:p>
    <w:p>
      <w:pPr>
        <w:spacing w:after="0" w:line="96" w:lineRule="exact"/>
        <w:rPr>
          <w:sz w:val="20"/>
          <w:szCs w:val="20"/>
          <w:color w:val="auto"/>
        </w:rPr>
      </w:pPr>
    </w:p>
    <w:p>
      <w:pPr>
        <w:ind w:left="1540" w:right="120" w:hanging="849"/>
        <w:spacing w:after="0" w:line="290" w:lineRule="auto"/>
        <w:tabs>
          <w:tab w:leader="none" w:pos="1520" w:val="left"/>
        </w:tabs>
        <w:rPr>
          <w:sz w:val="20"/>
          <w:szCs w:val="20"/>
          <w:color w:val="auto"/>
        </w:rPr>
      </w:pPr>
      <w:r>
        <w:rPr>
          <w:rFonts w:ascii="Arial" w:cs="Arial" w:eastAsia="Arial" w:hAnsi="Arial"/>
          <w:sz w:val="14"/>
          <w:szCs w:val="14"/>
          <w:color w:val="auto"/>
        </w:rPr>
        <w:t>Level 2:</w:t>
      </w:r>
      <w:r>
        <w:rPr>
          <w:sz w:val="20"/>
          <w:szCs w:val="20"/>
          <w:color w:val="auto"/>
        </w:rPr>
        <w:tab/>
      </w:r>
      <w:r>
        <w:rPr>
          <w:rFonts w:ascii="Arial" w:cs="Arial" w:eastAsia="Arial" w:hAnsi="Arial"/>
          <w:sz w:val="13"/>
          <w:szCs w:val="13"/>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44" w:lineRule="exact"/>
        <w:rPr>
          <w:sz w:val="20"/>
          <w:szCs w:val="20"/>
          <w:color w:val="auto"/>
        </w:rPr>
      </w:pPr>
    </w:p>
    <w:p>
      <w:pPr>
        <w:ind w:left="680"/>
        <w:spacing w:after="0"/>
        <w:tabs>
          <w:tab w:leader="none" w:pos="1520" w:val="left"/>
        </w:tabs>
        <w:rPr>
          <w:sz w:val="20"/>
          <w:szCs w:val="20"/>
          <w:color w:val="auto"/>
        </w:rPr>
      </w:pPr>
      <w:r>
        <w:rPr>
          <w:rFonts w:ascii="Arial" w:cs="Arial" w:eastAsia="Arial" w:hAnsi="Arial"/>
          <w:sz w:val="14"/>
          <w:szCs w:val="14"/>
          <w:color w:val="auto"/>
        </w:rPr>
        <w:t>Level 3:</w:t>
      </w:r>
      <w:r>
        <w:rPr>
          <w:sz w:val="20"/>
          <w:szCs w:val="20"/>
          <w:color w:val="auto"/>
        </w:rPr>
        <w:tab/>
      </w:r>
      <w:r>
        <w:rPr>
          <w:rFonts w:ascii="Arial" w:cs="Arial" w:eastAsia="Arial" w:hAnsi="Arial"/>
          <w:sz w:val="12"/>
          <w:szCs w:val="12"/>
          <w:color w:val="auto"/>
        </w:rPr>
        <w:t>Inputs that are unobservable for an asset or liability because they are based on our own assumptions about how market participants would price the asset or liability.</w:t>
      </w:r>
    </w:p>
    <w:p>
      <w:pPr>
        <w:spacing w:after="0" w:line="96" w:lineRule="exact"/>
        <w:rPr>
          <w:sz w:val="20"/>
          <w:szCs w:val="20"/>
          <w:color w:val="auto"/>
        </w:rPr>
      </w:pPr>
    </w:p>
    <w:p>
      <w:pPr>
        <w:ind w:right="160" w:firstLine="562"/>
        <w:spacing w:after="0" w:line="233" w:lineRule="auto"/>
        <w:rPr>
          <w:sz w:val="20"/>
          <w:szCs w:val="20"/>
          <w:color w:val="auto"/>
        </w:rPr>
      </w:pPr>
      <w:r>
        <w:rPr>
          <w:rFonts w:ascii="Arial" w:cs="Arial" w:eastAsia="Arial" w:hAnsi="Arial"/>
          <w:sz w:val="14"/>
          <w:szCs w:val="14"/>
          <w:color w:val="auto"/>
        </w:rPr>
        <w:t>A financial instrument’s categorization within the valuation hierarchy is based upon the lowest level of input that is significant to the fair value measurement. Generally, most of our investments, our Credit Facility and the 2019 Notes are classified as Level 3. Due to the inherent uncertainty of determining the fair value of investments that do not have a readily available market value, the price used in an actual transaction may be different than our valuation and those differences may be material. A review of fair value hierarchy classifications is conducted on a quarterly basis.</w:t>
      </w:r>
    </w:p>
    <w:p>
      <w:pPr>
        <w:spacing w:after="0" w:line="77" w:lineRule="exact"/>
        <w:rPr>
          <w:sz w:val="20"/>
          <w:szCs w:val="20"/>
          <w:color w:val="auto"/>
        </w:rPr>
      </w:pPr>
    </w:p>
    <w:p>
      <w:pPr>
        <w:ind w:right="160" w:firstLine="562"/>
        <w:spacing w:after="0" w:line="290" w:lineRule="auto"/>
        <w:rPr>
          <w:sz w:val="20"/>
          <w:szCs w:val="20"/>
          <w:color w:val="auto"/>
        </w:rPr>
      </w:pPr>
      <w:r>
        <w:rPr>
          <w:rFonts w:ascii="Arial" w:cs="Arial" w:eastAsia="Arial" w:hAnsi="Arial"/>
          <w:sz w:val="13"/>
          <w:szCs w:val="13"/>
          <w:color w:val="auto"/>
        </w:rPr>
        <w:t>In addition to using the above inputs in cash equivalents, investments, our Notes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w:t>
      </w:r>
    </w:p>
    <w:p>
      <w:pPr>
        <w:spacing w:after="0" w:line="44" w:lineRule="exact"/>
        <w:rPr>
          <w:sz w:val="20"/>
          <w:szCs w:val="20"/>
          <w:color w:val="auto"/>
        </w:rPr>
      </w:pPr>
    </w:p>
    <w:p>
      <w:pPr>
        <w:ind w:firstLine="562"/>
        <w:spacing w:after="0" w:line="225" w:lineRule="auto"/>
        <w:rPr>
          <w:sz w:val="20"/>
          <w:szCs w:val="20"/>
          <w:color w:val="auto"/>
        </w:rPr>
      </w:pPr>
      <w:r>
        <w:rPr>
          <w:rFonts w:ascii="Arial" w:cs="Arial" w:eastAsia="Arial" w:hAnsi="Arial"/>
          <w:sz w:val="14"/>
          <w:szCs w:val="14"/>
          <w:color w:val="auto"/>
        </w:rPr>
        <w:t>The carrying value of our consolidated financial liabilities approximates fair value. We adopted ASC 825-10, which provides companies with an option to report selected financial assets and liabilities at fair value and made an irrevocable election to apply ASC 825-10 to our Credit Facility and our Notes. We elected to use the fair value option for the Credit Facility and our Notes to align the measurement attributes of both our assets and liabilities while mitigating volatility in earnings from using different measurement attributes.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 of Assets and Liabilities and changes in fair value of the Credit Facility and our Notes are reported in our Consolidated Statement of Operations. We elected not to apply ASC 825-10 to any other financial assets or liabilities, including the SBA debentures. For the three months ended December 31, 2014 and 2013, our Credit Facility, 2019 Notes and 2025 Notes, collectively, had a net change in unrealized depreciation of $1.1 million and $4.1 million, respectively. As of December 31, 2014 and September 30, 2014, net unrealized depreciation (appreciation) on our Credit Facility and our Notes totaled $0.9 million and $(0.2) million, respectively. We use a nationally recognized independent valuation service to fair value our Credit Facility in a manner consistent with the valuation process that the board of directors uses to value investments. Our 2025 Notes trade on the NYSE, under the ticker “PNTA”, and we use the closing price on the exchange to determine their fair value.</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 Recognition</w:t>
      </w:r>
    </w:p>
    <w:p>
      <w:pPr>
        <w:spacing w:after="0" w:line="96" w:lineRule="exact"/>
        <w:rPr>
          <w:sz w:val="20"/>
          <w:szCs w:val="20"/>
          <w:color w:val="auto"/>
        </w:rPr>
      </w:pPr>
    </w:p>
    <w:p>
      <w:pPr>
        <w:ind w:right="20" w:firstLine="562"/>
        <w:spacing w:after="0" w:line="229" w:lineRule="auto"/>
        <w:rPr>
          <w:sz w:val="20"/>
          <w:szCs w:val="20"/>
          <w:color w:val="auto"/>
        </w:rPr>
      </w:pPr>
      <w:r>
        <w:rPr>
          <w:rFonts w:ascii="Arial" w:cs="Arial" w:eastAsia="Arial" w:hAnsi="Arial"/>
          <w:sz w:val="14"/>
          <w:szCs w:val="14"/>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collectible. We do not accrue as a receivable interest on loans and debt investments if we have reason to doubt our ability to collect such interest. Loan origination fees, OID, market discount or premium and deferred financing costs on liabilities which we do not fair value are capitalized and then accreted or amortized using the effective interest method as interest income or interest expense as it relates to our deferred financing costs. We record prepayment penalties on loans and debt investments as income. Dividend income, if any, is recognized on an accrual basis on the ex-dividend date to the extent that we expect to collect such amounts.</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Realized Gains or Losses and Net Change in Unrealized Appreciation or Depreciation</w:t>
      </w:r>
    </w:p>
    <w:p>
      <w:pPr>
        <w:spacing w:after="0" w:line="96" w:lineRule="exact"/>
        <w:rPr>
          <w:sz w:val="20"/>
          <w:szCs w:val="20"/>
          <w:color w:val="auto"/>
        </w:rPr>
      </w:pPr>
    </w:p>
    <w:p>
      <w:pPr>
        <w:ind w:right="20" w:firstLine="562"/>
        <w:spacing w:after="0" w:line="233" w:lineRule="auto"/>
        <w:rPr>
          <w:sz w:val="20"/>
          <w:szCs w:val="20"/>
          <w:color w:val="auto"/>
        </w:rPr>
      </w:pPr>
      <w:r>
        <w:rPr>
          <w:rFonts w:ascii="Arial" w:cs="Arial" w:eastAsia="Arial" w:hAnsi="Arial"/>
          <w:sz w:val="14"/>
          <w:szCs w:val="14"/>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the fair value of our portfolio investment values, our Credit Facility and our Notes during the reporting period, including any reversal of previously recorded unrealized appreciation or depreciation, when gains or losses are realized.</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Foreign Currency Translation</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4"/>
          <w:szCs w:val="14"/>
          <w:color w:val="auto"/>
        </w:rPr>
        <w:t>Our books and records are maintained in U.S. dollars. Any foreign currency amounts are translated into U.S. dollars on the following basis:</w:t>
      </w:r>
    </w:p>
    <w:p>
      <w:pPr>
        <w:spacing w:after="0" w:line="96" w:lineRule="exact"/>
        <w:rPr>
          <w:sz w:val="20"/>
          <w:szCs w:val="20"/>
          <w:color w:val="auto"/>
        </w:rPr>
      </w:pPr>
    </w:p>
    <w:p>
      <w:pPr>
        <w:ind w:left="1060" w:hanging="154"/>
        <w:spacing w:after="0"/>
        <w:tabs>
          <w:tab w:leader="none" w:pos="10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Fair value of investment securities, other assets and liabilities – at the exchange rates prevailing at the end of the applicable period; and</w:t>
      </w:r>
    </w:p>
    <w:p>
      <w:pPr>
        <w:spacing w:after="0" w:line="95" w:lineRule="exact"/>
        <w:rPr>
          <w:rFonts w:ascii="Arial" w:cs="Arial" w:eastAsia="Arial" w:hAnsi="Arial"/>
          <w:sz w:val="14"/>
          <w:szCs w:val="14"/>
          <w:color w:val="auto"/>
        </w:rPr>
      </w:pPr>
    </w:p>
    <w:p>
      <w:pPr>
        <w:ind w:left="1060" w:hanging="154"/>
        <w:spacing w:after="0"/>
        <w:tabs>
          <w:tab w:leader="none" w:pos="10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Purchases and sales of investment securities, income and expenses – at the exchange rates prevailing on the respective dates of such transactions.</w:t>
      </w:r>
    </w:p>
    <w:p>
      <w:pPr>
        <w:spacing w:after="0" w:line="96" w:lineRule="exact"/>
        <w:rPr>
          <w:sz w:val="20"/>
          <w:szCs w:val="20"/>
          <w:color w:val="auto"/>
        </w:rPr>
      </w:pPr>
    </w:p>
    <w:p>
      <w:pPr>
        <w:ind w:right="60" w:firstLine="562"/>
        <w:spacing w:after="0" w:line="238" w:lineRule="auto"/>
        <w:rPr>
          <w:sz w:val="20"/>
          <w:szCs w:val="20"/>
          <w:color w:val="auto"/>
        </w:rPr>
      </w:pPr>
      <w:r>
        <w:rPr>
          <w:rFonts w:ascii="Arial" w:cs="Arial" w:eastAsia="Arial" w:hAnsi="Arial"/>
          <w:sz w:val="14"/>
          <w:szCs w:val="14"/>
          <w:color w:val="auto"/>
        </w:rPr>
        <w:t>Although net assets and fair values are presented based on the applicable foreign exchange rates described above, we do not isolate that portion of the results of operations due to changes in foreign exchange rates on investments and debt from the fluctuations arising from changes in fair values of investments and liabilities held. Such fluctuations are included with the net realized and unrealized gain or loss from investments and liabilities.</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Payment-In-Kind, or PIK, Interest</w:t>
      </w:r>
    </w:p>
    <w:p>
      <w:pPr>
        <w:spacing w:after="0" w:line="96" w:lineRule="exact"/>
        <w:rPr>
          <w:sz w:val="20"/>
          <w:szCs w:val="20"/>
          <w:color w:val="auto"/>
        </w:rPr>
      </w:pPr>
    </w:p>
    <w:p>
      <w:pPr>
        <w:ind w:right="80" w:firstLine="562"/>
        <w:spacing w:after="0" w:line="290" w:lineRule="auto"/>
        <w:rPr>
          <w:sz w:val="20"/>
          <w:szCs w:val="20"/>
          <w:color w:val="auto"/>
        </w:rPr>
      </w:pPr>
      <w:r>
        <w:rPr>
          <w:rFonts w:ascii="Arial" w:cs="Arial" w:eastAsia="Arial" w:hAnsi="Arial"/>
          <w:sz w:val="13"/>
          <w:szCs w:val="13"/>
          <w:color w:val="auto"/>
        </w:rPr>
        <w:t>We have investments in our portfolio which contain a PIK interest provision. PIK interest is added to the principal balance of the investment and is recorded as income. For us to maintain our status as a RIC, substantially all of this income must be paid out to stockholders in the form of distributions, even though we may not collect any cash with respect to PIK securities.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31</w:t>
      </w:r>
    </w:p>
    <w:p>
      <w:pPr>
        <w:sectPr>
          <w:pgSz w:w="11900" w:h="16838" w:orient="portrait"/>
          <w:cols w:equalWidth="0" w:num="1">
            <w:col w:w="11240"/>
          </w:cols>
          <w:pgMar w:left="320" w:top="459" w:right="3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Federal Income Taxes</w:t>
      </w:r>
    </w:p>
    <w:p>
      <w:pPr>
        <w:spacing w:after="0" w:line="96" w:lineRule="exact"/>
        <w:rPr>
          <w:sz w:val="20"/>
          <w:szCs w:val="20"/>
          <w:color w:val="auto"/>
        </w:rPr>
      </w:pPr>
    </w:p>
    <w:p>
      <w:pPr>
        <w:ind w:right="40" w:firstLine="562"/>
        <w:spacing w:after="0" w:line="243" w:lineRule="auto"/>
        <w:rPr>
          <w:sz w:val="20"/>
          <w:szCs w:val="20"/>
          <w:color w:val="auto"/>
        </w:rPr>
      </w:pPr>
      <w:r>
        <w:rPr>
          <w:rFonts w:ascii="Arial" w:cs="Arial" w:eastAsia="Arial" w:hAnsi="Arial"/>
          <w:sz w:val="13"/>
          <w:szCs w:val="13"/>
          <w:color w:val="auto"/>
        </w:rPr>
        <w:t>We have elected to be taxed, and intend to qualify annually to maintain our election to be taxed, as a RIC under Subchapter M of the Code. To maintain our RIC tax election, we must, among other requirements, meet certain source-of-income and quarterly asset diversification requirements. We also must annually distribute at least 90% of the sum of our net ordinary income and realized net short-term capital gains in excess of realized net long-term capital losses, if any, out of the assets legally available for distribution. Although not required for us to maintain our RIC tax status, in order to preclude the imposition of a 4% nondeductible federal excise tax imposed on RICs, we must distribute during each calendar year an amount at least equal to the sum of</w:t>
      </w:r>
    </w:p>
    <w:p>
      <w:pPr>
        <w:spacing w:after="0" w:line="1" w:lineRule="exact"/>
        <w:rPr>
          <w:sz w:val="20"/>
          <w:szCs w:val="20"/>
          <w:color w:val="auto"/>
        </w:rPr>
      </w:pPr>
    </w:p>
    <w:p>
      <w:pPr>
        <w:ind w:firstLine="8"/>
        <w:spacing w:after="0" w:line="249" w:lineRule="auto"/>
        <w:tabs>
          <w:tab w:leader="none" w:pos="204" w:val="left"/>
        </w:tabs>
        <w:numPr>
          <w:ilvl w:val="0"/>
          <w:numId w:val="15"/>
        </w:numPr>
        <w:rPr>
          <w:rFonts w:ascii="Arial" w:cs="Arial" w:eastAsia="Arial" w:hAnsi="Arial"/>
          <w:sz w:val="13"/>
          <w:szCs w:val="13"/>
          <w:color w:val="auto"/>
        </w:rPr>
      </w:pPr>
      <w:r>
        <w:rPr>
          <w:rFonts w:ascii="Arial" w:cs="Arial" w:eastAsia="Arial" w:hAnsi="Arial"/>
          <w:sz w:val="13"/>
          <w:szCs w:val="13"/>
          <w:color w:val="auto"/>
        </w:rPr>
        <w:t>98% of our net ordinary income for the calendar year, (2) 98.2% of the sum of our net capital gains income (i.e. the excess, if any, of our capital gains over capital losses) for the one-year period ending on October 31 of the calendar year and (3) the sum of any net ordinary income plus net capital gain income for preceding years that were not distributed during such years. In addition, although we may distribute realized net capital gains (i.e., net long-term capital gains in excess of short-term capital losses), if any, at least annually, out of the assets legally available for such distributions in the manner described above, we have retained and may continue to retain such net capital gains or net ordinary income to provide us with additional liquidity.</w:t>
      </w:r>
    </w:p>
    <w:p>
      <w:pPr>
        <w:spacing w:after="0" w:line="70" w:lineRule="exact"/>
        <w:rPr>
          <w:sz w:val="20"/>
          <w:szCs w:val="20"/>
          <w:color w:val="auto"/>
        </w:rPr>
      </w:pPr>
    </w:p>
    <w:p>
      <w:pPr>
        <w:ind w:right="100" w:firstLine="562"/>
        <w:spacing w:after="0" w:line="238" w:lineRule="auto"/>
        <w:rPr>
          <w:sz w:val="20"/>
          <w:szCs w:val="20"/>
          <w:color w:val="auto"/>
        </w:rPr>
      </w:pPr>
      <w:r>
        <w:rPr>
          <w:rFonts w:ascii="Arial" w:cs="Arial" w:eastAsia="Arial" w:hAnsi="Arial"/>
          <w:sz w:val="14"/>
          <w:szCs w:val="14"/>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100" w:lineRule="exact"/>
        <w:rPr>
          <w:sz w:val="20"/>
          <w:szCs w:val="20"/>
          <w:color w:val="auto"/>
        </w:rPr>
      </w:pPr>
    </w:p>
    <w:p>
      <w:pPr>
        <w:ind w:left="560"/>
        <w:spacing w:after="0"/>
        <w:rPr>
          <w:sz w:val="20"/>
          <w:szCs w:val="20"/>
          <w:color w:val="auto"/>
        </w:rPr>
      </w:pPr>
      <w:r>
        <w:rPr>
          <w:rFonts w:ascii="Arial" w:cs="Arial" w:eastAsia="Arial" w:hAnsi="Arial"/>
          <w:sz w:val="14"/>
          <w:szCs w:val="14"/>
          <w:color w:val="auto"/>
        </w:rPr>
        <w:t>Set forth below are the results of operations for the three months ended December 31, 2014 and 2013.</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Income</w:t>
      </w:r>
    </w:p>
    <w:p>
      <w:pPr>
        <w:spacing w:after="0" w:line="96" w:lineRule="exact"/>
        <w:rPr>
          <w:sz w:val="20"/>
          <w:szCs w:val="20"/>
          <w:color w:val="auto"/>
        </w:rPr>
      </w:pPr>
    </w:p>
    <w:p>
      <w:pPr>
        <w:ind w:right="40" w:firstLine="562"/>
        <w:spacing w:after="0" w:line="233" w:lineRule="auto"/>
        <w:rPr>
          <w:sz w:val="20"/>
          <w:szCs w:val="20"/>
          <w:color w:val="auto"/>
        </w:rPr>
      </w:pPr>
      <w:r>
        <w:rPr>
          <w:rFonts w:ascii="Arial" w:cs="Arial" w:eastAsia="Arial" w:hAnsi="Arial"/>
          <w:sz w:val="14"/>
          <w:szCs w:val="14"/>
          <w:color w:val="auto"/>
        </w:rPr>
        <w:t>Investment income for the three months ended December 31, 2014 was $39.2 million and was attributable to $14.6 million from senior secured loans, $15.9 million from second lien secured debt, $8.2 million from subordinated debt and $0.5 million from preferred and common equity. Investment income for the three months ended December 31, 2013 was $34.4 million and was attributable to $9.6 million from senior secured loans, $12.3 million from second lien secured debt, $11.4 million from subordinated debt and $1.1 million from common equity. The increase in investment income compared with the same period in the prior year is primarily due to the growth of our portfolio.</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Expenses</w:t>
      </w:r>
    </w:p>
    <w:p>
      <w:pPr>
        <w:spacing w:after="0" w:line="96" w:lineRule="exact"/>
        <w:rPr>
          <w:sz w:val="20"/>
          <w:szCs w:val="20"/>
          <w:color w:val="auto"/>
        </w:rPr>
      </w:pPr>
    </w:p>
    <w:p>
      <w:pPr>
        <w:ind w:right="120" w:firstLine="562"/>
        <w:spacing w:after="0" w:line="255" w:lineRule="auto"/>
        <w:rPr>
          <w:sz w:val="20"/>
          <w:szCs w:val="20"/>
          <w:color w:val="auto"/>
        </w:rPr>
      </w:pPr>
      <w:r>
        <w:rPr>
          <w:rFonts w:ascii="Arial" w:cs="Arial" w:eastAsia="Arial" w:hAnsi="Arial"/>
          <w:sz w:val="13"/>
          <w:szCs w:val="13"/>
          <w:color w:val="auto"/>
        </w:rPr>
        <w:t>Expenses for the three months ended December 31, 2014 totaled $19.7 million. Base management fee for the same period totaled $6.8 million, incentive fee totaled $4.9 million, debt related interest and expenses totaled $6.5 million and general and administrative expenses totaled $1.5 million. Expenses for the three months ended December 31, 2013 totaled $16.5 million. Base management fee for the same period totaled $5.7 million, incentive fee totaled $4.5 million, debt related interest and expenses totaled $4.6 million and general and administrative expenses totaled $1.7 million. The increase in expenses compared with the same period in the prior year was primarily due to increased borrowing costs and the growth of our portfolio.</w:t>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Investment Income</w:t>
      </w:r>
    </w:p>
    <w:p>
      <w:pPr>
        <w:spacing w:after="0" w:line="96" w:lineRule="exact"/>
        <w:rPr>
          <w:sz w:val="20"/>
          <w:szCs w:val="20"/>
          <w:color w:val="auto"/>
        </w:rPr>
      </w:pPr>
    </w:p>
    <w:p>
      <w:pPr>
        <w:ind w:right="80" w:firstLine="562"/>
        <w:spacing w:after="0" w:line="238" w:lineRule="auto"/>
        <w:rPr>
          <w:sz w:val="20"/>
          <w:szCs w:val="20"/>
          <w:color w:val="auto"/>
        </w:rPr>
      </w:pPr>
      <w:r>
        <w:rPr>
          <w:rFonts w:ascii="Arial" w:cs="Arial" w:eastAsia="Arial" w:hAnsi="Arial"/>
          <w:sz w:val="14"/>
          <w:szCs w:val="14"/>
          <w:color w:val="auto"/>
        </w:rPr>
        <w:t>Net investment income totaled $19.5 million, or $0.26 per share, for the three months ended December 31, 2014, and $18.0 million, or $0.27 per share, for the three months ended December 31, 2013. The increase in net investment income compared to the same period in the prior year was due to the growth of our portfolio offset by higher financing costs. The decrease in net investment income per share compared with the same period in the prior year was due to the issuance of new shares.</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Realized Gains or Losses</w:t>
      </w:r>
    </w:p>
    <w:p>
      <w:pPr>
        <w:spacing w:after="0" w:line="96" w:lineRule="exact"/>
        <w:rPr>
          <w:sz w:val="20"/>
          <w:szCs w:val="20"/>
          <w:color w:val="auto"/>
        </w:rPr>
      </w:pPr>
    </w:p>
    <w:p>
      <w:pPr>
        <w:ind w:firstLine="562"/>
        <w:spacing w:after="0" w:line="238" w:lineRule="auto"/>
        <w:rPr>
          <w:sz w:val="20"/>
          <w:szCs w:val="20"/>
          <w:color w:val="auto"/>
        </w:rPr>
      </w:pPr>
      <w:r>
        <w:rPr>
          <w:rFonts w:ascii="Arial" w:cs="Arial" w:eastAsia="Arial" w:hAnsi="Arial"/>
          <w:sz w:val="14"/>
          <w:szCs w:val="14"/>
          <w:color w:val="auto"/>
        </w:rPr>
        <w:t>Sales and repayments of investments for the three months ended December 31, 2014 totaled $79.3 million and realized gains totaled $8.6 million. Sales and repayments of investments totaled $144.0 million and realized gains totaled $2.7 million for the three months ended December 31, 2013. The increase in realized gains compared with the same period in the prior year is due to the improved merger and acquisition environment and repayments of our investments.</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Unrealized Appreciation or Depreciation on Investments, Credit Facility and our Notes</w:t>
      </w:r>
    </w:p>
    <w:p>
      <w:pPr>
        <w:spacing w:after="0" w:line="96" w:lineRule="exact"/>
        <w:rPr>
          <w:sz w:val="20"/>
          <w:szCs w:val="20"/>
          <w:color w:val="auto"/>
        </w:rPr>
      </w:pPr>
    </w:p>
    <w:p>
      <w:pPr>
        <w:jc w:val="both"/>
        <w:ind w:right="40" w:firstLine="562"/>
        <w:spacing w:after="0" w:line="238" w:lineRule="auto"/>
        <w:rPr>
          <w:sz w:val="20"/>
          <w:szCs w:val="20"/>
          <w:color w:val="auto"/>
        </w:rPr>
      </w:pPr>
      <w:r>
        <w:rPr>
          <w:rFonts w:ascii="Arial" w:cs="Arial" w:eastAsia="Arial" w:hAnsi="Arial"/>
          <w:sz w:val="14"/>
          <w:szCs w:val="14"/>
          <w:color w:val="auto"/>
        </w:rPr>
        <w:t>For the three months ended December 31, 2014 and 2013, we reported a net unrealized (depreciation) appreciation on investments of $(53.2) million and $14.7 million, respectively. As of December 31, 2014 and September 30, 2014, our net unrealized depreciation on investments totaled $54.0 million and $0.9 million, respectively. The decrease compared with the same period in the prior year was the result of the overall variation in the leveraged finance markets.</w:t>
      </w:r>
    </w:p>
    <w:p>
      <w:pPr>
        <w:spacing w:after="0" w:line="75" w:lineRule="exact"/>
        <w:rPr>
          <w:sz w:val="20"/>
          <w:szCs w:val="20"/>
          <w:color w:val="auto"/>
        </w:rPr>
      </w:pPr>
    </w:p>
    <w:p>
      <w:pPr>
        <w:ind w:left="560"/>
        <w:spacing w:after="0"/>
        <w:rPr>
          <w:sz w:val="20"/>
          <w:szCs w:val="20"/>
          <w:color w:val="auto"/>
        </w:rPr>
      </w:pPr>
      <w:r>
        <w:rPr>
          <w:rFonts w:ascii="Arial" w:cs="Arial" w:eastAsia="Arial" w:hAnsi="Arial"/>
          <w:sz w:val="13"/>
          <w:szCs w:val="13"/>
          <w:color w:val="auto"/>
        </w:rPr>
        <w:t>For the three months ended December 31, 2014 and 2013, we reported a net unrealized depreciation on our Credit Facility and our Notes of $1.1 million and $4.1 million, respectively.</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The decrease compared with the same period in the prior year was due to changes in the capital markets.</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Change in Net Assets Resulting from Operations</w:t>
      </w:r>
    </w:p>
    <w:p>
      <w:pPr>
        <w:spacing w:after="0" w:line="96" w:lineRule="exact"/>
        <w:rPr>
          <w:sz w:val="20"/>
          <w:szCs w:val="20"/>
          <w:color w:val="auto"/>
        </w:rPr>
      </w:pPr>
    </w:p>
    <w:p>
      <w:pPr>
        <w:ind w:right="100" w:firstLine="562"/>
        <w:spacing w:after="0" w:line="238" w:lineRule="auto"/>
        <w:rPr>
          <w:sz w:val="20"/>
          <w:szCs w:val="20"/>
          <w:color w:val="auto"/>
        </w:rPr>
      </w:pPr>
      <w:r>
        <w:rPr>
          <w:rFonts w:ascii="Arial" w:cs="Arial" w:eastAsia="Arial" w:hAnsi="Arial"/>
          <w:sz w:val="14"/>
          <w:szCs w:val="14"/>
          <w:color w:val="auto"/>
        </w:rPr>
        <w:t>Net change in net assets resulting from operations totaled $(23.9) million, or $(0.32) per share, for the three months ended December 31, 2014. This compares to a net change in net assets resulting from operations of $39.5 million, or $0.59 per share, for the three months ended December 31, 2013. The decrease in the net change in net assets from operations compared with the same period in the prior year reflects the change in portfolio investment values during the reporting period.</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100" w:lineRule="exact"/>
        <w:rPr>
          <w:sz w:val="20"/>
          <w:szCs w:val="20"/>
          <w:color w:val="auto"/>
        </w:rPr>
      </w:pPr>
    </w:p>
    <w:p>
      <w:pPr>
        <w:ind w:right="20" w:firstLine="562"/>
        <w:spacing w:after="0" w:line="264" w:lineRule="auto"/>
        <w:rPr>
          <w:sz w:val="20"/>
          <w:szCs w:val="20"/>
          <w:color w:val="auto"/>
        </w:rPr>
      </w:pPr>
      <w:r>
        <w:rPr>
          <w:rFonts w:ascii="Arial" w:cs="Arial" w:eastAsia="Arial" w:hAnsi="Arial"/>
          <w:sz w:val="13"/>
          <w:szCs w:val="13"/>
          <w:color w:val="auto"/>
        </w:rPr>
        <w:t>Our liquidity and capital resources are derived primarily from proceeds of securities offerings, debt capital and cash flows from operations, including investment sales and repayments, and income earned. Our primary use of funds from operations includes investments in portfolio companies and payments of fees and other operating expenses we incur. We have used, and expect to continue to use, our debt capital and proceeds from the rotation of our portfolio and proceeds from public and private offerings of securities to finance our investment objectives.</w:t>
      </w:r>
    </w:p>
    <w:p>
      <w:pPr>
        <w:spacing w:after="0" w:line="60" w:lineRule="exact"/>
        <w:rPr>
          <w:sz w:val="20"/>
          <w:szCs w:val="20"/>
          <w:color w:val="auto"/>
        </w:rPr>
      </w:pPr>
    </w:p>
    <w:p>
      <w:pPr>
        <w:ind w:firstLine="562"/>
        <w:spacing w:after="0" w:line="247" w:lineRule="auto"/>
        <w:rPr>
          <w:sz w:val="20"/>
          <w:szCs w:val="20"/>
          <w:color w:val="auto"/>
        </w:rPr>
      </w:pPr>
      <w:r>
        <w:rPr>
          <w:rFonts w:ascii="Arial" w:cs="Arial" w:eastAsia="Arial" w:hAnsi="Arial"/>
          <w:sz w:val="13"/>
          <w:szCs w:val="13"/>
          <w:color w:val="auto"/>
        </w:rPr>
        <w:t>We have a $545 million multi-currency Credit Facility with certain lenders and SunTrust Bank, acting as administrative agent, and JPMorgan Chase Bank, N.A., acting as syndication agent for the lenders. As of December 31, 2014 and September 30, 2014, there was $125.9 million (including a temporary draw of $8.0 million) and $55.2 million, respectively, in outstanding borrowings under the Credit Facility, with a weighted average interest rate at the time of 2.75% and 2.80%, respectively, exclusive of the fee on undrawn commitments of 0.375%. The annualized weighted average cost of debt for the three months ended December 31, 2014 and 2013, inclusive of the fee on the undrawn commitment on the Credit Facility and upfront fees on SBA debentures, was 4.63% and 4.20%, respectively. The Credit Facility is a five-year revolving facility with a stated maturity date of June 25, 2019, a one-year term-out period following its fourth year and pricing is set at 225 basis points over LIBOR. As of December 31, 2014 and September 30, 2014, we had $419.1 million and $489.8 million of unused borrowing capacity, respectively, subject to the regulatory restrictions that the 1940 Act imposes on us as a BDC. The Credit Facility is secured by substantially all of our assets excluding assets held by our SBIC Funds.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32</w:t>
      </w:r>
    </w:p>
    <w:p>
      <w:pPr>
        <w:sectPr>
          <w:pgSz w:w="11900" w:h="16838" w:orient="portrait"/>
          <w:cols w:equalWidth="0" w:num="1">
            <w:col w:w="11220"/>
          </w:cols>
          <w:pgMar w:left="320" w:top="459" w:right="3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760" w:firstLine="562"/>
        <w:spacing w:after="0" w:line="253" w:lineRule="auto"/>
        <w:rPr>
          <w:sz w:val="20"/>
          <w:szCs w:val="20"/>
          <w:color w:val="auto"/>
        </w:rPr>
      </w:pPr>
      <w:r>
        <w:rPr>
          <w:rFonts w:ascii="Arial" w:cs="Arial" w:eastAsia="Arial" w:hAnsi="Arial"/>
          <w:sz w:val="14"/>
          <w:szCs w:val="14"/>
          <w:color w:val="auto"/>
        </w:rPr>
        <w:t>For a complete list of covenants contained in the Credit Facility, see our Form 8-K filed on June 30, 2014 and the Credit Facility agreement filed as Exhibit 99.2 thereto and incorporated by reference herein. As of December 31, 2014, we were in compliance with the terms of our Credit Facility.</w:t>
      </w:r>
    </w:p>
    <w:p>
      <w:pPr>
        <w:spacing w:after="0" w:line="66" w:lineRule="exact"/>
        <w:rPr>
          <w:sz w:val="20"/>
          <w:szCs w:val="20"/>
          <w:color w:val="auto"/>
        </w:rPr>
      </w:pPr>
    </w:p>
    <w:p>
      <w:pPr>
        <w:ind w:firstLine="562"/>
        <w:spacing w:after="0" w:line="251" w:lineRule="auto"/>
        <w:rPr>
          <w:sz w:val="20"/>
          <w:szCs w:val="20"/>
          <w:color w:val="auto"/>
        </w:rPr>
      </w:pPr>
      <w:r>
        <w:rPr>
          <w:rFonts w:ascii="Arial" w:cs="Arial" w:eastAsia="Arial" w:hAnsi="Arial"/>
          <w:sz w:val="13"/>
          <w:szCs w:val="13"/>
          <w:color w:val="auto"/>
        </w:rPr>
        <w:t>In September 2014, we issued $250.0 million in aggregate principal amount of 2019 Notes, for net proceeds of $245.5 million after underwriting discounts and offering costs. Interest on the 2019 Notes is paid semi-annually on April 1and October 1, at a rate of 4.50% per year, beginning on April 1, 2015. The 2019 Notes mature on October 1, 2019. The 2019 Notes are general, unsecured obligations and rank equal in right of payment with all of our existing and future senior unsecured indebtedness. The 2019 Notes are structurally subordinated to our SBA debentures and effectively subordinated to the assets pledged or secured under our Credit Facility. Please see our base indenture agreement filed as Exhibit (d)(8) to our post-effective amendment filed on January 22, 2013 (the “Base Indenture”) and the supplemental indenture agreement filed as Exhibit (d)(11) to our post-effective amendment filed on September 23, 2014 for more information.</w:t>
      </w:r>
    </w:p>
    <w:p>
      <w:pPr>
        <w:spacing w:after="0" w:line="69" w:lineRule="exact"/>
        <w:rPr>
          <w:sz w:val="20"/>
          <w:szCs w:val="20"/>
          <w:color w:val="auto"/>
        </w:rPr>
      </w:pPr>
    </w:p>
    <w:p>
      <w:pPr>
        <w:ind w:right="40" w:firstLine="562"/>
        <w:spacing w:after="0" w:line="251" w:lineRule="auto"/>
        <w:rPr>
          <w:sz w:val="20"/>
          <w:szCs w:val="20"/>
          <w:color w:val="auto"/>
        </w:rPr>
      </w:pPr>
      <w:r>
        <w:rPr>
          <w:rFonts w:ascii="Arial" w:cs="Arial" w:eastAsia="Arial" w:hAnsi="Arial"/>
          <w:sz w:val="13"/>
          <w:szCs w:val="13"/>
          <w:color w:val="auto"/>
        </w:rPr>
        <w:t>In January 2013, we issued $71.3 million in aggregate principal amount of 2025 Notes, after exercise of the over-allotment option, for net proceeds of $68.8 million after underwriting discounts and offering costs. Interest on the 2025 Notes is paid quarterly on February 1, May 1, August 1 and November 1, at a rate of 6.25% per year. The 2025 Notes mature on February 1, 2025. The 2025 Notes are general, unsecured obligations and rank equal in right of payment with all of our existing and future senior unsecured indebtedness. The 2025 Notes are structurally subordinated to our SBA debentures and effectively subordinated to the assets pledged or secured under our Credit Facility. Our 2025 Notes trade on the NYSE under the symbol “PNTA.” Please see our Base Indenture and the supplemental indenture agreement filed as Exhibit (d)(9) to our post-effective amendment filed on January 22, 2013 for more information.</w:t>
      </w:r>
    </w:p>
    <w:p>
      <w:pPr>
        <w:spacing w:after="0" w:line="69" w:lineRule="exact"/>
        <w:rPr>
          <w:sz w:val="20"/>
          <w:szCs w:val="20"/>
          <w:color w:val="auto"/>
        </w:rPr>
      </w:pPr>
    </w:p>
    <w:p>
      <w:pPr>
        <w:ind w:right="20" w:firstLine="562"/>
        <w:spacing w:after="0" w:line="245" w:lineRule="auto"/>
        <w:rPr>
          <w:sz w:val="20"/>
          <w:szCs w:val="20"/>
          <w:color w:val="auto"/>
        </w:rPr>
      </w:pPr>
      <w:r>
        <w:rPr>
          <w:rFonts w:ascii="Arial" w:cs="Arial" w:eastAsia="Arial" w:hAnsi="Arial"/>
          <w:sz w:val="13"/>
          <w:szCs w:val="13"/>
          <w:color w:val="auto"/>
        </w:rPr>
        <w:t>We may raise additional equity or debt capital through both registered offerings off our shelf registration statement and private offerings of securities, by securitizing a portion of our investments or borrowing from the SBA, among other sources. Any future additional debt capital we incur, to the extent it is available, may be issued at a higher cost and on less favorable terms and conditions than our current Credit Facility, SBA debentures or our Notes. Furthermore, our Credit Facility availability depends on various covenants and restrictions. The primary use of existing funds and any funds raised in the future is expected to be for repayment of indebtedness, investments in portfolio companies, cash distributions to our stockholders or for other general corporate or strategic purposes. For each of the three month periods ended December 31, 2014 and 2013, we did not issue shares of common stock in connection with an equity offering. Any decision to sell shares below the then current net asset value per share of our common stock is subject to stockholder approval and a determination by our board of directors that such issuance and sale is in our and our stockholders’ best interests. Any sale or other issuance of shares of our common stock at a price below net asset value per share results in immediate dilution to our stockholders’ interests in our common stock and a reduction in our net asset value per share.</w:t>
      </w:r>
    </w:p>
    <w:p>
      <w:pPr>
        <w:spacing w:after="0" w:line="75" w:lineRule="exact"/>
        <w:rPr>
          <w:sz w:val="20"/>
          <w:szCs w:val="20"/>
          <w:color w:val="auto"/>
        </w:rPr>
      </w:pPr>
    </w:p>
    <w:p>
      <w:pPr>
        <w:ind w:firstLine="562"/>
        <w:spacing w:after="0" w:line="229" w:lineRule="auto"/>
        <w:rPr>
          <w:sz w:val="20"/>
          <w:szCs w:val="20"/>
          <w:color w:val="auto"/>
        </w:rPr>
      </w:pPr>
      <w:r>
        <w:rPr>
          <w:rFonts w:ascii="Arial" w:cs="Arial" w:eastAsia="Arial" w:hAnsi="Arial"/>
          <w:sz w:val="14"/>
          <w:szCs w:val="14"/>
          <w:color w:val="auto"/>
        </w:rPr>
        <w:t>Our SBIC Funds are able to borrow funds from the SBA against regulatory capital (which approximates equity capital) that is paid-in and is subject to customary regulatory requirements including an examination by the SBA. We have funded SBIC LP with $75.0 million of equity capital and it had SBA debentures outstanding of $150.0 million as of December 31, 2014. We have funded SBIC II with $37.5 million of equity capital and we received a commitment from the SBA to allow SBIC II to access $75.0 million in SBA debentures. SBA debentures are non-recourse to us and may be prepaid at any time without penalty. The interest rate of SBA debentures is fixed at the time of issuance, often referred to as pooling, at a market-driven spread over 10-year U.S. Treasury Notes. Under current SBA regulations, a SBIC may individually borrow to a maximum of $150.0 million, which is up to twice its potential regulatory capital, and as part of a group of SBICs under common control may borrow a maximum of $225.0 million in the aggregate.</w:t>
      </w:r>
    </w:p>
    <w:p>
      <w:pPr>
        <w:spacing w:after="0" w:line="77" w:lineRule="exact"/>
        <w:rPr>
          <w:sz w:val="20"/>
          <w:szCs w:val="20"/>
          <w:color w:val="auto"/>
        </w:rPr>
      </w:pPr>
    </w:p>
    <w:p>
      <w:pPr>
        <w:ind w:right="300" w:firstLine="562"/>
        <w:spacing w:after="0" w:line="238" w:lineRule="auto"/>
        <w:rPr>
          <w:sz w:val="20"/>
          <w:szCs w:val="20"/>
          <w:color w:val="auto"/>
        </w:rPr>
      </w:pPr>
      <w:r>
        <w:rPr>
          <w:rFonts w:ascii="Arial" w:cs="Arial" w:eastAsia="Arial" w:hAnsi="Arial"/>
          <w:sz w:val="14"/>
          <w:szCs w:val="14"/>
          <w:color w:val="auto"/>
        </w:rPr>
        <w:t>As of December 31, 2014 and September 30, 2014, our SBIC Funds had $225.0 million in debt commitments and $150.0 million was drawn for each period. Both SBA debentures’ upfront fees of 3.43% consist of a commitment fee of 1.00% and an issuance discount of 2.43%, which are being amortized. Our fixed-rate SBA debentures as of December 31, 2014 and September 30, 2014 were as follows:</w:t>
      </w:r>
    </w:p>
    <w:p>
      <w:pPr>
        <w:spacing w:after="0" w:line="210" w:lineRule="exact"/>
        <w:rPr>
          <w:sz w:val="20"/>
          <w:szCs w:val="20"/>
          <w:color w:val="auto"/>
        </w:rPr>
      </w:pPr>
    </w:p>
    <w:tbl>
      <w:tblPr>
        <w:tblLayout w:type="fixed"/>
        <w:tblInd w:w="1360" w:type="dxa"/>
        <w:tblCellMar>
          <w:top w:w="0" w:type="dxa"/>
          <w:left w:w="0" w:type="dxa"/>
          <w:bottom w:w="0" w:type="dxa"/>
          <w:right w:w="0" w:type="dxa"/>
        </w:tblCellMar>
      </w:tblPr>
      <w:tr>
        <w:trPr>
          <w:trHeight w:val="164"/>
        </w:trPr>
        <w:tc>
          <w:tcPr>
            <w:tcW w:w="2140" w:type="dxa"/>
            <w:vAlign w:val="bottom"/>
            <w:vMerge w:val="restart"/>
          </w:tcPr>
          <w:p>
            <w:pPr>
              <w:jc w:val="right"/>
              <w:ind w:right="610"/>
              <w:spacing w:after="0"/>
              <w:rPr>
                <w:sz w:val="20"/>
                <w:szCs w:val="20"/>
                <w:color w:val="auto"/>
              </w:rPr>
            </w:pPr>
            <w:r>
              <w:rPr>
                <w:rFonts w:ascii="Arial" w:cs="Arial" w:eastAsia="Arial" w:hAnsi="Arial"/>
                <w:sz w:val="13"/>
                <w:szCs w:val="13"/>
                <w:b w:val="1"/>
                <w:bCs w:val="1"/>
                <w:color w:val="auto"/>
              </w:rPr>
              <w:t>Issuance Dates</w:t>
            </w:r>
          </w:p>
        </w:tc>
        <w:tc>
          <w:tcPr>
            <w:tcW w:w="480" w:type="dxa"/>
            <w:vAlign w:val="bottom"/>
            <w:vMerge w:val="restart"/>
          </w:tcPr>
          <w:p>
            <w:pPr>
              <w:spacing w:after="0"/>
              <w:rPr>
                <w:sz w:val="14"/>
                <w:szCs w:val="14"/>
                <w:color w:val="auto"/>
              </w:rPr>
            </w:pPr>
          </w:p>
        </w:tc>
        <w:tc>
          <w:tcPr>
            <w:tcW w:w="1980" w:type="dxa"/>
            <w:vAlign w:val="bottom"/>
            <w:gridSpan w:val="2"/>
          </w:tcPr>
          <w:p>
            <w:pPr>
              <w:ind w:left="660"/>
              <w:spacing w:after="0"/>
              <w:rPr>
                <w:sz w:val="20"/>
                <w:szCs w:val="20"/>
                <w:color w:val="auto"/>
              </w:rPr>
            </w:pPr>
            <w:r>
              <w:rPr>
                <w:rFonts w:ascii="Arial" w:cs="Arial" w:eastAsia="Arial" w:hAnsi="Arial"/>
                <w:sz w:val="13"/>
                <w:szCs w:val="13"/>
                <w:b w:val="1"/>
                <w:bCs w:val="1"/>
                <w:color w:val="auto"/>
              </w:rPr>
              <w:t>Maturity</w:t>
            </w:r>
          </w:p>
        </w:tc>
        <w:tc>
          <w:tcPr>
            <w:tcW w:w="1860" w:type="dxa"/>
            <w:vAlign w:val="bottom"/>
            <w:vMerge w:val="restart"/>
          </w:tcPr>
          <w:p>
            <w:pPr>
              <w:ind w:left="200"/>
              <w:spacing w:after="0"/>
              <w:rPr>
                <w:sz w:val="20"/>
                <w:szCs w:val="20"/>
                <w:color w:val="auto"/>
              </w:rPr>
            </w:pPr>
            <w:r>
              <w:rPr>
                <w:rFonts w:ascii="Arial" w:cs="Arial" w:eastAsia="Arial" w:hAnsi="Arial"/>
                <w:sz w:val="13"/>
                <w:szCs w:val="13"/>
                <w:b w:val="1"/>
                <w:bCs w:val="1"/>
                <w:color w:val="auto"/>
              </w:rPr>
              <w:t xml:space="preserve">Fixed All-in coupon rate </w:t>
            </w:r>
            <w:r>
              <w:rPr>
                <w:rFonts w:ascii="Arial" w:cs="Arial" w:eastAsia="Arial" w:hAnsi="Arial"/>
                <w:sz w:val="10"/>
                <w:szCs w:val="10"/>
                <w:b w:val="1"/>
                <w:bCs w:val="1"/>
                <w:color w:val="auto"/>
              </w:rPr>
              <w:t>(1)</w:t>
            </w:r>
          </w:p>
        </w:tc>
        <w:tc>
          <w:tcPr>
            <w:tcW w:w="6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vMerge w:val="restart"/>
          </w:tcPr>
          <w:p>
            <w:pPr>
              <w:jc w:val="right"/>
              <w:ind w:right="130"/>
              <w:spacing w:after="0"/>
              <w:rPr>
                <w:sz w:val="20"/>
                <w:szCs w:val="20"/>
                <w:color w:val="auto"/>
              </w:rPr>
            </w:pPr>
            <w:r>
              <w:rPr>
                <w:rFonts w:ascii="Arial" w:cs="Arial" w:eastAsia="Arial" w:hAnsi="Arial"/>
                <w:sz w:val="13"/>
                <w:szCs w:val="13"/>
                <w:b w:val="1"/>
                <w:bCs w:val="1"/>
                <w:color w:val="auto"/>
                <w:w w:val="90"/>
              </w:rPr>
              <w:t>Principal Balance</w:t>
            </w:r>
          </w:p>
        </w:tc>
        <w:tc>
          <w:tcPr>
            <w:tcW w:w="8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140" w:type="dxa"/>
            <w:vAlign w:val="bottom"/>
            <w:tcBorders>
              <w:bottom w:val="single" w:sz="8" w:color="auto"/>
            </w:tcBorders>
            <w:vMerge w:val="continue"/>
          </w:tcPr>
          <w:p>
            <w:pPr>
              <w:spacing w:after="0"/>
              <w:rPr>
                <w:sz w:val="11"/>
                <w:szCs w:val="11"/>
                <w:color w:val="auto"/>
              </w:rPr>
            </w:pPr>
          </w:p>
        </w:tc>
        <w:tc>
          <w:tcPr>
            <w:tcW w:w="480" w:type="dxa"/>
            <w:vAlign w:val="bottom"/>
            <w:tcBorders>
              <w:bottom w:val="single" w:sz="8" w:color="CCEEFF"/>
            </w:tcBorders>
            <w:vMerge w:val="continue"/>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c>
          <w:tcPr>
            <w:tcW w:w="480" w:type="dxa"/>
            <w:vAlign w:val="bottom"/>
            <w:tcBorders>
              <w:bottom w:val="single" w:sz="8" w:color="CCEEFF"/>
            </w:tcBorders>
          </w:tcPr>
          <w:p>
            <w:pPr>
              <w:spacing w:after="0"/>
              <w:rPr>
                <w:sz w:val="11"/>
                <w:szCs w:val="11"/>
                <w:color w:val="auto"/>
              </w:rPr>
            </w:pPr>
          </w:p>
        </w:tc>
        <w:tc>
          <w:tcPr>
            <w:tcW w:w="1860" w:type="dxa"/>
            <w:vAlign w:val="bottom"/>
            <w:tcBorders>
              <w:bottom w:val="single" w:sz="8" w:color="auto"/>
            </w:tcBorders>
            <w:vMerge w:val="continue"/>
          </w:tcPr>
          <w:p>
            <w:pPr>
              <w:spacing w:after="0"/>
              <w:rPr>
                <w:sz w:val="11"/>
                <w:szCs w:val="11"/>
                <w:color w:val="auto"/>
              </w:rPr>
            </w:pPr>
          </w:p>
        </w:tc>
        <w:tc>
          <w:tcPr>
            <w:tcW w:w="620" w:type="dxa"/>
            <w:vAlign w:val="bottom"/>
            <w:tcBorders>
              <w:bottom w:val="single" w:sz="8" w:color="CCEEFF"/>
            </w:tcBorders>
            <w:vMerge w:val="continue"/>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1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September 22, 2010</w:t>
            </w:r>
          </w:p>
        </w:tc>
        <w:tc>
          <w:tcPr>
            <w:tcW w:w="480" w:type="dxa"/>
            <w:vAlign w:val="bottom"/>
            <w:shd w:val="clear" w:color="auto" w:fill="CCEEFF"/>
          </w:tcPr>
          <w:p>
            <w:pPr>
              <w:spacing w:after="0"/>
              <w:rPr>
                <w:sz w:val="12"/>
                <w:szCs w:val="12"/>
                <w:color w:val="auto"/>
              </w:rPr>
            </w:pPr>
          </w:p>
        </w:tc>
        <w:tc>
          <w:tcPr>
            <w:tcW w:w="15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September 1, 2020</w:t>
            </w:r>
          </w:p>
        </w:tc>
        <w:tc>
          <w:tcPr>
            <w:tcW w:w="480" w:type="dxa"/>
            <w:vAlign w:val="bottom"/>
            <w:shd w:val="clear" w:color="auto" w:fill="CCEEFF"/>
          </w:tcPr>
          <w:p>
            <w:pPr>
              <w:spacing w:after="0"/>
              <w:rPr>
                <w:sz w:val="12"/>
                <w:szCs w:val="12"/>
                <w:color w:val="auto"/>
              </w:rPr>
            </w:pPr>
          </w:p>
        </w:tc>
        <w:tc>
          <w:tcPr>
            <w:tcW w:w="2480" w:type="dxa"/>
            <w:vAlign w:val="bottom"/>
            <w:gridSpan w:val="2"/>
            <w:shd w:val="clear" w:color="auto" w:fill="CCEEFF"/>
          </w:tcPr>
          <w:p>
            <w:pPr>
              <w:ind w:left="1600"/>
              <w:spacing w:after="0" w:line="142" w:lineRule="exact"/>
              <w:rPr>
                <w:sz w:val="20"/>
                <w:szCs w:val="20"/>
                <w:color w:val="auto"/>
              </w:rPr>
            </w:pPr>
            <w:r>
              <w:rPr>
                <w:rFonts w:ascii="Arial" w:cs="Arial" w:eastAsia="Arial" w:hAnsi="Arial"/>
                <w:sz w:val="14"/>
                <w:szCs w:val="14"/>
                <w:color w:val="auto"/>
              </w:rPr>
              <w:t>3.50%</w:t>
            </w:r>
          </w:p>
        </w:tc>
        <w:tc>
          <w:tcPr>
            <w:tcW w:w="1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500,000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March 29, 2011</w:t>
            </w:r>
          </w:p>
        </w:tc>
        <w:tc>
          <w:tcPr>
            <w:tcW w:w="198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March 1, 2021</w:t>
            </w:r>
          </w:p>
        </w:tc>
        <w:tc>
          <w:tcPr>
            <w:tcW w:w="2480" w:type="dxa"/>
            <w:vAlign w:val="bottom"/>
            <w:gridSpan w:val="2"/>
          </w:tcPr>
          <w:p>
            <w:pPr>
              <w:ind w:left="1600"/>
              <w:spacing w:after="0" w:line="149" w:lineRule="exact"/>
              <w:rPr>
                <w:sz w:val="20"/>
                <w:szCs w:val="20"/>
                <w:color w:val="auto"/>
              </w:rPr>
            </w:pPr>
            <w:r>
              <w:rPr>
                <w:rFonts w:ascii="Arial" w:cs="Arial" w:eastAsia="Arial" w:hAnsi="Arial"/>
                <w:sz w:val="14"/>
                <w:szCs w:val="14"/>
                <w:color w:val="auto"/>
              </w:rPr>
              <w:t>4.46</w:t>
            </w:r>
          </w:p>
        </w:tc>
        <w:tc>
          <w:tcPr>
            <w:tcW w:w="16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Arial" w:cs="Arial" w:eastAsia="Arial" w:hAnsi="Arial"/>
                <w:sz w:val="14"/>
                <w:szCs w:val="14"/>
                <w:color w:val="auto"/>
              </w:rPr>
              <w:t>44,500,000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September 21, 2011</w:t>
            </w:r>
          </w:p>
        </w:tc>
        <w:tc>
          <w:tcPr>
            <w:tcW w:w="198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September 1, 2021</w:t>
            </w:r>
          </w:p>
        </w:tc>
        <w:tc>
          <w:tcPr>
            <w:tcW w:w="1860" w:type="dxa"/>
            <w:vAlign w:val="bottom"/>
            <w:tcBorders>
              <w:bottom w:val="single" w:sz="8" w:color="auto"/>
            </w:tcBorders>
            <w:shd w:val="clear" w:color="auto" w:fill="CCEEFF"/>
          </w:tcPr>
          <w:p>
            <w:pPr>
              <w:ind w:left="1600"/>
              <w:spacing w:after="0" w:line="149" w:lineRule="exact"/>
              <w:rPr>
                <w:sz w:val="20"/>
                <w:szCs w:val="20"/>
                <w:color w:val="auto"/>
              </w:rPr>
            </w:pPr>
            <w:r>
              <w:rPr>
                <w:rFonts w:ascii="Arial" w:cs="Arial" w:eastAsia="Arial" w:hAnsi="Arial"/>
                <w:sz w:val="14"/>
                <w:szCs w:val="14"/>
                <w:color w:val="auto"/>
                <w:w w:val="87"/>
              </w:rPr>
              <w:t>3.38</w:t>
            </w:r>
          </w:p>
        </w:tc>
        <w:tc>
          <w:tcPr>
            <w:tcW w:w="6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105,000,000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620" w:type="dxa"/>
            <w:vAlign w:val="bottom"/>
            <w:gridSpan w:val="2"/>
          </w:tcPr>
          <w:p>
            <w:pPr>
              <w:jc w:val="right"/>
              <w:ind w:right="540"/>
              <w:spacing w:after="0" w:line="155" w:lineRule="exact"/>
              <w:rPr>
                <w:sz w:val="20"/>
                <w:szCs w:val="20"/>
                <w:color w:val="auto"/>
              </w:rPr>
            </w:pPr>
            <w:r>
              <w:rPr>
                <w:rFonts w:ascii="Arial" w:cs="Arial" w:eastAsia="Arial" w:hAnsi="Arial"/>
                <w:sz w:val="14"/>
                <w:szCs w:val="14"/>
                <w:color w:val="auto"/>
              </w:rPr>
              <w:t>Weighted Average Rate / Total</w:t>
            </w:r>
          </w:p>
        </w:tc>
        <w:tc>
          <w:tcPr>
            <w:tcW w:w="1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80" w:type="dxa"/>
            <w:vAlign w:val="bottom"/>
            <w:gridSpan w:val="2"/>
          </w:tcPr>
          <w:p>
            <w:pPr>
              <w:ind w:left="1600"/>
              <w:spacing w:after="0" w:line="155" w:lineRule="exact"/>
              <w:rPr>
                <w:sz w:val="20"/>
                <w:szCs w:val="20"/>
                <w:color w:val="auto"/>
              </w:rPr>
            </w:pPr>
            <w:r>
              <w:rPr>
                <w:rFonts w:ascii="Arial" w:cs="Arial" w:eastAsia="Arial" w:hAnsi="Arial"/>
                <w:sz w:val="14"/>
                <w:szCs w:val="14"/>
                <w:color w:val="auto"/>
              </w:rPr>
              <w:t>3.70%</w:t>
            </w:r>
          </w:p>
        </w:tc>
        <w:tc>
          <w:tcPr>
            <w:tcW w:w="1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200" w:type="dxa"/>
            <w:vAlign w:val="bottom"/>
          </w:tcPr>
          <w:p>
            <w:pPr>
              <w:jc w:val="right"/>
              <w:spacing w:after="0" w:line="155" w:lineRule="exact"/>
              <w:rPr>
                <w:sz w:val="20"/>
                <w:szCs w:val="20"/>
                <w:color w:val="auto"/>
              </w:rPr>
            </w:pPr>
            <w:r>
              <w:rPr>
                <w:rFonts w:ascii="Arial" w:cs="Arial" w:eastAsia="Arial" w:hAnsi="Arial"/>
                <w:sz w:val="14"/>
                <w:szCs w:val="14"/>
                <w:color w:val="auto"/>
              </w:rPr>
              <w:t>150,000,000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36004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285" w:lineRule="exact"/>
        <w:rPr>
          <w:sz w:val="20"/>
          <w:szCs w:val="20"/>
          <w:color w:val="auto"/>
        </w:rPr>
      </w:pPr>
    </w:p>
    <w:p>
      <w:pPr>
        <w:ind w:left="560" w:hanging="552"/>
        <w:spacing w:after="0"/>
        <w:tabs>
          <w:tab w:leader="none" w:pos="5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Excluding 3.43% of upfront fees.</w:t>
      </w:r>
    </w:p>
    <w:p>
      <w:pPr>
        <w:spacing w:after="0" w:line="96" w:lineRule="exact"/>
        <w:rPr>
          <w:sz w:val="20"/>
          <w:szCs w:val="20"/>
          <w:color w:val="auto"/>
        </w:rPr>
      </w:pPr>
    </w:p>
    <w:p>
      <w:pPr>
        <w:ind w:right="20" w:firstLine="562"/>
        <w:spacing w:after="0" w:line="231" w:lineRule="auto"/>
        <w:rPr>
          <w:sz w:val="20"/>
          <w:szCs w:val="20"/>
          <w:color w:val="auto"/>
        </w:rPr>
      </w:pPr>
      <w:r>
        <w:rPr>
          <w:rFonts w:ascii="Arial" w:cs="Arial" w:eastAsia="Arial" w:hAnsi="Arial"/>
          <w:sz w:val="14"/>
          <w:szCs w:val="14"/>
          <w:color w:val="auto"/>
        </w:rPr>
        <w:t>The SBIC program is designed to stimulate the flow of capital into eligible businesses. Under SBA regulations, our SBIC Funds are subject to regulatory requirements, including making investments in SBA eligible businesses, investing at least 25% of regulatory capital in eligible smaller businesses, as defined under the 1958 Act, placing certain limitations on the financing terms of investments, prohibiting investment in certain industries and requiring capitalization thresholds that limit distributions to us, and are subject to periodic audits and examinations of their financial statements that are prepared on a basis of accounting other than GAAP (for example, fair value, as defined under ASC 820, is not required to be used for assets or liabilities for such compliance reporting). As of December 31, 2014, our SBIC Funds were in compliance with their regulatory requirements.</w:t>
      </w:r>
    </w:p>
    <w:p>
      <w:pPr>
        <w:spacing w:after="0" w:line="76" w:lineRule="exact"/>
        <w:rPr>
          <w:sz w:val="20"/>
          <w:szCs w:val="20"/>
          <w:color w:val="auto"/>
        </w:rPr>
      </w:pPr>
    </w:p>
    <w:p>
      <w:pPr>
        <w:ind w:right="160" w:firstLine="562"/>
        <w:spacing w:after="0" w:line="231" w:lineRule="auto"/>
        <w:rPr>
          <w:sz w:val="20"/>
          <w:szCs w:val="20"/>
          <w:color w:val="auto"/>
        </w:rPr>
      </w:pPr>
      <w:r>
        <w:rPr>
          <w:rFonts w:ascii="Arial" w:cs="Arial" w:eastAsia="Arial" w:hAnsi="Arial"/>
          <w:sz w:val="14"/>
          <w:szCs w:val="14"/>
          <w:color w:val="auto"/>
        </w:rPr>
        <w:t>In accordance with the 1940 Act, with certain limited exceptions, PennantPark Investment is only allowed to borrow amounts such that our asset coverage ratio is met after such borrowing. As of December 31, 2014 and September 30, 2014, we excluded the principal amounts of our SBA debentures from our asset coverage ratio pursuant to SEC exemptive relief. In 2011, we received exemptive relief from the SEC allowing us to modify the asset coverage ratio requirement to exclude the SBA debentures from the calculation. Accordingly, our ratio of total assets on a consolidated basis to outstanding indebtedness may be less than 200% which, while providing increased investment flexibility, also increases our exposure to risks associated with leverage.</w:t>
      </w:r>
    </w:p>
    <w:p>
      <w:pPr>
        <w:spacing w:after="0" w:line="76" w:lineRule="exact"/>
        <w:rPr>
          <w:sz w:val="20"/>
          <w:szCs w:val="20"/>
          <w:color w:val="auto"/>
        </w:rPr>
      </w:pPr>
    </w:p>
    <w:p>
      <w:pPr>
        <w:ind w:right="440" w:firstLine="562"/>
        <w:spacing w:after="0" w:line="253" w:lineRule="auto"/>
        <w:rPr>
          <w:sz w:val="20"/>
          <w:szCs w:val="20"/>
          <w:color w:val="auto"/>
        </w:rPr>
      </w:pPr>
      <w:r>
        <w:rPr>
          <w:rFonts w:ascii="Arial" w:cs="Arial" w:eastAsia="Arial" w:hAnsi="Arial"/>
          <w:sz w:val="14"/>
          <w:szCs w:val="14"/>
          <w:color w:val="auto"/>
        </w:rPr>
        <w:t>On December, 31, 2014 and September 30, 2014, we had cash and cash equivalents of $54.3 million and $66.5 million, respectively, available for investing and general corporate purposes. We believe our liquidity and capital resources are sufficient to take advantage of market opportunities.</w:t>
      </w:r>
    </w:p>
    <w:p>
      <w:pPr>
        <w:spacing w:after="0" w:line="66" w:lineRule="exact"/>
        <w:rPr>
          <w:sz w:val="20"/>
          <w:szCs w:val="20"/>
          <w:color w:val="auto"/>
        </w:rPr>
      </w:pPr>
    </w:p>
    <w:p>
      <w:pPr>
        <w:ind w:right="80" w:firstLine="562"/>
        <w:spacing w:after="0" w:line="253" w:lineRule="auto"/>
        <w:rPr>
          <w:sz w:val="20"/>
          <w:szCs w:val="20"/>
          <w:color w:val="auto"/>
        </w:rPr>
      </w:pPr>
      <w:r>
        <w:rPr>
          <w:rFonts w:ascii="Arial" w:cs="Arial" w:eastAsia="Arial" w:hAnsi="Arial"/>
          <w:sz w:val="14"/>
          <w:szCs w:val="14"/>
          <w:color w:val="auto"/>
        </w:rPr>
        <w:t>Our operating activities used cash of $61.8 million for the three months ended December 31, 2014, primarily for net purchases of investments. Our financing activities provided cash of $49.6 million for the same period, primarily from net borrowings under our Credit Facility.</w:t>
      </w:r>
    </w:p>
    <w:p>
      <w:pPr>
        <w:spacing w:after="0" w:line="66" w:lineRule="exact"/>
        <w:rPr>
          <w:sz w:val="20"/>
          <w:szCs w:val="20"/>
          <w:color w:val="auto"/>
        </w:rPr>
      </w:pPr>
    </w:p>
    <w:p>
      <w:pPr>
        <w:ind w:firstLine="562"/>
        <w:spacing w:after="0" w:line="253" w:lineRule="auto"/>
        <w:rPr>
          <w:sz w:val="20"/>
          <w:szCs w:val="20"/>
          <w:color w:val="auto"/>
        </w:rPr>
      </w:pPr>
      <w:r>
        <w:rPr>
          <w:rFonts w:ascii="Arial" w:cs="Arial" w:eastAsia="Arial" w:hAnsi="Arial"/>
          <w:sz w:val="14"/>
          <w:szCs w:val="14"/>
          <w:color w:val="auto"/>
        </w:rPr>
        <w:t>Our operating activities used cash of $104.1 million for the three months ended December 31, 2013, primarily for net purchases of investments. Our financing activities provided cash of $76.4 million for the same period, primarily from net borrowings under our Credit Facility.</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33</w:t>
      </w:r>
    </w:p>
    <w:p>
      <w:pPr>
        <w:sectPr>
          <w:pgSz w:w="11900" w:h="16838" w:orient="portrait"/>
          <w:cols w:equalWidth="0" w:num="1">
            <w:col w:w="11240"/>
          </w:cols>
          <w:pgMar w:left="320" w:top="459" w:right="3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Contractual Obligations</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3"/>
          <w:szCs w:val="13"/>
          <w:color w:val="auto"/>
        </w:rPr>
        <w:t>A summary of our significant contractual payment obligations as of December 31, 2014, including borrowings under our various debt facilities and other contractual obligations, is as</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84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180" w:type="dxa"/>
            <w:vAlign w:val="bottom"/>
            <w:tcBorders>
              <w:bottom w:val="single" w:sz="8" w:color="auto"/>
            </w:tcBorders>
            <w:gridSpan w:val="6"/>
          </w:tcPr>
          <w:p>
            <w:pPr>
              <w:ind w:left="1040"/>
              <w:spacing w:after="0"/>
              <w:rPr>
                <w:sz w:val="20"/>
                <w:szCs w:val="20"/>
                <w:color w:val="auto"/>
              </w:rPr>
            </w:pPr>
            <w:r>
              <w:rPr>
                <w:rFonts w:ascii="Arial" w:cs="Arial" w:eastAsia="Arial" w:hAnsi="Arial"/>
                <w:sz w:val="13"/>
                <w:szCs w:val="13"/>
                <w:b w:val="1"/>
                <w:bCs w:val="1"/>
                <w:color w:val="auto"/>
                <w:w w:val="93"/>
              </w:rPr>
              <w:t>Payments due by period (in millions)</w:t>
            </w:r>
          </w:p>
        </w:tc>
        <w:tc>
          <w:tcPr>
            <w:tcW w:w="9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29"/>
        </w:trPr>
        <w:tc>
          <w:tcPr>
            <w:tcW w:w="3840" w:type="dxa"/>
            <w:vAlign w:val="bottom"/>
          </w:tcPr>
          <w:p>
            <w:pPr>
              <w:spacing w:after="0"/>
              <w:rPr>
                <w:sz w:val="11"/>
                <w:szCs w:val="11"/>
                <w:color w:val="auto"/>
              </w:rPr>
            </w:pPr>
          </w:p>
        </w:tc>
        <w:tc>
          <w:tcPr>
            <w:tcW w:w="78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Total</w:t>
            </w: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gridSpan w:val="2"/>
          </w:tcPr>
          <w:p>
            <w:pPr>
              <w:ind w:left="40"/>
              <w:spacing w:after="0" w:line="129" w:lineRule="exact"/>
              <w:rPr>
                <w:sz w:val="20"/>
                <w:szCs w:val="20"/>
                <w:color w:val="auto"/>
              </w:rPr>
            </w:pPr>
            <w:r>
              <w:rPr>
                <w:rFonts w:ascii="Arial" w:cs="Arial" w:eastAsia="Arial" w:hAnsi="Arial"/>
                <w:sz w:val="13"/>
                <w:szCs w:val="13"/>
                <w:b w:val="1"/>
                <w:bCs w:val="1"/>
                <w:color w:val="auto"/>
              </w:rPr>
              <w:t>Less than 1 year</w:t>
            </w:r>
          </w:p>
        </w:tc>
        <w:tc>
          <w:tcPr>
            <w:tcW w:w="200" w:type="dxa"/>
            <w:vAlign w:val="bottom"/>
          </w:tcPr>
          <w:p>
            <w:pPr>
              <w:spacing w:after="0"/>
              <w:rPr>
                <w:sz w:val="11"/>
                <w:szCs w:val="11"/>
                <w:color w:val="auto"/>
              </w:rPr>
            </w:pPr>
          </w:p>
        </w:tc>
        <w:tc>
          <w:tcPr>
            <w:tcW w:w="1340" w:type="dxa"/>
            <w:vAlign w:val="bottom"/>
            <w:gridSpan w:val="2"/>
          </w:tcPr>
          <w:p>
            <w:pPr>
              <w:jc w:val="right"/>
              <w:ind w:right="720"/>
              <w:spacing w:after="0" w:line="129" w:lineRule="exact"/>
              <w:rPr>
                <w:sz w:val="20"/>
                <w:szCs w:val="20"/>
                <w:color w:val="auto"/>
              </w:rPr>
            </w:pPr>
            <w:r>
              <w:rPr>
                <w:rFonts w:ascii="Arial" w:cs="Arial" w:eastAsia="Arial" w:hAnsi="Arial"/>
                <w:sz w:val="13"/>
                <w:szCs w:val="13"/>
                <w:b w:val="1"/>
                <w:bCs w:val="1"/>
                <w:color w:val="auto"/>
              </w:rPr>
              <w:t>1-3 years</w:t>
            </w:r>
          </w:p>
        </w:tc>
        <w:tc>
          <w:tcPr>
            <w:tcW w:w="200" w:type="dxa"/>
            <w:vAlign w:val="bottom"/>
          </w:tcPr>
          <w:p>
            <w:pPr>
              <w:spacing w:after="0"/>
              <w:rPr>
                <w:sz w:val="11"/>
                <w:szCs w:val="11"/>
                <w:color w:val="auto"/>
              </w:rPr>
            </w:pPr>
          </w:p>
        </w:tc>
        <w:tc>
          <w:tcPr>
            <w:tcW w:w="1340" w:type="dxa"/>
            <w:vAlign w:val="bottom"/>
            <w:gridSpan w:val="2"/>
          </w:tcPr>
          <w:p>
            <w:pPr>
              <w:jc w:val="right"/>
              <w:ind w:right="720"/>
              <w:spacing w:after="0" w:line="129" w:lineRule="exact"/>
              <w:rPr>
                <w:sz w:val="20"/>
                <w:szCs w:val="20"/>
                <w:color w:val="auto"/>
              </w:rPr>
            </w:pPr>
            <w:r>
              <w:rPr>
                <w:rFonts w:ascii="Arial" w:cs="Arial" w:eastAsia="Arial" w:hAnsi="Arial"/>
                <w:sz w:val="13"/>
                <w:szCs w:val="13"/>
                <w:b w:val="1"/>
                <w:bCs w:val="1"/>
                <w:color w:val="auto"/>
              </w:rPr>
              <w:t>3-5 years</w:t>
            </w:r>
          </w:p>
        </w:tc>
        <w:tc>
          <w:tcPr>
            <w:tcW w:w="80" w:type="dxa"/>
            <w:vAlign w:val="bottom"/>
          </w:tcPr>
          <w:p>
            <w:pPr>
              <w:spacing w:after="0"/>
              <w:rPr>
                <w:sz w:val="11"/>
                <w:szCs w:val="11"/>
                <w:color w:val="auto"/>
              </w:rPr>
            </w:pPr>
          </w:p>
        </w:tc>
        <w:tc>
          <w:tcPr>
            <w:tcW w:w="1080" w:type="dxa"/>
            <w:vAlign w:val="bottom"/>
          </w:tcPr>
          <w:p>
            <w:pPr>
              <w:jc w:val="right"/>
              <w:ind w:right="29"/>
              <w:spacing w:after="0" w:line="129" w:lineRule="exact"/>
              <w:rPr>
                <w:sz w:val="20"/>
                <w:szCs w:val="20"/>
                <w:color w:val="auto"/>
              </w:rPr>
            </w:pPr>
            <w:r>
              <w:rPr>
                <w:rFonts w:ascii="Arial" w:cs="Arial" w:eastAsia="Arial" w:hAnsi="Arial"/>
                <w:sz w:val="13"/>
                <w:szCs w:val="13"/>
                <w:b w:val="1"/>
                <w:bCs w:val="1"/>
                <w:color w:val="auto"/>
                <w:w w:val="86"/>
              </w:rPr>
              <w:t>More than 5 years</w:t>
            </w:r>
          </w:p>
        </w:tc>
        <w:tc>
          <w:tcPr>
            <w:tcW w:w="80" w:type="dxa"/>
            <w:vAlign w:val="bottom"/>
          </w:tcPr>
          <w:p>
            <w:pPr>
              <w:spacing w:after="0"/>
              <w:rPr>
                <w:sz w:val="11"/>
                <w:szCs w:val="11"/>
                <w:color w:val="auto"/>
              </w:rPr>
            </w:pPr>
          </w:p>
        </w:tc>
      </w:tr>
      <w:tr>
        <w:trPr>
          <w:trHeight w:val="142"/>
        </w:trPr>
        <w:tc>
          <w:tcPr>
            <w:tcW w:w="38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Credit Facility</w:t>
            </w:r>
          </w:p>
        </w:tc>
        <w:tc>
          <w:tcPr>
            <w:tcW w:w="780" w:type="dxa"/>
            <w:vAlign w:val="bottom"/>
            <w:tcBorders>
              <w:top w:val="single" w:sz="8" w:color="auto"/>
            </w:tcBorders>
            <w:shd w:val="clear" w:color="auto" w:fill="CCEEFF"/>
          </w:tcPr>
          <w:p>
            <w:pPr>
              <w:jc w:val="right"/>
              <w:ind w:right="631"/>
              <w:spacing w:after="0" w:line="142" w:lineRule="exact"/>
              <w:rPr>
                <w:sz w:val="20"/>
                <w:szCs w:val="20"/>
                <w:color w:val="auto"/>
              </w:rPr>
            </w:pPr>
            <w:r>
              <w:rPr>
                <w:rFonts w:ascii="Arial" w:cs="Arial" w:eastAsia="Arial" w:hAnsi="Arial"/>
                <w:sz w:val="14"/>
                <w:szCs w:val="14"/>
                <w:color w:val="auto"/>
                <w:w w:val="76"/>
              </w:rPr>
              <w:t>$</w:t>
            </w: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125.9</w:t>
            </w:r>
          </w:p>
        </w:tc>
        <w:tc>
          <w:tcPr>
            <w:tcW w:w="3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CEEFF"/>
          </w:tcPr>
          <w:p>
            <w:pPr>
              <w:ind w:left="920"/>
              <w:spacing w:after="0" w:line="142" w:lineRule="exact"/>
              <w:rPr>
                <w:sz w:val="20"/>
                <w:szCs w:val="20"/>
                <w:color w:val="auto"/>
              </w:rPr>
            </w:pPr>
            <w:r>
              <w:rPr>
                <w:rFonts w:ascii="Arial" w:cs="Arial" w:eastAsia="Arial" w:hAnsi="Arial"/>
                <w:sz w:val="14"/>
                <w:szCs w:val="14"/>
                <w:color w:val="auto"/>
                <w:w w:val="85"/>
              </w:rPr>
              <w:t>—</w:t>
            </w:r>
          </w:p>
        </w:tc>
        <w:tc>
          <w:tcPr>
            <w:tcW w:w="3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3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125.9</w:t>
            </w:r>
          </w:p>
        </w:tc>
        <w:tc>
          <w:tcPr>
            <w:tcW w:w="3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2"/>
                <w:szCs w:val="12"/>
                <w:color w:val="auto"/>
              </w:rPr>
            </w:pPr>
          </w:p>
        </w:tc>
      </w:tr>
      <w:tr>
        <w:trPr>
          <w:trHeight w:val="148"/>
        </w:trPr>
        <w:tc>
          <w:tcPr>
            <w:tcW w:w="3840" w:type="dxa"/>
            <w:vAlign w:val="bottom"/>
          </w:tcPr>
          <w:p>
            <w:pPr>
              <w:spacing w:after="0" w:line="149" w:lineRule="exact"/>
              <w:rPr>
                <w:sz w:val="20"/>
                <w:szCs w:val="20"/>
                <w:color w:val="auto"/>
              </w:rPr>
            </w:pPr>
            <w:r>
              <w:rPr>
                <w:rFonts w:ascii="Arial" w:cs="Arial" w:eastAsia="Arial" w:hAnsi="Arial"/>
                <w:sz w:val="14"/>
                <w:szCs w:val="14"/>
                <w:color w:val="auto"/>
              </w:rPr>
              <w:t>SBA debentures</w:t>
            </w:r>
          </w:p>
        </w:tc>
        <w:tc>
          <w:tcPr>
            <w:tcW w:w="780" w:type="dxa"/>
            <w:vAlign w:val="bottom"/>
          </w:tcPr>
          <w:p>
            <w:pPr>
              <w:spacing w:after="0"/>
              <w:rPr>
                <w:sz w:val="12"/>
                <w:szCs w:val="12"/>
                <w:color w:val="auto"/>
              </w:rPr>
            </w:pPr>
          </w:p>
        </w:tc>
        <w:tc>
          <w:tcPr>
            <w:tcW w:w="7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150.0</w:t>
            </w:r>
          </w:p>
        </w:tc>
        <w:tc>
          <w:tcPr>
            <w:tcW w:w="100" w:type="dxa"/>
            <w:vAlign w:val="bottom"/>
          </w:tcPr>
          <w:p>
            <w:pPr>
              <w:spacing w:after="0"/>
              <w:rPr>
                <w:sz w:val="12"/>
                <w:szCs w:val="12"/>
                <w:color w:val="auto"/>
              </w:rPr>
            </w:pPr>
          </w:p>
        </w:tc>
        <w:tc>
          <w:tcPr>
            <w:tcW w:w="1440" w:type="dxa"/>
            <w:vAlign w:val="bottom"/>
            <w:gridSpan w:val="2"/>
          </w:tcPr>
          <w:p>
            <w:pPr>
              <w:ind w:left="9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3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3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150.0</w:t>
            </w:r>
          </w:p>
        </w:tc>
      </w:tr>
      <w:tr>
        <w:trPr>
          <w:trHeight w:val="148"/>
        </w:trPr>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2019 Notes</w:t>
            </w:r>
          </w:p>
        </w:tc>
        <w:tc>
          <w:tcPr>
            <w:tcW w:w="7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250.0</w:t>
            </w:r>
          </w:p>
        </w:tc>
        <w:tc>
          <w:tcPr>
            <w:tcW w:w="10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ind w:left="9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250.0</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r>
      <w:tr>
        <w:trPr>
          <w:trHeight w:val="149"/>
        </w:trPr>
        <w:tc>
          <w:tcPr>
            <w:tcW w:w="3840" w:type="dxa"/>
            <w:vAlign w:val="bottom"/>
          </w:tcPr>
          <w:p>
            <w:pPr>
              <w:spacing w:after="0" w:line="149" w:lineRule="exact"/>
              <w:rPr>
                <w:sz w:val="20"/>
                <w:szCs w:val="20"/>
                <w:color w:val="auto"/>
              </w:rPr>
            </w:pPr>
            <w:r>
              <w:rPr>
                <w:rFonts w:ascii="Arial" w:cs="Arial" w:eastAsia="Arial" w:hAnsi="Arial"/>
                <w:sz w:val="14"/>
                <w:szCs w:val="14"/>
                <w:color w:val="auto"/>
              </w:rPr>
              <w:t>2025 Notes</w:t>
            </w:r>
          </w:p>
        </w:tc>
        <w:tc>
          <w:tcPr>
            <w:tcW w:w="780" w:type="dxa"/>
            <w:vAlign w:val="bottom"/>
          </w:tcPr>
          <w:p>
            <w:pPr>
              <w:spacing w:after="0"/>
              <w:rPr>
                <w:sz w:val="12"/>
                <w:szCs w:val="12"/>
                <w:color w:val="auto"/>
              </w:rPr>
            </w:pPr>
          </w:p>
        </w:tc>
        <w:tc>
          <w:tcPr>
            <w:tcW w:w="7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71.3</w:t>
            </w:r>
          </w:p>
        </w:tc>
        <w:tc>
          <w:tcPr>
            <w:tcW w:w="100" w:type="dxa"/>
            <w:vAlign w:val="bottom"/>
          </w:tcPr>
          <w:p>
            <w:pPr>
              <w:spacing w:after="0"/>
              <w:rPr>
                <w:sz w:val="12"/>
                <w:szCs w:val="12"/>
                <w:color w:val="auto"/>
              </w:rPr>
            </w:pPr>
          </w:p>
        </w:tc>
        <w:tc>
          <w:tcPr>
            <w:tcW w:w="1440" w:type="dxa"/>
            <w:vAlign w:val="bottom"/>
            <w:gridSpan w:val="2"/>
          </w:tcPr>
          <w:p>
            <w:pPr>
              <w:ind w:left="9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3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3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71.3</w:t>
            </w:r>
          </w:p>
        </w:tc>
      </w:tr>
      <w:tr>
        <w:trPr>
          <w:trHeight w:val="27"/>
        </w:trPr>
        <w:tc>
          <w:tcPr>
            <w:tcW w:w="38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148"/>
        </w:trPr>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Total debt outstanding </w:t>
            </w:r>
            <w:r>
              <w:rPr>
                <w:rFonts w:ascii="Arial" w:cs="Arial" w:eastAsia="Arial" w:hAnsi="Arial"/>
                <w:sz w:val="12"/>
                <w:szCs w:val="12"/>
                <w:color w:val="auto"/>
              </w:rPr>
              <w:t>(1)</w:t>
            </w:r>
          </w:p>
        </w:tc>
        <w:tc>
          <w:tcPr>
            <w:tcW w:w="7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597.2</w:t>
            </w:r>
          </w:p>
        </w:tc>
        <w:tc>
          <w:tcPr>
            <w:tcW w:w="10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ind w:left="9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375.9</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221.3</w:t>
            </w:r>
          </w:p>
        </w:tc>
      </w:tr>
      <w:tr>
        <w:trPr>
          <w:trHeight w:val="148"/>
        </w:trPr>
        <w:tc>
          <w:tcPr>
            <w:tcW w:w="3840" w:type="dxa"/>
            <w:vAlign w:val="bottom"/>
          </w:tcPr>
          <w:p>
            <w:pPr>
              <w:spacing w:after="0" w:line="149" w:lineRule="exact"/>
              <w:rPr>
                <w:sz w:val="20"/>
                <w:szCs w:val="20"/>
                <w:color w:val="auto"/>
              </w:rPr>
            </w:pPr>
            <w:r>
              <w:rPr>
                <w:rFonts w:ascii="Arial" w:cs="Arial" w:eastAsia="Arial" w:hAnsi="Arial"/>
                <w:sz w:val="14"/>
                <w:szCs w:val="14"/>
                <w:color w:val="auto"/>
              </w:rPr>
              <w:t xml:space="preserve">Unfunded investments </w:t>
            </w:r>
            <w:r>
              <w:rPr>
                <w:rFonts w:ascii="Arial" w:cs="Arial" w:eastAsia="Arial" w:hAnsi="Arial"/>
                <w:sz w:val="12"/>
                <w:szCs w:val="12"/>
                <w:color w:val="auto"/>
              </w:rPr>
              <w:t>(2)</w:t>
            </w:r>
          </w:p>
        </w:tc>
        <w:tc>
          <w:tcPr>
            <w:tcW w:w="780" w:type="dxa"/>
            <w:vAlign w:val="bottom"/>
          </w:tcPr>
          <w:p>
            <w:pPr>
              <w:spacing w:after="0"/>
              <w:rPr>
                <w:sz w:val="12"/>
                <w:szCs w:val="12"/>
                <w:color w:val="auto"/>
              </w:rPr>
            </w:pPr>
          </w:p>
        </w:tc>
        <w:tc>
          <w:tcPr>
            <w:tcW w:w="7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11.9</w:t>
            </w:r>
          </w:p>
        </w:tc>
        <w:tc>
          <w:tcPr>
            <w:tcW w:w="100" w:type="dxa"/>
            <w:vAlign w:val="bottom"/>
          </w:tcPr>
          <w:p>
            <w:pPr>
              <w:spacing w:after="0"/>
              <w:rPr>
                <w:sz w:val="12"/>
                <w:szCs w:val="12"/>
                <w:color w:val="auto"/>
              </w:rPr>
            </w:pPr>
          </w:p>
        </w:tc>
        <w:tc>
          <w:tcPr>
            <w:tcW w:w="1440" w:type="dxa"/>
            <w:vAlign w:val="bottom"/>
            <w:gridSpan w:val="2"/>
          </w:tcPr>
          <w:p>
            <w:pPr>
              <w:ind w:left="9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3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1.0</w:t>
            </w:r>
          </w:p>
        </w:tc>
        <w:tc>
          <w:tcPr>
            <w:tcW w:w="200" w:type="dxa"/>
            <w:vAlign w:val="bottom"/>
          </w:tcPr>
          <w:p>
            <w:pPr>
              <w:spacing w:after="0"/>
              <w:rPr>
                <w:sz w:val="12"/>
                <w:szCs w:val="12"/>
                <w:color w:val="auto"/>
              </w:rPr>
            </w:pPr>
          </w:p>
        </w:tc>
        <w:tc>
          <w:tcPr>
            <w:tcW w:w="13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10.9</w:t>
            </w:r>
          </w:p>
        </w:tc>
        <w:tc>
          <w:tcPr>
            <w:tcW w:w="80" w:type="dxa"/>
            <w:vAlign w:val="bottom"/>
          </w:tcPr>
          <w:p>
            <w:pPr>
              <w:spacing w:after="0"/>
              <w:rPr>
                <w:sz w:val="12"/>
                <w:szCs w:val="12"/>
                <w:color w:val="auto"/>
              </w:rPr>
            </w:pPr>
          </w:p>
        </w:tc>
        <w:tc>
          <w:tcPr>
            <w:tcW w:w="11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r>
      <w:tr>
        <w:trPr>
          <w:trHeight w:val="27"/>
        </w:trPr>
        <w:tc>
          <w:tcPr>
            <w:tcW w:w="38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148"/>
        </w:trPr>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contractual obligations</w:t>
            </w:r>
          </w:p>
        </w:tc>
        <w:tc>
          <w:tcPr>
            <w:tcW w:w="780" w:type="dxa"/>
            <w:vAlign w:val="bottom"/>
            <w:shd w:val="clear" w:color="auto" w:fill="CCEEFF"/>
          </w:tcPr>
          <w:p>
            <w:pPr>
              <w:jc w:val="right"/>
              <w:ind w:right="631"/>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609.1</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440" w:type="dxa"/>
            <w:vAlign w:val="bottom"/>
            <w:gridSpan w:val="2"/>
            <w:shd w:val="clear" w:color="auto" w:fill="CCEEFF"/>
          </w:tcPr>
          <w:p>
            <w:pPr>
              <w:ind w:left="9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13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1.0</w:t>
            </w:r>
          </w:p>
        </w:tc>
        <w:tc>
          <w:tcPr>
            <w:tcW w:w="2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13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386.8</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221.3</w:t>
            </w:r>
          </w:p>
        </w:tc>
      </w:tr>
      <w:tr>
        <w:trPr>
          <w:trHeight w:val="20"/>
        </w:trPr>
        <w:tc>
          <w:tcPr>
            <w:tcW w:w="38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36004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spacing w:after="0" w:line="164" w:lineRule="exact"/>
        <w:rPr>
          <w:sz w:val="20"/>
          <w:szCs w:val="20"/>
          <w:color w:val="auto"/>
        </w:rPr>
      </w:pPr>
    </w:p>
    <w:p>
      <w:pPr>
        <w:ind w:left="560" w:right="220" w:hanging="552"/>
        <w:spacing w:after="0" w:line="230" w:lineRule="auto"/>
        <w:tabs>
          <w:tab w:leader="none" w:pos="560" w:val="left"/>
        </w:tabs>
        <w:numPr>
          <w:ilvl w:val="0"/>
          <w:numId w:val="17"/>
        </w:numPr>
        <w:rPr>
          <w:rFonts w:ascii="Arial" w:cs="Arial" w:eastAsia="Arial" w:hAnsi="Arial"/>
          <w:sz w:val="12"/>
          <w:szCs w:val="12"/>
          <w:color w:val="auto"/>
        </w:rPr>
      </w:pPr>
      <w:r>
        <w:rPr>
          <w:rFonts w:ascii="Arial" w:cs="Arial" w:eastAsia="Arial" w:hAnsi="Arial"/>
          <w:sz w:val="14"/>
          <w:szCs w:val="14"/>
          <w:color w:val="auto"/>
        </w:rPr>
        <w:t>The annualized weighted average cost of debt as of December 31, 2014, excluding debt issuance costs, was 4.14% exclusive of the fee on the undrawn commitment of 0.375% on the Credit Facility and 3.43% of upfront fees on SBA debentures.</w:t>
      </w:r>
    </w:p>
    <w:p>
      <w:pPr>
        <w:ind w:left="560" w:hanging="552"/>
        <w:spacing w:after="0"/>
        <w:tabs>
          <w:tab w:leader="none" w:pos="560" w:val="left"/>
        </w:tabs>
        <w:numPr>
          <w:ilvl w:val="0"/>
          <w:numId w:val="17"/>
        </w:numPr>
        <w:rPr>
          <w:rFonts w:ascii="Arial" w:cs="Arial" w:eastAsia="Arial" w:hAnsi="Arial"/>
          <w:sz w:val="12"/>
          <w:szCs w:val="12"/>
          <w:color w:val="auto"/>
        </w:rPr>
      </w:pPr>
      <w:r>
        <w:rPr>
          <w:rFonts w:ascii="Arial" w:cs="Arial" w:eastAsia="Arial" w:hAnsi="Arial"/>
          <w:sz w:val="14"/>
          <w:szCs w:val="14"/>
          <w:color w:val="auto"/>
        </w:rPr>
        <w:t>Unfunded debt and equity investments are disclosed in the Consolidated Schedule of Investments.</w:t>
      </w:r>
    </w:p>
    <w:p>
      <w:pPr>
        <w:spacing w:after="0" w:line="84" w:lineRule="exact"/>
        <w:rPr>
          <w:sz w:val="20"/>
          <w:szCs w:val="20"/>
          <w:color w:val="auto"/>
        </w:rPr>
      </w:pPr>
    </w:p>
    <w:p>
      <w:pPr>
        <w:ind w:right="120" w:firstLine="562"/>
        <w:spacing w:after="0" w:line="229" w:lineRule="auto"/>
        <w:rPr>
          <w:sz w:val="20"/>
          <w:szCs w:val="20"/>
          <w:color w:val="auto"/>
        </w:rPr>
      </w:pPr>
      <w:r>
        <w:rPr>
          <w:rFonts w:ascii="Arial" w:cs="Arial" w:eastAsia="Arial" w:hAnsi="Arial"/>
          <w:sz w:val="14"/>
          <w:szCs w:val="14"/>
          <w:color w:val="auto"/>
        </w:rPr>
        <w:t>We have entered into certain contracts under which we have material future commitments. Under our Investment Management Agreement, which was most recently reapproved by our board of directors, including a majority of our directors who are not interested persons of us or the Investment Adviser, in February 2015, PennantPark Investment Advisers serves as our Investment Adviser in accordance with the terms of that Investment Management Agreement. PennantPark Investment, through the Investment Adviser, provides similar services to our SBIC Funds under their investment management agreements with us. Our SBIC Funds’ investment management agreements do not affect the management or incentive fees that we pay to the Investment Adviser on a consolidated basis. Payments under our Investment Management Agreement in each reporting period are equal to (1) a management fee equal to a percentage of the value of our average adjusted gross assets and (2) an incentive fee based on our performance.</w:t>
      </w:r>
    </w:p>
    <w:p>
      <w:pPr>
        <w:spacing w:after="0" w:line="77" w:lineRule="exact"/>
        <w:rPr>
          <w:sz w:val="20"/>
          <w:szCs w:val="20"/>
          <w:color w:val="auto"/>
        </w:rPr>
      </w:pPr>
    </w:p>
    <w:p>
      <w:pPr>
        <w:ind w:right="180" w:firstLine="562"/>
        <w:spacing w:after="0" w:line="228" w:lineRule="auto"/>
        <w:rPr>
          <w:sz w:val="20"/>
          <w:szCs w:val="20"/>
          <w:color w:val="auto"/>
        </w:rPr>
      </w:pPr>
      <w:r>
        <w:rPr>
          <w:rFonts w:ascii="Arial" w:cs="Arial" w:eastAsia="Arial" w:hAnsi="Arial"/>
          <w:sz w:val="14"/>
          <w:szCs w:val="14"/>
          <w:color w:val="auto"/>
        </w:rPr>
        <w:t>Under our Administration Agreement, which was most recently reapproved by our board of directors, including a majority of our directors who are not interested persons of us, in February 2015, PennantPark Investment Administration furnishes us with office facilities and administrative services necessary to conduct our day-to-day operations. PennantPark Investment, through the Administrator, provides similar services to our SBIC Funds under their administration agreements, which are intended to have no effect on the consolidated administration fee. If requested to provide managerial assistance to our portfolio companies, PennantPark Investment Advisers or PennantPark Investment Administration will be paid an additional amount based on the services provided, which amount will not in any case exceed the amount we receive from the portfolio companies for such services. Payment under our Administration Agreement is based upon our allocable portion of the Administrator’s overhead in performing its obligations under our Administration Agreement, including rent and our allocable portion of the costs of our Chief Compliance Officer, Chief Financial Officer and their respective staffs.</w:t>
      </w:r>
    </w:p>
    <w:p>
      <w:pPr>
        <w:spacing w:after="0" w:line="77" w:lineRule="exact"/>
        <w:rPr>
          <w:sz w:val="20"/>
          <w:szCs w:val="20"/>
          <w:color w:val="auto"/>
        </w:rPr>
      </w:pPr>
    </w:p>
    <w:p>
      <w:pPr>
        <w:ind w:right="20" w:firstLine="562"/>
        <w:spacing w:after="0" w:line="238" w:lineRule="auto"/>
        <w:rPr>
          <w:sz w:val="20"/>
          <w:szCs w:val="20"/>
          <w:color w:val="auto"/>
        </w:rPr>
      </w:pPr>
      <w:r>
        <w:rPr>
          <w:rFonts w:ascii="Arial" w:cs="Arial" w:eastAsia="Arial" w:hAnsi="Arial"/>
          <w:sz w:val="14"/>
          <w:szCs w:val="14"/>
          <w:color w:val="auto"/>
        </w:rPr>
        <w:t>If any of our contractual obligations discussed above is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75" w:lineRule="exact"/>
        <w:rPr>
          <w:sz w:val="20"/>
          <w:szCs w:val="20"/>
          <w:color w:val="auto"/>
        </w:rPr>
      </w:pPr>
    </w:p>
    <w:p>
      <w:pPr>
        <w:jc w:val="both"/>
        <w:ind w:right="140" w:firstLine="562"/>
        <w:spacing w:after="0" w:line="238" w:lineRule="auto"/>
        <w:rPr>
          <w:sz w:val="20"/>
          <w:szCs w:val="20"/>
          <w:color w:val="auto"/>
        </w:rPr>
      </w:pPr>
      <w:r>
        <w:rPr>
          <w:rFonts w:ascii="Arial" w:cs="Arial" w:eastAsia="Arial" w:hAnsi="Arial"/>
          <w:sz w:val="14"/>
          <w:szCs w:val="14"/>
          <w:color w:val="auto"/>
        </w:rPr>
        <w:t>We, in the ordinary course of business, have guaranteed certain obligations of SPH. The guaranties are only triggered if there were administrative errors in acquiring assets which SPH subsequently sold or securitized. As of December 31, 2014, our maximum guaranty was $9.5 million. Based on SPH’s and the industry historical loss rates we believe the risk of loss is remote, thus, we have not recorded a liability associated with the guaranties. The current guaranties will decline over time.</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Recent Developments</w:t>
      </w:r>
    </w:p>
    <w:p>
      <w:pPr>
        <w:spacing w:after="0" w:line="96" w:lineRule="exact"/>
        <w:rPr>
          <w:sz w:val="20"/>
          <w:szCs w:val="20"/>
          <w:color w:val="auto"/>
        </w:rPr>
      </w:pPr>
    </w:p>
    <w:p>
      <w:pPr>
        <w:ind w:right="300" w:firstLine="562"/>
        <w:spacing w:after="0" w:line="253" w:lineRule="auto"/>
        <w:rPr>
          <w:sz w:val="20"/>
          <w:szCs w:val="20"/>
          <w:color w:val="auto"/>
        </w:rPr>
      </w:pPr>
      <w:r>
        <w:rPr>
          <w:rFonts w:ascii="Arial" w:cs="Arial" w:eastAsia="Arial" w:hAnsi="Arial"/>
          <w:sz w:val="14"/>
          <w:szCs w:val="14"/>
          <w:color w:val="auto"/>
        </w:rPr>
        <w:t>After quarter-end, Patriot National, Inc. priced and closed an initial public offering. Our proceeds of approximately $60 million resulted in about $0.13 per share of realized gain, an increase in NAV per share of about $0.08 and about $0.04 per share of other income.</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Off-Balance-Sheet Arrangements</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4"/>
          <w:szCs w:val="14"/>
          <w:color w:val="auto"/>
        </w:rPr>
        <w:t>We currently engage in no off-balance-sheet arrangements other than our funding requirements for the unfunded investments described above.</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Distributions</w:t>
      </w:r>
    </w:p>
    <w:p>
      <w:pPr>
        <w:spacing w:after="0" w:line="96" w:lineRule="exact"/>
        <w:rPr>
          <w:sz w:val="20"/>
          <w:szCs w:val="20"/>
          <w:color w:val="auto"/>
        </w:rPr>
      </w:pPr>
    </w:p>
    <w:p>
      <w:pPr>
        <w:ind w:right="60" w:firstLine="562"/>
        <w:spacing w:after="0" w:line="227" w:lineRule="auto"/>
        <w:rPr>
          <w:sz w:val="20"/>
          <w:szCs w:val="20"/>
          <w:color w:val="auto"/>
        </w:rPr>
      </w:pPr>
      <w:r>
        <w:rPr>
          <w:rFonts w:ascii="Arial" w:cs="Arial" w:eastAsia="Arial" w:hAnsi="Arial"/>
          <w:sz w:val="14"/>
          <w:szCs w:val="14"/>
          <w:color w:val="auto"/>
        </w:rPr>
        <w:t>In order to qualify as a RIC and to not be subject to corporate-level tax on income, we are required, under Subchapter M of the Code, to distribute annually at least 90% of the sum of our net ordinary income and realized net short-term capital gains in excess of realized net long-term capital losses, if any, out of the assets legally available for distribution. Although not required for us to maintain our RIC tax status, in order to preclude the imposition of a 4% nondeductible federal excise tax imposed on RICs, we may distribute during each calendar year an amount at least equal to the sum of (1) 98% of our net ordinary income for the calendar year, (2) 98.2% of our realized net capital gains for the one-year period ending on October 31 of the calendar year and (3) any net ordinary income and net capital gains for preceding years that were not distributed during such years. In addition, although we may distribute realized net capital gains (i.e., net long-term capital gains in excess of short-term capital losses), if any, at least annually, out of the assets legally available for such distributions in the manner described above, we have retained and may contine to retain such net capital gains or ordinary income to provide us with additional liquidity. As a RIC, we are generally not subject to tax on income and have elected to retain a portion of our calendar year income.</w:t>
      </w:r>
    </w:p>
    <w:p>
      <w:pPr>
        <w:spacing w:after="0" w:line="78" w:lineRule="exact"/>
        <w:rPr>
          <w:sz w:val="20"/>
          <w:szCs w:val="20"/>
          <w:color w:val="auto"/>
        </w:rPr>
      </w:pPr>
    </w:p>
    <w:p>
      <w:pPr>
        <w:ind w:right="180" w:firstLine="562"/>
        <w:spacing w:after="0" w:line="255" w:lineRule="auto"/>
        <w:rPr>
          <w:sz w:val="20"/>
          <w:szCs w:val="20"/>
          <w:color w:val="auto"/>
        </w:rPr>
      </w:pPr>
      <w:r>
        <w:rPr>
          <w:rFonts w:ascii="Arial" w:cs="Arial" w:eastAsia="Arial" w:hAnsi="Arial"/>
          <w:sz w:val="13"/>
          <w:szCs w:val="13"/>
          <w:color w:val="auto"/>
        </w:rPr>
        <w:t>During the three months ended December 31, 2014 and 2013, we declared distributions of $0.28 per share each period for total distributions of $21.0 million and $18.6 million, respectively. We monitor available net investment income to determine if a return of capital for taxation purposes may occur for the fiscal year. To the extent our taxable earnings fall below the total amount of our distributions for any given fiscal year, a portion of those distributions may be deemed to be a return of capital to our common stockholders. Tax characteristics of all distributions will be reported to stockholders on Form 1099-DIV after the end of the calendar year and in our periodic reports filed with the SEC.</w:t>
      </w:r>
    </w:p>
    <w:p>
      <w:pPr>
        <w:spacing w:after="0" w:line="67" w:lineRule="exact"/>
        <w:rPr>
          <w:sz w:val="20"/>
          <w:szCs w:val="20"/>
          <w:color w:val="auto"/>
        </w:rPr>
      </w:pPr>
    </w:p>
    <w:p>
      <w:pPr>
        <w:ind w:left="560"/>
        <w:spacing w:after="0"/>
        <w:rPr>
          <w:sz w:val="20"/>
          <w:szCs w:val="20"/>
          <w:color w:val="auto"/>
        </w:rPr>
      </w:pPr>
      <w:r>
        <w:rPr>
          <w:rFonts w:ascii="Arial" w:cs="Arial" w:eastAsia="Arial" w:hAnsi="Arial"/>
          <w:sz w:val="14"/>
          <w:szCs w:val="14"/>
          <w:color w:val="auto"/>
        </w:rPr>
        <w:t>We intend to continue to make quarterly distributions to our stockholders. Our quarterly distributions, if any, are determined by our board of directors.</w:t>
      </w:r>
    </w:p>
    <w:p>
      <w:pPr>
        <w:spacing w:after="0" w:line="96" w:lineRule="exact"/>
        <w:rPr>
          <w:sz w:val="20"/>
          <w:szCs w:val="20"/>
          <w:color w:val="auto"/>
        </w:rPr>
      </w:pPr>
    </w:p>
    <w:p>
      <w:pPr>
        <w:ind w:right="140" w:firstLine="562"/>
        <w:spacing w:after="0" w:line="253" w:lineRule="auto"/>
        <w:rPr>
          <w:sz w:val="20"/>
          <w:szCs w:val="20"/>
          <w:color w:val="auto"/>
        </w:rPr>
      </w:pPr>
      <w:r>
        <w:rPr>
          <w:rFonts w:ascii="Arial" w:cs="Arial" w:eastAsia="Arial" w:hAnsi="Arial"/>
          <w:sz w:val="14"/>
          <w:szCs w:val="14"/>
          <w:color w:val="auto"/>
        </w:rPr>
        <w:t>We maintain an “opt out” dividend reinvestment plan for our common stockholders. As a result, if we declare a distribution, then stockholders’ cash distributions will be automatically reinvested in additional shares of our common stock, unless they specifically “opt out” of the dividend reinvestment plan so as to receive cash distributions.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ectPr>
          <w:pgSz w:w="11900" w:h="16838" w:orient="portrait"/>
          <w:cols w:equalWidth="0" w:num="1">
            <w:col w:w="11240"/>
          </w:cols>
          <w:pgMar w:left="320" w:top="459" w:right="3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80" w:firstLine="562"/>
        <w:spacing w:after="0" w:line="233" w:lineRule="auto"/>
        <w:rPr>
          <w:sz w:val="20"/>
          <w:szCs w:val="20"/>
          <w:color w:val="auto"/>
        </w:rPr>
      </w:pPr>
      <w:r>
        <w:rPr>
          <w:rFonts w:ascii="Arial" w:cs="Arial" w:eastAsia="Arial" w:hAnsi="Arial"/>
          <w:sz w:val="14"/>
          <w:szCs w:val="14"/>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applicable to us as a BDC under the 1940 Act and/or due to provisions in future credit facilities. If we do not distribute a certain percentage of our income annually, we will suffer adverse tax consequences, including possible loss of RIC status. We cannot assure stockholders that they will receive any distributions at a particular level.</w:t>
      </w:r>
    </w:p>
    <w:p>
      <w:pPr>
        <w:spacing w:after="0" w:line="86" w:lineRule="exact"/>
        <w:rPr>
          <w:sz w:val="20"/>
          <w:szCs w:val="20"/>
          <w:color w:val="auto"/>
        </w:rPr>
      </w:pPr>
    </w:p>
    <w:p>
      <w:pPr>
        <w:spacing w:after="0"/>
        <w:tabs>
          <w:tab w:leader="none" w:pos="880" w:val="left"/>
        </w:tabs>
        <w:rPr>
          <w:sz w:val="20"/>
          <w:szCs w:val="20"/>
          <w:color w:val="auto"/>
        </w:rPr>
      </w:pPr>
      <w:r>
        <w:rPr>
          <w:rFonts w:ascii="Arial" w:cs="Arial" w:eastAsia="Arial" w:hAnsi="Arial"/>
          <w:sz w:val="14"/>
          <w:szCs w:val="14"/>
          <w:b w:val="1"/>
          <w:bCs w:val="1"/>
          <w:color w:val="auto"/>
        </w:rPr>
        <w:t>Item 3.</w:t>
      </w:r>
      <w:r>
        <w:rPr>
          <w:sz w:val="20"/>
          <w:szCs w:val="20"/>
          <w:color w:val="auto"/>
        </w:rPr>
        <w:tab/>
      </w:r>
      <w:r>
        <w:rPr>
          <w:rFonts w:ascii="Arial" w:cs="Arial" w:eastAsia="Arial" w:hAnsi="Arial"/>
          <w:sz w:val="13"/>
          <w:szCs w:val="13"/>
          <w:b w:val="1"/>
          <w:bCs w:val="1"/>
          <w:color w:val="auto"/>
        </w:rPr>
        <w:t>Quantitative And Qualitative Disclosures About Market Risk</w:t>
      </w:r>
    </w:p>
    <w:p>
      <w:pPr>
        <w:spacing w:after="0" w:line="100" w:lineRule="exact"/>
        <w:rPr>
          <w:sz w:val="20"/>
          <w:szCs w:val="20"/>
          <w:color w:val="auto"/>
        </w:rPr>
      </w:pPr>
    </w:p>
    <w:p>
      <w:pPr>
        <w:ind w:firstLine="562"/>
        <w:spacing w:after="0" w:line="231" w:lineRule="auto"/>
        <w:rPr>
          <w:sz w:val="20"/>
          <w:szCs w:val="20"/>
          <w:color w:val="auto"/>
        </w:rPr>
      </w:pPr>
      <w:r>
        <w:rPr>
          <w:rFonts w:ascii="Arial" w:cs="Arial" w:eastAsia="Arial" w:hAnsi="Arial"/>
          <w:sz w:val="14"/>
          <w:szCs w:val="14"/>
          <w:color w:val="auto"/>
        </w:rPr>
        <w:t>We are subject to financial market risks, including changes in interest rates. As of December 31, 2014, our debt portfolio consisted of 30% fixed-rate investments and 70% variable-rate investments (including 64% with a LIBOR or prime floor). The variable-rate loans are usually based on a LIBOR rate and typically have durations of three months after which they reset to current market interest rates. Variable-rate investments subject to a floor generally reset by reference to the current market index after one to nine months only if the index exceeds the floor. In regards to variable-rate instruments with a floor, we do not benefit from increases in interest rates until such rates exceed the floor and thereafter benefit from market rates above any such floor. In contrast, our cost of funds, to the extent it is not fixed, will fluctuate with changes in interest rates.</w:t>
      </w:r>
    </w:p>
    <w:p>
      <w:pPr>
        <w:spacing w:after="0" w:line="76" w:lineRule="exact"/>
        <w:rPr>
          <w:sz w:val="20"/>
          <w:szCs w:val="20"/>
          <w:color w:val="auto"/>
        </w:rPr>
      </w:pPr>
    </w:p>
    <w:p>
      <w:pPr>
        <w:ind w:right="320" w:firstLine="562"/>
        <w:spacing w:after="0" w:line="253" w:lineRule="auto"/>
        <w:rPr>
          <w:sz w:val="20"/>
          <w:szCs w:val="20"/>
          <w:color w:val="auto"/>
        </w:rPr>
      </w:pPr>
      <w:r>
        <w:rPr>
          <w:rFonts w:ascii="Arial" w:cs="Arial" w:eastAsia="Arial" w:hAnsi="Arial"/>
          <w:sz w:val="14"/>
          <w:szCs w:val="14"/>
          <w:color w:val="auto"/>
        </w:rPr>
        <w:t>Assuming that the most recent statement of assets and liabilities was to remain constant, and no actions were taken to alter the interest rate sensitivity, the following table shows the annualized impact of hypothetical base rate changes in interest rates:</w:t>
      </w:r>
    </w:p>
    <w:p>
      <w:pPr>
        <w:spacing w:after="0" w:line="6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00" w:type="dxa"/>
            <w:vAlign w:val="bottom"/>
            <w:gridSpan w:val="3"/>
          </w:tcPr>
          <w:p>
            <w:pPr>
              <w:jc w:val="center"/>
              <w:ind w:right="280"/>
              <w:spacing w:after="0"/>
              <w:rPr>
                <w:sz w:val="20"/>
                <w:szCs w:val="20"/>
                <w:color w:val="auto"/>
              </w:rPr>
            </w:pPr>
            <w:r>
              <w:rPr>
                <w:rFonts w:ascii="Arial" w:cs="Arial" w:eastAsia="Arial" w:hAnsi="Arial"/>
                <w:sz w:val="14"/>
                <w:szCs w:val="14"/>
                <w:color w:val="auto"/>
                <w:w w:val="93"/>
              </w:rPr>
              <w:t>Change In Interest Income,</w:t>
            </w:r>
          </w:p>
        </w:tc>
        <w:tc>
          <w:tcPr>
            <w:tcW w:w="48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48"/>
        </w:trPr>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500" w:type="dxa"/>
            <w:vAlign w:val="bottom"/>
            <w:gridSpan w:val="3"/>
          </w:tcPr>
          <w:p>
            <w:pPr>
              <w:jc w:val="center"/>
              <w:ind w:right="280"/>
              <w:spacing w:after="0" w:line="149" w:lineRule="exact"/>
              <w:rPr>
                <w:sz w:val="20"/>
                <w:szCs w:val="20"/>
                <w:color w:val="auto"/>
              </w:rPr>
            </w:pPr>
            <w:r>
              <w:rPr>
                <w:rFonts w:ascii="Arial" w:cs="Arial" w:eastAsia="Arial" w:hAnsi="Arial"/>
                <w:sz w:val="14"/>
                <w:szCs w:val="14"/>
                <w:color w:val="auto"/>
                <w:w w:val="92"/>
              </w:rPr>
              <w:t>Net Of Interest Expense</w:t>
            </w:r>
          </w:p>
        </w:tc>
        <w:tc>
          <w:tcPr>
            <w:tcW w:w="480" w:type="dxa"/>
            <w:vAlign w:val="bottom"/>
          </w:tcPr>
          <w:p>
            <w:pPr>
              <w:spacing w:after="0"/>
              <w:rPr>
                <w:sz w:val="12"/>
                <w:szCs w:val="12"/>
                <w:color w:val="auto"/>
              </w:rPr>
            </w:pPr>
          </w:p>
        </w:tc>
        <w:tc>
          <w:tcPr>
            <w:tcW w:w="1640" w:type="dxa"/>
            <w:vAlign w:val="bottom"/>
          </w:tcPr>
          <w:p>
            <w:pPr>
              <w:spacing w:after="0"/>
              <w:rPr>
                <w:sz w:val="12"/>
                <w:szCs w:val="12"/>
                <w:color w:val="auto"/>
              </w:rPr>
            </w:pPr>
          </w:p>
        </w:tc>
      </w:tr>
      <w:tr>
        <w:trPr>
          <w:trHeight w:val="181"/>
        </w:trPr>
        <w:tc>
          <w:tcPr>
            <w:tcW w:w="2460" w:type="dxa"/>
            <w:vAlign w:val="bottom"/>
            <w:gridSpan w:val="2"/>
          </w:tcPr>
          <w:p>
            <w:pPr>
              <w:jc w:val="center"/>
              <w:ind w:right="320"/>
              <w:spacing w:after="0"/>
              <w:rPr>
                <w:sz w:val="20"/>
                <w:szCs w:val="20"/>
                <w:color w:val="auto"/>
              </w:rPr>
            </w:pPr>
            <w:r>
              <w:rPr>
                <w:rFonts w:ascii="Arial" w:cs="Arial" w:eastAsia="Arial" w:hAnsi="Arial"/>
                <w:sz w:val="14"/>
                <w:szCs w:val="14"/>
                <w:color w:val="auto"/>
                <w:w w:val="91"/>
              </w:rPr>
              <w:t>Change In Interest Rates</w:t>
            </w:r>
          </w:p>
        </w:tc>
        <w:tc>
          <w:tcPr>
            <w:tcW w:w="2500" w:type="dxa"/>
            <w:vAlign w:val="bottom"/>
            <w:gridSpan w:val="3"/>
          </w:tcPr>
          <w:p>
            <w:pPr>
              <w:jc w:val="center"/>
              <w:ind w:right="280"/>
              <w:spacing w:after="0"/>
              <w:rPr>
                <w:sz w:val="20"/>
                <w:szCs w:val="20"/>
                <w:color w:val="auto"/>
              </w:rPr>
            </w:pPr>
            <w:r>
              <w:rPr>
                <w:rFonts w:ascii="Arial" w:cs="Arial" w:eastAsia="Arial" w:hAnsi="Arial"/>
                <w:sz w:val="14"/>
                <w:szCs w:val="14"/>
                <w:color w:val="auto"/>
                <w:w w:val="91"/>
              </w:rPr>
              <w:t>(In Thousands)</w:t>
            </w:r>
          </w:p>
        </w:tc>
        <w:tc>
          <w:tcPr>
            <w:tcW w:w="480" w:type="dxa"/>
            <w:vAlign w:val="bottom"/>
          </w:tcPr>
          <w:p>
            <w:pPr>
              <w:spacing w:after="0"/>
              <w:rPr>
                <w:sz w:val="15"/>
                <w:szCs w:val="15"/>
                <w:color w:val="auto"/>
              </w:rPr>
            </w:pPr>
          </w:p>
        </w:tc>
        <w:tc>
          <w:tcPr>
            <w:tcW w:w="1640" w:type="dxa"/>
            <w:vAlign w:val="bottom"/>
          </w:tcPr>
          <w:p>
            <w:pPr>
              <w:ind w:left="320"/>
              <w:spacing w:after="0"/>
              <w:rPr>
                <w:sz w:val="20"/>
                <w:szCs w:val="20"/>
                <w:color w:val="auto"/>
              </w:rPr>
            </w:pPr>
            <w:r>
              <w:rPr>
                <w:rFonts w:ascii="Arial" w:cs="Arial" w:eastAsia="Arial" w:hAnsi="Arial"/>
                <w:sz w:val="14"/>
                <w:szCs w:val="14"/>
                <w:color w:val="auto"/>
              </w:rPr>
              <w:t>Per Share</w:t>
            </w:r>
          </w:p>
        </w:tc>
      </w:tr>
      <w:tr>
        <w:trPr>
          <w:trHeight w:val="142"/>
        </w:trPr>
        <w:tc>
          <w:tcPr>
            <w:tcW w:w="2140" w:type="dxa"/>
            <w:vAlign w:val="bottom"/>
            <w:tcBorders>
              <w:top w:val="single" w:sz="8" w:color="auto"/>
            </w:tcBorders>
            <w:shd w:val="clear" w:color="auto" w:fill="CEEFFF"/>
          </w:tcPr>
          <w:p>
            <w:pPr>
              <w:jc w:val="center"/>
              <w:spacing w:after="0" w:line="142" w:lineRule="exact"/>
              <w:rPr>
                <w:sz w:val="20"/>
                <w:szCs w:val="20"/>
                <w:color w:val="auto"/>
              </w:rPr>
            </w:pPr>
            <w:r>
              <w:rPr>
                <w:rFonts w:ascii="Arial" w:cs="Arial" w:eastAsia="Arial" w:hAnsi="Arial"/>
                <w:sz w:val="14"/>
                <w:szCs w:val="14"/>
                <w:color w:val="auto"/>
                <w:w w:val="99"/>
              </w:rPr>
              <w:t>Up 1%</w:t>
            </w:r>
          </w:p>
        </w:tc>
        <w:tc>
          <w:tcPr>
            <w:tcW w:w="320" w:type="dxa"/>
            <w:vAlign w:val="bottom"/>
            <w:tcBorders>
              <w:top w:val="single" w:sz="8" w:color="CEEFFF"/>
            </w:tcBorders>
            <w:shd w:val="clear" w:color="auto" w:fill="CEEFFF"/>
          </w:tcPr>
          <w:p>
            <w:pPr>
              <w:spacing w:after="0"/>
              <w:rPr>
                <w:sz w:val="12"/>
                <w:szCs w:val="12"/>
                <w:color w:val="auto"/>
              </w:rPr>
            </w:pPr>
          </w:p>
        </w:tc>
        <w:tc>
          <w:tcPr>
            <w:tcW w:w="980" w:type="dxa"/>
            <w:vAlign w:val="bottom"/>
            <w:tcBorders>
              <w:top w:val="single" w:sz="8" w:color="auto"/>
            </w:tcBorders>
            <w:shd w:val="clear" w:color="auto" w:fill="CEEFFF"/>
          </w:tcPr>
          <w:p>
            <w:pPr>
              <w:jc w:val="right"/>
              <w:ind w:right="108"/>
              <w:spacing w:after="0" w:line="142" w:lineRule="exact"/>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shd w:val="clear" w:color="auto" w:fill="CEEFFF"/>
          </w:tcPr>
          <w:p>
            <w:pPr>
              <w:jc w:val="right"/>
              <w:ind w:right="568"/>
              <w:spacing w:after="0" w:line="142" w:lineRule="exact"/>
              <w:rPr>
                <w:sz w:val="20"/>
                <w:szCs w:val="20"/>
                <w:color w:val="auto"/>
              </w:rPr>
            </w:pPr>
            <w:r>
              <w:rPr>
                <w:rFonts w:ascii="Arial" w:cs="Arial" w:eastAsia="Arial" w:hAnsi="Arial"/>
                <w:sz w:val="14"/>
                <w:szCs w:val="14"/>
                <w:color w:val="auto"/>
              </w:rPr>
              <w:t>322</w:t>
            </w:r>
          </w:p>
        </w:tc>
        <w:tc>
          <w:tcPr>
            <w:tcW w:w="280" w:type="dxa"/>
            <w:vAlign w:val="bottom"/>
            <w:tcBorders>
              <w:top w:val="single" w:sz="8" w:color="CEEFFF"/>
            </w:tcBorders>
            <w:shd w:val="clear" w:color="auto" w:fill="CEEFFF"/>
          </w:tcPr>
          <w:p>
            <w:pPr>
              <w:spacing w:after="0"/>
              <w:rPr>
                <w:sz w:val="12"/>
                <w:szCs w:val="12"/>
                <w:color w:val="auto"/>
              </w:rPr>
            </w:pPr>
          </w:p>
        </w:tc>
        <w:tc>
          <w:tcPr>
            <w:tcW w:w="480" w:type="dxa"/>
            <w:vAlign w:val="bottom"/>
            <w:tcBorders>
              <w:top w:val="single" w:sz="8" w:color="auto"/>
            </w:tcBorders>
            <w:shd w:val="clear" w:color="auto" w:fill="CEEFFF"/>
          </w:tcPr>
          <w:p>
            <w:pPr>
              <w:jc w:val="right"/>
              <w:ind w:right="248"/>
              <w:spacing w:after="0" w:line="142" w:lineRule="exact"/>
              <w:rPr>
                <w:sz w:val="20"/>
                <w:szCs w:val="20"/>
                <w:color w:val="auto"/>
              </w:rPr>
            </w:pPr>
            <w:r>
              <w:rPr>
                <w:rFonts w:ascii="Arial" w:cs="Arial" w:eastAsia="Arial" w:hAnsi="Arial"/>
                <w:sz w:val="14"/>
                <w:szCs w:val="14"/>
                <w:color w:val="auto"/>
              </w:rPr>
              <w:t>$</w:t>
            </w:r>
          </w:p>
        </w:tc>
        <w:tc>
          <w:tcPr>
            <w:tcW w:w="1640" w:type="dxa"/>
            <w:vAlign w:val="bottom"/>
            <w:tcBorders>
              <w:top w:val="single" w:sz="8" w:color="auto"/>
            </w:tcBorders>
            <w:shd w:val="clear" w:color="auto" w:fill="CEEFFF"/>
          </w:tcPr>
          <w:p>
            <w:pPr>
              <w:jc w:val="center"/>
              <w:ind w:right="68"/>
              <w:spacing w:after="0" w:line="142" w:lineRule="exact"/>
              <w:rPr>
                <w:sz w:val="20"/>
                <w:szCs w:val="20"/>
                <w:color w:val="auto"/>
              </w:rPr>
            </w:pPr>
            <w:r>
              <w:rPr>
                <w:rFonts w:ascii="Arial" w:cs="Arial" w:eastAsia="Arial" w:hAnsi="Arial"/>
                <w:sz w:val="14"/>
                <w:szCs w:val="14"/>
                <w:color w:val="auto"/>
                <w:w w:val="99"/>
              </w:rPr>
              <w:t>—</w:t>
            </w:r>
          </w:p>
        </w:tc>
      </w:tr>
      <w:tr>
        <w:trPr>
          <w:trHeight w:val="148"/>
        </w:trPr>
        <w:tc>
          <w:tcPr>
            <w:tcW w:w="246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9"/>
              </w:rPr>
              <w:t>Up 2%</w:t>
            </w:r>
          </w:p>
        </w:tc>
        <w:tc>
          <w:tcPr>
            <w:tcW w:w="9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1240" w:type="dxa"/>
            <w:vAlign w:val="bottom"/>
          </w:tcPr>
          <w:p>
            <w:pPr>
              <w:jc w:val="right"/>
              <w:ind w:right="608"/>
              <w:spacing w:after="0" w:line="149" w:lineRule="exact"/>
              <w:rPr>
                <w:sz w:val="20"/>
                <w:szCs w:val="20"/>
                <w:color w:val="auto"/>
              </w:rPr>
            </w:pPr>
            <w:r>
              <w:rPr>
                <w:rFonts w:ascii="Arial" w:cs="Arial" w:eastAsia="Arial" w:hAnsi="Arial"/>
                <w:sz w:val="14"/>
                <w:szCs w:val="14"/>
                <w:color w:val="auto"/>
              </w:rPr>
              <w:t>8,116</w:t>
            </w:r>
          </w:p>
        </w:tc>
        <w:tc>
          <w:tcPr>
            <w:tcW w:w="280" w:type="dxa"/>
            <w:vAlign w:val="bottom"/>
          </w:tcPr>
          <w:p>
            <w:pPr>
              <w:spacing w:after="0"/>
              <w:rPr>
                <w:sz w:val="12"/>
                <w:szCs w:val="12"/>
                <w:color w:val="auto"/>
              </w:rPr>
            </w:pPr>
          </w:p>
        </w:tc>
        <w:tc>
          <w:tcPr>
            <w:tcW w:w="48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w:t>
            </w:r>
          </w:p>
        </w:tc>
        <w:tc>
          <w:tcPr>
            <w:tcW w:w="1640" w:type="dxa"/>
            <w:vAlign w:val="bottom"/>
          </w:tcPr>
          <w:p>
            <w:pPr>
              <w:jc w:val="center"/>
              <w:ind w:right="108"/>
              <w:spacing w:after="0" w:line="149" w:lineRule="exact"/>
              <w:rPr>
                <w:sz w:val="20"/>
                <w:szCs w:val="20"/>
                <w:color w:val="auto"/>
              </w:rPr>
            </w:pPr>
            <w:r>
              <w:rPr>
                <w:rFonts w:ascii="Arial" w:cs="Arial" w:eastAsia="Arial" w:hAnsi="Arial"/>
                <w:sz w:val="14"/>
                <w:szCs w:val="14"/>
                <w:color w:val="auto"/>
                <w:w w:val="95"/>
              </w:rPr>
              <w:t>0.11</w:t>
            </w:r>
          </w:p>
        </w:tc>
      </w:tr>
      <w:tr>
        <w:trPr>
          <w:trHeight w:val="148"/>
        </w:trPr>
        <w:tc>
          <w:tcPr>
            <w:tcW w:w="2460" w:type="dxa"/>
            <w:vAlign w:val="bottom"/>
            <w:gridSpan w:val="2"/>
            <w:shd w:val="clear" w:color="auto" w:fill="CEEFFF"/>
          </w:tcPr>
          <w:p>
            <w:pPr>
              <w:jc w:val="center"/>
              <w:ind w:right="320"/>
              <w:spacing w:after="0" w:line="149" w:lineRule="exact"/>
              <w:rPr>
                <w:sz w:val="20"/>
                <w:szCs w:val="20"/>
                <w:color w:val="auto"/>
              </w:rPr>
            </w:pPr>
            <w:r>
              <w:rPr>
                <w:rFonts w:ascii="Arial" w:cs="Arial" w:eastAsia="Arial" w:hAnsi="Arial"/>
                <w:sz w:val="14"/>
                <w:szCs w:val="14"/>
                <w:color w:val="auto"/>
                <w:w w:val="99"/>
              </w:rPr>
              <w:t>Up 3%</w:t>
            </w:r>
          </w:p>
        </w:tc>
        <w:tc>
          <w:tcPr>
            <w:tcW w:w="980" w:type="dxa"/>
            <w:vAlign w:val="bottom"/>
            <w:shd w:val="clear" w:color="auto" w:fill="CEEFFF"/>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1240" w:type="dxa"/>
            <w:vAlign w:val="bottom"/>
            <w:shd w:val="clear" w:color="auto" w:fill="CEEFFF"/>
          </w:tcPr>
          <w:p>
            <w:pPr>
              <w:jc w:val="right"/>
              <w:ind w:right="608"/>
              <w:spacing w:after="0" w:line="149" w:lineRule="exact"/>
              <w:rPr>
                <w:sz w:val="20"/>
                <w:szCs w:val="20"/>
                <w:color w:val="auto"/>
              </w:rPr>
            </w:pPr>
            <w:r>
              <w:rPr>
                <w:rFonts w:ascii="Arial" w:cs="Arial" w:eastAsia="Arial" w:hAnsi="Arial"/>
                <w:sz w:val="14"/>
                <w:szCs w:val="14"/>
                <w:color w:val="auto"/>
              </w:rPr>
              <w:t>15,910</w:t>
            </w:r>
          </w:p>
        </w:tc>
        <w:tc>
          <w:tcPr>
            <w:tcW w:w="280" w:type="dxa"/>
            <w:vAlign w:val="bottom"/>
            <w:shd w:val="clear" w:color="auto" w:fill="CEEFFF"/>
          </w:tcPr>
          <w:p>
            <w:pPr>
              <w:spacing w:after="0"/>
              <w:rPr>
                <w:sz w:val="12"/>
                <w:szCs w:val="12"/>
                <w:color w:val="auto"/>
              </w:rPr>
            </w:pPr>
          </w:p>
        </w:tc>
        <w:tc>
          <w:tcPr>
            <w:tcW w:w="480" w:type="dxa"/>
            <w:vAlign w:val="bottom"/>
            <w:shd w:val="clear" w:color="auto" w:fill="CEEFFF"/>
          </w:tcPr>
          <w:p>
            <w:pPr>
              <w:jc w:val="right"/>
              <w:ind w:right="248"/>
              <w:spacing w:after="0" w:line="149" w:lineRule="exact"/>
              <w:rPr>
                <w:sz w:val="20"/>
                <w:szCs w:val="20"/>
                <w:color w:val="auto"/>
              </w:rPr>
            </w:pPr>
            <w:r>
              <w:rPr>
                <w:rFonts w:ascii="Arial" w:cs="Arial" w:eastAsia="Arial" w:hAnsi="Arial"/>
                <w:sz w:val="14"/>
                <w:szCs w:val="14"/>
                <w:color w:val="auto"/>
              </w:rPr>
              <w:t>$</w:t>
            </w:r>
          </w:p>
        </w:tc>
        <w:tc>
          <w:tcPr>
            <w:tcW w:w="1640" w:type="dxa"/>
            <w:vAlign w:val="bottom"/>
            <w:shd w:val="clear" w:color="auto" w:fill="CEEFFF"/>
          </w:tcPr>
          <w:p>
            <w:pPr>
              <w:jc w:val="center"/>
              <w:ind w:right="108"/>
              <w:spacing w:after="0" w:line="149" w:lineRule="exact"/>
              <w:rPr>
                <w:sz w:val="20"/>
                <w:szCs w:val="20"/>
                <w:color w:val="auto"/>
              </w:rPr>
            </w:pPr>
            <w:r>
              <w:rPr>
                <w:rFonts w:ascii="Arial" w:cs="Arial" w:eastAsia="Arial" w:hAnsi="Arial"/>
                <w:sz w:val="14"/>
                <w:szCs w:val="14"/>
                <w:color w:val="auto"/>
                <w:w w:val="95"/>
              </w:rPr>
              <w:t>0.21</w:t>
            </w:r>
          </w:p>
        </w:tc>
      </w:tr>
      <w:tr>
        <w:trPr>
          <w:trHeight w:val="182"/>
        </w:trPr>
        <w:tc>
          <w:tcPr>
            <w:tcW w:w="2460" w:type="dxa"/>
            <w:vAlign w:val="bottom"/>
            <w:gridSpan w:val="2"/>
          </w:tcPr>
          <w:p>
            <w:pPr>
              <w:jc w:val="center"/>
              <w:ind w:right="320"/>
              <w:spacing w:after="0"/>
              <w:rPr>
                <w:sz w:val="20"/>
                <w:szCs w:val="20"/>
                <w:color w:val="auto"/>
              </w:rPr>
            </w:pPr>
            <w:r>
              <w:rPr>
                <w:rFonts w:ascii="Arial" w:cs="Arial" w:eastAsia="Arial" w:hAnsi="Arial"/>
                <w:sz w:val="14"/>
                <w:szCs w:val="14"/>
                <w:color w:val="auto"/>
                <w:w w:val="99"/>
              </w:rPr>
              <w:t>Up 4%</w:t>
            </w: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608"/>
              <w:spacing w:after="0"/>
              <w:rPr>
                <w:sz w:val="20"/>
                <w:szCs w:val="20"/>
                <w:color w:val="auto"/>
              </w:rPr>
            </w:pPr>
            <w:r>
              <w:rPr>
                <w:rFonts w:ascii="Arial" w:cs="Arial" w:eastAsia="Arial" w:hAnsi="Arial"/>
                <w:sz w:val="14"/>
                <w:szCs w:val="14"/>
                <w:color w:val="auto"/>
              </w:rPr>
              <w:t>23,703</w:t>
            </w:r>
          </w:p>
        </w:tc>
        <w:tc>
          <w:tcPr>
            <w:tcW w:w="280" w:type="dxa"/>
            <w:vAlign w:val="bottom"/>
          </w:tcPr>
          <w:p>
            <w:pPr>
              <w:spacing w:after="0"/>
              <w:rPr>
                <w:sz w:val="15"/>
                <w:szCs w:val="15"/>
                <w:color w:val="auto"/>
              </w:rPr>
            </w:pPr>
          </w:p>
        </w:tc>
        <w:tc>
          <w:tcPr>
            <w:tcW w:w="48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640" w:type="dxa"/>
            <w:vAlign w:val="bottom"/>
          </w:tcPr>
          <w:p>
            <w:pPr>
              <w:jc w:val="center"/>
              <w:ind w:right="108"/>
              <w:spacing w:after="0"/>
              <w:rPr>
                <w:sz w:val="20"/>
                <w:szCs w:val="20"/>
                <w:color w:val="auto"/>
              </w:rPr>
            </w:pPr>
            <w:r>
              <w:rPr>
                <w:rFonts w:ascii="Arial" w:cs="Arial" w:eastAsia="Arial" w:hAnsi="Arial"/>
                <w:sz w:val="14"/>
                <w:szCs w:val="14"/>
                <w:color w:val="auto"/>
                <w:w w:val="95"/>
              </w:rPr>
              <w:t>0.32</w:t>
            </w:r>
          </w:p>
        </w:tc>
      </w:tr>
    </w:tbl>
    <w:p>
      <w:pPr>
        <w:spacing w:after="0" w:line="56" w:lineRule="exact"/>
        <w:rPr>
          <w:sz w:val="20"/>
          <w:szCs w:val="20"/>
          <w:color w:val="auto"/>
        </w:rPr>
      </w:pPr>
    </w:p>
    <w:p>
      <w:pPr>
        <w:ind w:right="60" w:firstLine="562"/>
        <w:spacing w:after="0" w:line="238" w:lineRule="auto"/>
        <w:rPr>
          <w:sz w:val="20"/>
          <w:szCs w:val="20"/>
          <w:color w:val="auto"/>
        </w:rPr>
      </w:pPr>
      <w:r>
        <w:rPr>
          <w:rFonts w:ascii="Arial" w:cs="Arial" w:eastAsia="Arial" w:hAnsi="Arial"/>
          <w:sz w:val="14"/>
          <w:szCs w:val="14"/>
          <w:color w:val="auto"/>
        </w:rPr>
        <w:t>Although management believes that this measure is indicative of our sensitivity to interest rate changes, it does not adjust for potential changes in the credit market, credit quality, size and composition of the assets on the Consolidated Statement of Assets and Liabilities and other business developments that could affect net increase in net assets resulting from operations, or net investment income. Accordingly, no assurances can be given that actual results would not differ materially from those shown above.</w:t>
      </w:r>
    </w:p>
    <w:p>
      <w:pPr>
        <w:spacing w:after="0" w:line="75" w:lineRule="exact"/>
        <w:rPr>
          <w:sz w:val="20"/>
          <w:szCs w:val="20"/>
          <w:color w:val="auto"/>
        </w:rPr>
      </w:pPr>
    </w:p>
    <w:p>
      <w:pPr>
        <w:ind w:right="40" w:firstLine="562"/>
        <w:spacing w:after="0" w:line="238" w:lineRule="auto"/>
        <w:rPr>
          <w:sz w:val="20"/>
          <w:szCs w:val="20"/>
          <w:color w:val="auto"/>
        </w:rPr>
      </w:pPr>
      <w:r>
        <w:rPr>
          <w:rFonts w:ascii="Arial" w:cs="Arial" w:eastAsia="Arial" w:hAnsi="Arial"/>
          <w:sz w:val="14"/>
          <w:szCs w:val="14"/>
          <w:color w:val="auto"/>
        </w:rPr>
        <w:t>Because we borrow money to make investments, our net investment income is dependent upon the difference between the rate at which we borrow funds and the rate at which we invest these funds as well as our level of leverage. As a result, there can be no assurance that a significant change in market interest rates will not have a material adverse effect on our net investment income or net assets.</w:t>
      </w:r>
    </w:p>
    <w:p>
      <w:pPr>
        <w:spacing w:after="0" w:line="75" w:lineRule="exact"/>
        <w:rPr>
          <w:sz w:val="20"/>
          <w:szCs w:val="20"/>
          <w:color w:val="auto"/>
        </w:rPr>
      </w:pPr>
    </w:p>
    <w:p>
      <w:pPr>
        <w:ind w:right="20" w:firstLine="562"/>
        <w:spacing w:after="0" w:line="233" w:lineRule="auto"/>
        <w:rPr>
          <w:sz w:val="20"/>
          <w:szCs w:val="20"/>
          <w:color w:val="auto"/>
        </w:rPr>
      </w:pPr>
      <w:r>
        <w:rPr>
          <w:rFonts w:ascii="Arial" w:cs="Arial" w:eastAsia="Arial" w:hAnsi="Arial"/>
          <w:sz w:val="14"/>
          <w:szCs w:val="14"/>
          <w:color w:val="auto"/>
        </w:rPr>
        <w:t>We may hedge against interest rate and foreign currency fluctuations by using standard hedging instruments such as futures, options and forward contracts or our Credit Facility subject to the requirements of the 1940 Act and applicable commodities laws. While hedging activities may insulate us against adverse changes in interest rates and foreign currencies, they may also limit our ability to participate in benefits of lower interest rates or higher exchange rates with respect to our portfolio of investments. During the periods covered by this Report, we did not engage in interest rate hedging activities.</w:t>
      </w:r>
    </w:p>
    <w:p>
      <w:pPr>
        <w:spacing w:after="0" w:line="86" w:lineRule="exact"/>
        <w:rPr>
          <w:sz w:val="20"/>
          <w:szCs w:val="20"/>
          <w:color w:val="auto"/>
        </w:rPr>
      </w:pPr>
    </w:p>
    <w:p>
      <w:pPr>
        <w:spacing w:after="0"/>
        <w:tabs>
          <w:tab w:leader="none" w:pos="880" w:val="left"/>
        </w:tabs>
        <w:rPr>
          <w:sz w:val="20"/>
          <w:szCs w:val="20"/>
          <w:color w:val="auto"/>
        </w:rPr>
      </w:pPr>
      <w:r>
        <w:rPr>
          <w:rFonts w:ascii="Arial" w:cs="Arial" w:eastAsia="Arial" w:hAnsi="Arial"/>
          <w:sz w:val="14"/>
          <w:szCs w:val="14"/>
          <w:b w:val="1"/>
          <w:bCs w:val="1"/>
          <w:color w:val="auto"/>
        </w:rPr>
        <w:t>Item 4.</w:t>
      </w:r>
      <w:r>
        <w:rPr>
          <w:sz w:val="20"/>
          <w:szCs w:val="20"/>
          <w:color w:val="auto"/>
        </w:rPr>
        <w:tab/>
      </w:r>
      <w:r>
        <w:rPr>
          <w:rFonts w:ascii="Arial" w:cs="Arial" w:eastAsia="Arial" w:hAnsi="Arial"/>
          <w:sz w:val="12"/>
          <w:szCs w:val="12"/>
          <w:b w:val="1"/>
          <w:bCs w:val="1"/>
          <w:color w:val="auto"/>
        </w:rPr>
        <w:t>Controls and Procedures</w:t>
      </w:r>
    </w:p>
    <w:p>
      <w:pPr>
        <w:spacing w:after="0" w:line="100" w:lineRule="exact"/>
        <w:rPr>
          <w:sz w:val="20"/>
          <w:szCs w:val="20"/>
          <w:color w:val="auto"/>
        </w:rPr>
      </w:pPr>
    </w:p>
    <w:p>
      <w:pPr>
        <w:ind w:right="60" w:firstLine="562"/>
        <w:spacing w:after="0" w:line="247" w:lineRule="auto"/>
        <w:rPr>
          <w:sz w:val="20"/>
          <w:szCs w:val="20"/>
          <w:color w:val="auto"/>
        </w:rPr>
      </w:pPr>
      <w:r>
        <w:rPr>
          <w:rFonts w:ascii="Arial" w:cs="Arial" w:eastAsia="Arial" w:hAnsi="Arial"/>
          <w:sz w:val="13"/>
          <w:szCs w:val="13"/>
          <w:color w:val="auto"/>
        </w:rPr>
        <w:t>As of the period covered by this Report, we, including our Chief Executive Officer and Chief Financial Officer, evaluated the effectiveness of the design and operation of our disclosure controls and procedures (as defined in Rule 13a-15(e) of the Exchange Act). Based on that evaluation, our management, including the Chief Executive Officer and Chief Financial Officer, concluded that our disclosure controls and procedures were effective and provided reasonable assurance that information required to be disclosed in our periodic filings with the SEC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71" w:lineRule="exact"/>
        <w:rPr>
          <w:sz w:val="20"/>
          <w:szCs w:val="20"/>
          <w:color w:val="auto"/>
        </w:rPr>
      </w:pPr>
    </w:p>
    <w:p>
      <w:pPr>
        <w:ind w:right="220" w:firstLine="562"/>
        <w:spacing w:after="0" w:line="253" w:lineRule="auto"/>
        <w:rPr>
          <w:sz w:val="20"/>
          <w:szCs w:val="20"/>
          <w:color w:val="auto"/>
        </w:rPr>
      </w:pPr>
      <w:r>
        <w:rPr>
          <w:rFonts w:ascii="Arial" w:cs="Arial" w:eastAsia="Arial" w:hAnsi="Arial"/>
          <w:sz w:val="14"/>
          <w:szCs w:val="14"/>
          <w:color w:val="auto"/>
        </w:rPr>
        <w:t>There have been no changes in our internal control over financial reporting that occurred during the quarter ended December 31, 2014 that have materially affected, or are reasonably likely to materially affect, our internal control over financial reporting.</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35</w:t>
      </w:r>
    </w:p>
    <w:p>
      <w:pPr>
        <w:sectPr>
          <w:pgSz w:w="11900" w:h="16838" w:orient="portrait"/>
          <w:cols w:equalWidth="0" w:num="1">
            <w:col w:w="11240"/>
          </w:cols>
          <w:pgMar w:left="320" w:top="459" w:right="3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PART II – OTHER INFORMATION</w:t>
      </w:r>
    </w:p>
    <w:p>
      <w:pPr>
        <w:spacing w:after="0" w:line="109" w:lineRule="exact"/>
        <w:rPr>
          <w:sz w:val="20"/>
          <w:szCs w:val="20"/>
          <w:color w:val="auto"/>
        </w:rPr>
      </w:pPr>
    </w:p>
    <w:p>
      <w:pPr>
        <w:spacing w:after="0"/>
        <w:tabs>
          <w:tab w:leader="none" w:pos="780" w:val="left"/>
        </w:tabs>
        <w:rPr>
          <w:sz w:val="20"/>
          <w:szCs w:val="20"/>
          <w:color w:val="auto"/>
        </w:rPr>
      </w:pPr>
      <w:r>
        <w:rPr>
          <w:rFonts w:ascii="Arial" w:cs="Arial" w:eastAsia="Arial" w:hAnsi="Arial"/>
          <w:sz w:val="14"/>
          <w:szCs w:val="14"/>
          <w:b w:val="1"/>
          <w:bCs w:val="1"/>
          <w:color w:val="auto"/>
        </w:rPr>
        <w:t>Item 1.</w:t>
      </w:r>
      <w:r>
        <w:rPr>
          <w:sz w:val="20"/>
          <w:szCs w:val="20"/>
          <w:color w:val="auto"/>
        </w:rPr>
        <w:tab/>
      </w:r>
      <w:r>
        <w:rPr>
          <w:rFonts w:ascii="Arial" w:cs="Arial" w:eastAsia="Arial" w:hAnsi="Arial"/>
          <w:sz w:val="12"/>
          <w:szCs w:val="12"/>
          <w:b w:val="1"/>
          <w:bCs w:val="1"/>
          <w:color w:val="auto"/>
        </w:rPr>
        <w:t>Legal Proceedings</w:t>
      </w:r>
    </w:p>
    <w:p>
      <w:pPr>
        <w:spacing w:after="0" w:line="100" w:lineRule="exact"/>
        <w:rPr>
          <w:sz w:val="20"/>
          <w:szCs w:val="20"/>
          <w:color w:val="auto"/>
        </w:rPr>
      </w:pPr>
    </w:p>
    <w:p>
      <w:pPr>
        <w:ind w:right="40" w:firstLine="562"/>
        <w:spacing w:after="0" w:line="233" w:lineRule="auto"/>
        <w:rPr>
          <w:sz w:val="20"/>
          <w:szCs w:val="20"/>
          <w:color w:val="auto"/>
        </w:rPr>
      </w:pPr>
      <w:r>
        <w:rPr>
          <w:rFonts w:ascii="Arial" w:cs="Arial" w:eastAsia="Arial" w:hAnsi="Arial"/>
          <w:sz w:val="14"/>
          <w:szCs w:val="14"/>
          <w:color w:val="auto"/>
        </w:rPr>
        <w:t>Neither we nor our Investment Adviser nor our Administrator is currently subject to any material legal proceedings, nor, to our knowledge, is any material legal proceeding threatened against us, or against our Investment Adviser or Administrator. From time to time, we, our Investment Adviser or Administrator may be a party to certain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w:t>
      </w:r>
    </w:p>
    <w:p>
      <w:pPr>
        <w:spacing w:after="0" w:line="86" w:lineRule="exact"/>
        <w:rPr>
          <w:sz w:val="20"/>
          <w:szCs w:val="20"/>
          <w:color w:val="auto"/>
        </w:rPr>
      </w:pPr>
    </w:p>
    <w:p>
      <w:pPr>
        <w:spacing w:after="0"/>
        <w:tabs>
          <w:tab w:leader="none" w:pos="780" w:val="left"/>
        </w:tabs>
        <w:rPr>
          <w:sz w:val="20"/>
          <w:szCs w:val="20"/>
          <w:color w:val="auto"/>
        </w:rPr>
      </w:pPr>
      <w:r>
        <w:rPr>
          <w:rFonts w:ascii="Arial" w:cs="Arial" w:eastAsia="Arial" w:hAnsi="Arial"/>
          <w:sz w:val="14"/>
          <w:szCs w:val="14"/>
          <w:b w:val="1"/>
          <w:bCs w:val="1"/>
          <w:color w:val="auto"/>
        </w:rPr>
        <w:t>Item 1A.</w:t>
      </w:r>
      <w:r>
        <w:rPr>
          <w:sz w:val="20"/>
          <w:szCs w:val="20"/>
          <w:color w:val="auto"/>
        </w:rPr>
        <w:tab/>
      </w:r>
      <w:r>
        <w:rPr>
          <w:rFonts w:ascii="Arial" w:cs="Arial" w:eastAsia="Arial" w:hAnsi="Arial"/>
          <w:sz w:val="12"/>
          <w:szCs w:val="12"/>
          <w:b w:val="1"/>
          <w:bCs w:val="1"/>
          <w:color w:val="auto"/>
        </w:rPr>
        <w:t>Risk Factors</w:t>
      </w:r>
    </w:p>
    <w:p>
      <w:pPr>
        <w:spacing w:after="0" w:line="100" w:lineRule="exact"/>
        <w:rPr>
          <w:sz w:val="20"/>
          <w:szCs w:val="20"/>
          <w:color w:val="auto"/>
        </w:rPr>
      </w:pPr>
    </w:p>
    <w:p>
      <w:pPr>
        <w:jc w:val="both"/>
        <w:ind w:firstLine="562"/>
        <w:spacing w:after="0" w:line="233" w:lineRule="auto"/>
        <w:rPr>
          <w:sz w:val="20"/>
          <w:szCs w:val="20"/>
          <w:color w:val="auto"/>
        </w:rPr>
      </w:pPr>
      <w:r>
        <w:rPr>
          <w:rFonts w:ascii="Arial" w:cs="Arial" w:eastAsia="Arial" w:hAnsi="Arial"/>
          <w:sz w:val="14"/>
          <w:szCs w:val="14"/>
          <w:color w:val="auto"/>
        </w:rPr>
        <w:t>In addition to the other information set forth in this Report, you should consider carefully the factors discussed in Part I “Item 1A. Risk Factors” in our Annual Report on Form 10-K for the fiscal year ended September 30, 2014, which could materially affect our business, financial condition and/or operating results. The risks described in our Annual Report on Form 10-K are not the only risks facing PennantPark Investment. Additional risks and uncertainties not currently known to us or that we currently deem to be immaterial also may materially and adversely affect our business, financial condition and/or operating results.</w:t>
      </w:r>
    </w:p>
    <w:p>
      <w:pPr>
        <w:spacing w:after="0" w:line="86" w:lineRule="exact"/>
        <w:rPr>
          <w:sz w:val="20"/>
          <w:szCs w:val="20"/>
          <w:color w:val="auto"/>
        </w:rPr>
      </w:pPr>
    </w:p>
    <w:p>
      <w:pPr>
        <w:spacing w:after="0"/>
        <w:tabs>
          <w:tab w:leader="none" w:pos="780" w:val="left"/>
        </w:tabs>
        <w:rPr>
          <w:sz w:val="20"/>
          <w:szCs w:val="20"/>
          <w:color w:val="auto"/>
        </w:rPr>
      </w:pPr>
      <w:r>
        <w:rPr>
          <w:rFonts w:ascii="Arial" w:cs="Arial" w:eastAsia="Arial" w:hAnsi="Arial"/>
          <w:sz w:val="14"/>
          <w:szCs w:val="14"/>
          <w:b w:val="1"/>
          <w:bCs w:val="1"/>
          <w:color w:val="auto"/>
        </w:rPr>
        <w:t>Item 2.</w:t>
      </w:r>
      <w:r>
        <w:rPr>
          <w:sz w:val="20"/>
          <w:szCs w:val="20"/>
          <w:color w:val="auto"/>
        </w:rPr>
        <w:tab/>
      </w:r>
      <w:r>
        <w:rPr>
          <w:rFonts w:ascii="Arial" w:cs="Arial" w:eastAsia="Arial" w:hAnsi="Arial"/>
          <w:sz w:val="12"/>
          <w:szCs w:val="12"/>
          <w:b w:val="1"/>
          <w:bCs w:val="1"/>
          <w:color w:val="auto"/>
        </w:rPr>
        <w:t>Unregistered Sales of Equity Securities and Use of Proceeds</w:t>
      </w:r>
    </w:p>
    <w:p>
      <w:pPr>
        <w:spacing w:after="0" w:line="100" w:lineRule="exact"/>
        <w:rPr>
          <w:sz w:val="20"/>
          <w:szCs w:val="20"/>
          <w:color w:val="auto"/>
        </w:rPr>
      </w:pPr>
    </w:p>
    <w:p>
      <w:pPr>
        <w:ind w:left="900"/>
        <w:spacing w:after="0"/>
        <w:rPr>
          <w:sz w:val="20"/>
          <w:szCs w:val="20"/>
          <w:color w:val="auto"/>
        </w:rPr>
      </w:pPr>
      <w:r>
        <w:rPr>
          <w:rFonts w:ascii="Arial" w:cs="Arial" w:eastAsia="Arial" w:hAnsi="Arial"/>
          <w:sz w:val="14"/>
          <w:szCs w:val="14"/>
          <w:color w:val="auto"/>
        </w:rPr>
        <w:t>None.</w:t>
      </w:r>
    </w:p>
    <w:p>
      <w:pPr>
        <w:spacing w:after="0" w:line="105" w:lineRule="exact"/>
        <w:rPr>
          <w:sz w:val="20"/>
          <w:szCs w:val="20"/>
          <w:color w:val="auto"/>
        </w:rPr>
      </w:pPr>
    </w:p>
    <w:p>
      <w:pPr>
        <w:spacing w:after="0"/>
        <w:tabs>
          <w:tab w:leader="none" w:pos="780" w:val="left"/>
        </w:tabs>
        <w:rPr>
          <w:sz w:val="20"/>
          <w:szCs w:val="20"/>
          <w:color w:val="auto"/>
        </w:rPr>
      </w:pPr>
      <w:r>
        <w:rPr>
          <w:rFonts w:ascii="Arial" w:cs="Arial" w:eastAsia="Arial" w:hAnsi="Arial"/>
          <w:sz w:val="14"/>
          <w:szCs w:val="14"/>
          <w:b w:val="1"/>
          <w:bCs w:val="1"/>
          <w:color w:val="auto"/>
        </w:rPr>
        <w:t>Item 3.</w:t>
      </w:r>
      <w:r>
        <w:rPr>
          <w:sz w:val="20"/>
          <w:szCs w:val="20"/>
          <w:color w:val="auto"/>
        </w:rPr>
        <w:tab/>
      </w:r>
      <w:r>
        <w:rPr>
          <w:rFonts w:ascii="Arial" w:cs="Arial" w:eastAsia="Arial" w:hAnsi="Arial"/>
          <w:sz w:val="12"/>
          <w:szCs w:val="12"/>
          <w:b w:val="1"/>
          <w:bCs w:val="1"/>
          <w:color w:val="auto"/>
        </w:rPr>
        <w:t>Defaults Upon Senior Securities</w:t>
      </w:r>
    </w:p>
    <w:p>
      <w:pPr>
        <w:spacing w:after="0" w:line="100" w:lineRule="exact"/>
        <w:rPr>
          <w:sz w:val="20"/>
          <w:szCs w:val="20"/>
          <w:color w:val="auto"/>
        </w:rPr>
      </w:pPr>
    </w:p>
    <w:p>
      <w:pPr>
        <w:ind w:left="900"/>
        <w:spacing w:after="0"/>
        <w:rPr>
          <w:sz w:val="20"/>
          <w:szCs w:val="20"/>
          <w:color w:val="auto"/>
        </w:rPr>
      </w:pPr>
      <w:r>
        <w:rPr>
          <w:rFonts w:ascii="Arial" w:cs="Arial" w:eastAsia="Arial" w:hAnsi="Arial"/>
          <w:sz w:val="14"/>
          <w:szCs w:val="14"/>
          <w:color w:val="auto"/>
        </w:rPr>
        <w:t>None.</w:t>
      </w:r>
    </w:p>
    <w:p>
      <w:pPr>
        <w:spacing w:after="0" w:line="105" w:lineRule="exact"/>
        <w:rPr>
          <w:sz w:val="20"/>
          <w:szCs w:val="20"/>
          <w:color w:val="auto"/>
        </w:rPr>
      </w:pPr>
    </w:p>
    <w:p>
      <w:pPr>
        <w:spacing w:after="0"/>
        <w:tabs>
          <w:tab w:leader="none" w:pos="780" w:val="left"/>
        </w:tabs>
        <w:rPr>
          <w:sz w:val="20"/>
          <w:szCs w:val="20"/>
          <w:color w:val="auto"/>
        </w:rPr>
      </w:pPr>
      <w:r>
        <w:rPr>
          <w:rFonts w:ascii="Arial" w:cs="Arial" w:eastAsia="Arial" w:hAnsi="Arial"/>
          <w:sz w:val="14"/>
          <w:szCs w:val="14"/>
          <w:b w:val="1"/>
          <w:bCs w:val="1"/>
          <w:color w:val="auto"/>
        </w:rPr>
        <w:t>Item 4.</w:t>
      </w:r>
      <w:r>
        <w:rPr>
          <w:sz w:val="20"/>
          <w:szCs w:val="20"/>
          <w:color w:val="auto"/>
        </w:rPr>
        <w:tab/>
      </w:r>
      <w:r>
        <w:rPr>
          <w:rFonts w:ascii="Arial" w:cs="Arial" w:eastAsia="Arial" w:hAnsi="Arial"/>
          <w:sz w:val="12"/>
          <w:szCs w:val="12"/>
          <w:b w:val="1"/>
          <w:bCs w:val="1"/>
          <w:color w:val="auto"/>
        </w:rPr>
        <w:t>Mine Safety Disclosures</w:t>
      </w:r>
    </w:p>
    <w:p>
      <w:pPr>
        <w:spacing w:after="0" w:line="100" w:lineRule="exact"/>
        <w:rPr>
          <w:sz w:val="20"/>
          <w:szCs w:val="20"/>
          <w:color w:val="auto"/>
        </w:rPr>
      </w:pPr>
    </w:p>
    <w:p>
      <w:pPr>
        <w:ind w:left="900"/>
        <w:spacing w:after="0"/>
        <w:rPr>
          <w:sz w:val="20"/>
          <w:szCs w:val="20"/>
          <w:color w:val="auto"/>
        </w:rPr>
      </w:pPr>
      <w:r>
        <w:rPr>
          <w:rFonts w:ascii="Arial" w:cs="Arial" w:eastAsia="Arial" w:hAnsi="Arial"/>
          <w:sz w:val="14"/>
          <w:szCs w:val="14"/>
          <w:color w:val="auto"/>
        </w:rPr>
        <w:t>Not applicable.</w:t>
      </w:r>
    </w:p>
    <w:p>
      <w:pPr>
        <w:spacing w:after="0" w:line="105" w:lineRule="exact"/>
        <w:rPr>
          <w:sz w:val="20"/>
          <w:szCs w:val="20"/>
          <w:color w:val="auto"/>
        </w:rPr>
      </w:pPr>
    </w:p>
    <w:p>
      <w:pPr>
        <w:spacing w:after="0"/>
        <w:tabs>
          <w:tab w:leader="none" w:pos="780" w:val="left"/>
        </w:tabs>
        <w:rPr>
          <w:sz w:val="20"/>
          <w:szCs w:val="20"/>
          <w:color w:val="auto"/>
        </w:rPr>
      </w:pPr>
      <w:r>
        <w:rPr>
          <w:rFonts w:ascii="Arial" w:cs="Arial" w:eastAsia="Arial" w:hAnsi="Arial"/>
          <w:sz w:val="14"/>
          <w:szCs w:val="14"/>
          <w:b w:val="1"/>
          <w:bCs w:val="1"/>
          <w:color w:val="auto"/>
        </w:rPr>
        <w:t>Item 5.</w:t>
      </w:r>
      <w:r>
        <w:rPr>
          <w:sz w:val="20"/>
          <w:szCs w:val="20"/>
          <w:color w:val="auto"/>
        </w:rPr>
        <w:tab/>
      </w:r>
      <w:r>
        <w:rPr>
          <w:rFonts w:ascii="Arial" w:cs="Arial" w:eastAsia="Arial" w:hAnsi="Arial"/>
          <w:sz w:val="13"/>
          <w:szCs w:val="13"/>
          <w:b w:val="1"/>
          <w:bCs w:val="1"/>
          <w:color w:val="auto"/>
        </w:rPr>
        <w:t>Other Information</w:t>
      </w:r>
    </w:p>
    <w:p>
      <w:pPr>
        <w:spacing w:after="0" w:line="100" w:lineRule="exact"/>
        <w:rPr>
          <w:sz w:val="20"/>
          <w:szCs w:val="20"/>
          <w:color w:val="auto"/>
        </w:rPr>
      </w:pPr>
    </w:p>
    <w:p>
      <w:pPr>
        <w:ind w:left="900"/>
        <w:spacing w:after="0"/>
        <w:rPr>
          <w:sz w:val="20"/>
          <w:szCs w:val="20"/>
          <w:color w:val="auto"/>
        </w:rPr>
      </w:pPr>
      <w:r>
        <w:rPr>
          <w:rFonts w:ascii="Arial" w:cs="Arial" w:eastAsia="Arial" w:hAnsi="Arial"/>
          <w:sz w:val="14"/>
          <w:szCs w:val="14"/>
          <w:color w:val="auto"/>
        </w:rPr>
        <w:t>None.</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36</w:t>
      </w:r>
    </w:p>
    <w:p>
      <w:pPr>
        <w:sectPr>
          <w:pgSz w:w="11900" w:h="16838" w:orient="portrait"/>
          <w:cols w:equalWidth="0" w:num="1">
            <w:col w:w="11220"/>
          </w:cols>
          <w:pgMar w:left="320" w:top="459" w:right="3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tabs>
          <w:tab w:leader="none" w:pos="880" w:val="left"/>
        </w:tabs>
        <w:rPr>
          <w:sz w:val="20"/>
          <w:szCs w:val="20"/>
          <w:color w:val="auto"/>
        </w:rPr>
      </w:pPr>
      <w:r>
        <w:rPr>
          <w:rFonts w:ascii="Arial" w:cs="Arial" w:eastAsia="Arial" w:hAnsi="Arial"/>
          <w:sz w:val="14"/>
          <w:szCs w:val="14"/>
          <w:b w:val="1"/>
          <w:bCs w:val="1"/>
          <w:color w:val="auto"/>
        </w:rPr>
        <w:t>Item 6.</w:t>
      </w:r>
      <w:r>
        <w:rPr>
          <w:sz w:val="20"/>
          <w:szCs w:val="20"/>
          <w:color w:val="auto"/>
        </w:rPr>
        <w:tab/>
      </w:r>
      <w:r>
        <w:rPr>
          <w:rFonts w:ascii="Arial" w:cs="Arial" w:eastAsia="Arial" w:hAnsi="Arial"/>
          <w:sz w:val="13"/>
          <w:szCs w:val="13"/>
          <w:b w:val="1"/>
          <w:bCs w:val="1"/>
          <w:color w:val="auto"/>
        </w:rPr>
        <w:t>Exhibits</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color w:val="auto"/>
        </w:rPr>
        <w:t>Unless specifically indicated otherwise, the following exhibits are incorporated by reference to exhibits previously filed with the SEC:</w:t>
      </w:r>
    </w:p>
    <w:p>
      <w:pPr>
        <w:spacing w:after="0" w:line="340"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460" w:type="dxa"/>
            <w:vAlign w:val="bottom"/>
          </w:tcPr>
          <w:p>
            <w:pPr>
              <w:jc w:val="right"/>
              <w:ind w:right="208"/>
              <w:spacing w:after="0"/>
              <w:rPr>
                <w:sz w:val="20"/>
                <w:szCs w:val="20"/>
                <w:color w:val="auto"/>
              </w:rPr>
            </w:pPr>
            <w:r>
              <w:rPr>
                <w:rFonts w:ascii="Arial" w:cs="Arial" w:eastAsia="Arial" w:hAnsi="Arial"/>
                <w:sz w:val="14"/>
                <w:szCs w:val="14"/>
                <w:color w:val="auto"/>
                <w:w w:val="81"/>
              </w:rPr>
              <w:t>3.1</w:t>
            </w:r>
          </w:p>
        </w:tc>
        <w:tc>
          <w:tcPr>
            <w:tcW w:w="7560" w:type="dxa"/>
            <w:vAlign w:val="bottom"/>
          </w:tcPr>
          <w:p>
            <w:pPr>
              <w:ind w:left="260"/>
              <w:spacing w:after="0"/>
              <w:rPr>
                <w:sz w:val="20"/>
                <w:szCs w:val="20"/>
                <w:color w:val="auto"/>
              </w:rPr>
            </w:pPr>
            <w:r>
              <w:rPr>
                <w:rFonts w:ascii="Arial" w:cs="Arial" w:eastAsia="Arial" w:hAnsi="Arial"/>
                <w:sz w:val="14"/>
                <w:szCs w:val="14"/>
                <w:color w:val="auto"/>
                <w:w w:val="94"/>
              </w:rPr>
              <w:t>Articles of Incorporation (Incorporated by reference to Exhibit 99(a) to the Registrant’s Pre-Effective Amendment No. 3 to the</w:t>
            </w:r>
          </w:p>
        </w:tc>
      </w:tr>
      <w:tr>
        <w:trPr>
          <w:trHeight w:val="182"/>
        </w:trPr>
        <w:tc>
          <w:tcPr>
            <w:tcW w:w="460" w:type="dxa"/>
            <w:vAlign w:val="bottom"/>
          </w:tcPr>
          <w:p>
            <w:pPr>
              <w:spacing w:after="0"/>
              <w:rPr>
                <w:sz w:val="15"/>
                <w:szCs w:val="15"/>
                <w:color w:val="auto"/>
              </w:rPr>
            </w:pPr>
          </w:p>
        </w:tc>
        <w:tc>
          <w:tcPr>
            <w:tcW w:w="7560" w:type="dxa"/>
            <w:vAlign w:val="bottom"/>
          </w:tcPr>
          <w:p>
            <w:pPr>
              <w:ind w:left="260"/>
              <w:spacing w:after="0"/>
              <w:rPr>
                <w:sz w:val="20"/>
                <w:szCs w:val="20"/>
                <w:color w:val="auto"/>
              </w:rPr>
            </w:pPr>
            <w:r>
              <w:rPr>
                <w:rFonts w:ascii="Arial" w:cs="Arial" w:eastAsia="Arial" w:hAnsi="Arial"/>
                <w:sz w:val="14"/>
                <w:szCs w:val="14"/>
                <w:color w:val="auto"/>
              </w:rPr>
              <w:t>Registration Statement on Form N-2/A (File No. 333-140092), filed on April 5, 2007).</w:t>
            </w:r>
          </w:p>
        </w:tc>
      </w:tr>
      <w:tr>
        <w:trPr>
          <w:trHeight w:val="304"/>
        </w:trPr>
        <w:tc>
          <w:tcPr>
            <w:tcW w:w="460" w:type="dxa"/>
            <w:vAlign w:val="bottom"/>
          </w:tcPr>
          <w:p>
            <w:pPr>
              <w:jc w:val="right"/>
              <w:ind w:right="208"/>
              <w:spacing w:after="0"/>
              <w:rPr>
                <w:sz w:val="20"/>
                <w:szCs w:val="20"/>
                <w:color w:val="auto"/>
              </w:rPr>
            </w:pPr>
            <w:r>
              <w:rPr>
                <w:rFonts w:ascii="Arial" w:cs="Arial" w:eastAsia="Arial" w:hAnsi="Arial"/>
                <w:sz w:val="14"/>
                <w:szCs w:val="14"/>
                <w:color w:val="auto"/>
                <w:w w:val="81"/>
              </w:rPr>
              <w:t>3.2</w:t>
            </w:r>
          </w:p>
        </w:tc>
        <w:tc>
          <w:tcPr>
            <w:tcW w:w="7560" w:type="dxa"/>
            <w:vAlign w:val="bottom"/>
          </w:tcPr>
          <w:p>
            <w:pPr>
              <w:ind w:left="260"/>
              <w:spacing w:after="0"/>
              <w:rPr>
                <w:sz w:val="20"/>
                <w:szCs w:val="20"/>
                <w:color w:val="auto"/>
              </w:rPr>
            </w:pPr>
            <w:r>
              <w:rPr>
                <w:rFonts w:ascii="Arial" w:cs="Arial" w:eastAsia="Arial" w:hAnsi="Arial"/>
                <w:sz w:val="14"/>
                <w:szCs w:val="14"/>
                <w:color w:val="auto"/>
              </w:rPr>
              <w:t>Amended and Restated Bylaws of the Registrant (Incorporated by reference to Exhibit 3.2 to the Registrant’s Annual</w:t>
            </w:r>
          </w:p>
        </w:tc>
      </w:tr>
      <w:tr>
        <w:trPr>
          <w:trHeight w:val="182"/>
        </w:trPr>
        <w:tc>
          <w:tcPr>
            <w:tcW w:w="460" w:type="dxa"/>
            <w:vAlign w:val="bottom"/>
          </w:tcPr>
          <w:p>
            <w:pPr>
              <w:spacing w:after="0"/>
              <w:rPr>
                <w:sz w:val="15"/>
                <w:szCs w:val="15"/>
                <w:color w:val="auto"/>
              </w:rPr>
            </w:pPr>
          </w:p>
        </w:tc>
        <w:tc>
          <w:tcPr>
            <w:tcW w:w="7560" w:type="dxa"/>
            <w:vAlign w:val="bottom"/>
          </w:tcPr>
          <w:p>
            <w:pPr>
              <w:ind w:left="260"/>
              <w:spacing w:after="0"/>
              <w:rPr>
                <w:sz w:val="20"/>
                <w:szCs w:val="20"/>
                <w:color w:val="auto"/>
              </w:rPr>
            </w:pPr>
            <w:r>
              <w:rPr>
                <w:rFonts w:ascii="Arial" w:cs="Arial" w:eastAsia="Arial" w:hAnsi="Arial"/>
                <w:sz w:val="14"/>
                <w:szCs w:val="14"/>
                <w:color w:val="auto"/>
              </w:rPr>
              <w:t>Report on Form 10-K (File No. 814-00736), filed on November 13, 2013).</w:t>
            </w:r>
          </w:p>
        </w:tc>
      </w:tr>
      <w:tr>
        <w:trPr>
          <w:trHeight w:val="304"/>
        </w:trPr>
        <w:tc>
          <w:tcPr>
            <w:tcW w:w="460" w:type="dxa"/>
            <w:vAlign w:val="bottom"/>
          </w:tcPr>
          <w:p>
            <w:pPr>
              <w:jc w:val="right"/>
              <w:ind w:right="208"/>
              <w:spacing w:after="0"/>
              <w:rPr>
                <w:sz w:val="20"/>
                <w:szCs w:val="20"/>
                <w:color w:val="auto"/>
              </w:rPr>
            </w:pPr>
            <w:r>
              <w:rPr>
                <w:rFonts w:ascii="Arial" w:cs="Arial" w:eastAsia="Arial" w:hAnsi="Arial"/>
                <w:sz w:val="14"/>
                <w:szCs w:val="14"/>
                <w:color w:val="auto"/>
                <w:w w:val="81"/>
              </w:rPr>
              <w:t>4.1</w:t>
            </w:r>
          </w:p>
        </w:tc>
        <w:tc>
          <w:tcPr>
            <w:tcW w:w="7560" w:type="dxa"/>
            <w:vAlign w:val="bottom"/>
          </w:tcPr>
          <w:p>
            <w:pPr>
              <w:ind w:left="260"/>
              <w:spacing w:after="0"/>
              <w:rPr>
                <w:sz w:val="20"/>
                <w:szCs w:val="20"/>
                <w:color w:val="auto"/>
              </w:rPr>
            </w:pPr>
            <w:r>
              <w:rPr>
                <w:rFonts w:ascii="Arial" w:cs="Arial" w:eastAsia="Arial" w:hAnsi="Arial"/>
                <w:sz w:val="14"/>
                <w:szCs w:val="14"/>
                <w:color w:val="auto"/>
              </w:rPr>
              <w:t>Form of Share Certificate (Incorporated by reference to Exhibit 99(d)(1) to the Registrant’s Registration Statement on</w:t>
            </w:r>
          </w:p>
        </w:tc>
      </w:tr>
      <w:tr>
        <w:trPr>
          <w:trHeight w:val="182"/>
        </w:trPr>
        <w:tc>
          <w:tcPr>
            <w:tcW w:w="460" w:type="dxa"/>
            <w:vAlign w:val="bottom"/>
          </w:tcPr>
          <w:p>
            <w:pPr>
              <w:spacing w:after="0"/>
              <w:rPr>
                <w:sz w:val="15"/>
                <w:szCs w:val="15"/>
                <w:color w:val="auto"/>
              </w:rPr>
            </w:pPr>
          </w:p>
        </w:tc>
        <w:tc>
          <w:tcPr>
            <w:tcW w:w="7560" w:type="dxa"/>
            <w:vAlign w:val="bottom"/>
          </w:tcPr>
          <w:p>
            <w:pPr>
              <w:ind w:left="260"/>
              <w:spacing w:after="0"/>
              <w:rPr>
                <w:sz w:val="20"/>
                <w:szCs w:val="20"/>
                <w:color w:val="auto"/>
              </w:rPr>
            </w:pPr>
            <w:r>
              <w:rPr>
                <w:rFonts w:ascii="Arial" w:cs="Arial" w:eastAsia="Arial" w:hAnsi="Arial"/>
                <w:sz w:val="14"/>
                <w:szCs w:val="14"/>
                <w:color w:val="auto"/>
              </w:rPr>
              <w:t>Form N-2 (File No. 333-150033), filed on April 2, 2008).</w:t>
            </w:r>
          </w:p>
        </w:tc>
      </w:tr>
    </w:tbl>
    <w:p>
      <w:pPr>
        <w:spacing w:after="0" w:line="155" w:lineRule="exact"/>
        <w:rPr>
          <w:sz w:val="20"/>
          <w:szCs w:val="20"/>
          <w:color w:val="auto"/>
        </w:rPr>
      </w:pPr>
    </w:p>
    <w:p>
      <w:pPr>
        <w:ind w:left="800" w:hanging="792"/>
        <w:spacing w:after="0"/>
        <w:tabs>
          <w:tab w:leader="none" w:pos="8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Computation of Per Share Earnings (included in the notes to the Consolidated Financial Statements contained in this Report).</w:t>
      </w:r>
    </w:p>
    <w:p>
      <w:pPr>
        <w:spacing w:after="0" w:line="163"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31.1 *</w:t>
      </w:r>
      <w:r>
        <w:rPr>
          <w:rFonts w:ascii="Arial" w:cs="Arial" w:eastAsia="Arial" w:hAnsi="Arial"/>
          <w:sz w:val="13"/>
          <w:szCs w:val="13"/>
          <w:color w:val="auto"/>
        </w:rPr>
        <w:t>Certification of Chief Executive Officer pursuant to Rule 13a-14 of the Securities Exchange Act of 1934, as amended.</w:t>
      </w:r>
    </w:p>
    <w:p>
      <w:pPr>
        <w:spacing w:after="0" w:line="163"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31.2 *</w:t>
      </w:r>
      <w:r>
        <w:rPr>
          <w:rFonts w:ascii="Arial" w:cs="Arial" w:eastAsia="Arial" w:hAnsi="Arial"/>
          <w:sz w:val="13"/>
          <w:szCs w:val="13"/>
          <w:color w:val="auto"/>
        </w:rPr>
        <w:t>Certification of Chief Financial Officer pursuant to Rule 13a-14 of the Securities Exchange Act of 1934, as amended.</w:t>
      </w:r>
    </w:p>
    <w:p>
      <w:pPr>
        <w:spacing w:after="0" w:line="163"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32.1 *</w:t>
      </w:r>
      <w:r>
        <w:rPr>
          <w:rFonts w:ascii="Arial" w:cs="Arial" w:eastAsia="Arial" w:hAnsi="Arial"/>
          <w:sz w:val="13"/>
          <w:szCs w:val="13"/>
          <w:color w:val="auto"/>
        </w:rPr>
        <w:t>Certification of Chief Executive Officer pursuant to Section 906 of the Sarbanes-Oxley Act of 2002.</w:t>
      </w:r>
    </w:p>
    <w:p>
      <w:pPr>
        <w:spacing w:after="0" w:line="163"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32.2 *</w:t>
      </w:r>
      <w:r>
        <w:rPr>
          <w:rFonts w:ascii="Arial" w:cs="Arial" w:eastAsia="Arial" w:hAnsi="Arial"/>
          <w:sz w:val="13"/>
          <w:szCs w:val="13"/>
          <w:color w:val="auto"/>
        </w:rPr>
        <w:t>Certification of Chief Financial Officer pursuant to Section 906 of the Sarbanes-Oxley Act of 2002.</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jc w:val="right"/>
              <w:ind w:right="208"/>
              <w:spacing w:after="0"/>
              <w:rPr>
                <w:sz w:val="20"/>
                <w:szCs w:val="20"/>
                <w:color w:val="auto"/>
              </w:rPr>
            </w:pPr>
            <w:r>
              <w:rPr>
                <w:rFonts w:ascii="Arial" w:cs="Arial" w:eastAsia="Arial" w:hAnsi="Arial"/>
                <w:sz w:val="14"/>
                <w:szCs w:val="14"/>
                <w:color w:val="auto"/>
                <w:w w:val="87"/>
              </w:rPr>
              <w:t>99.1</w:t>
            </w:r>
          </w:p>
        </w:tc>
        <w:tc>
          <w:tcPr>
            <w:tcW w:w="8700" w:type="dxa"/>
            <w:vAlign w:val="bottom"/>
          </w:tcPr>
          <w:p>
            <w:pPr>
              <w:ind w:left="260"/>
              <w:spacing w:after="0"/>
              <w:rPr>
                <w:sz w:val="20"/>
                <w:szCs w:val="20"/>
                <w:color w:val="auto"/>
              </w:rPr>
            </w:pPr>
            <w:r>
              <w:rPr>
                <w:rFonts w:ascii="Arial" w:cs="Arial" w:eastAsia="Arial" w:hAnsi="Arial"/>
                <w:sz w:val="14"/>
                <w:szCs w:val="14"/>
                <w:color w:val="auto"/>
                <w:w w:val="94"/>
              </w:rPr>
              <w:t>Privacy Policy of the Registrant (Incorporated by reference to Exhibit 99.1 to the Registrant’s Annual Report on Form 10-K (File No. 814-00736),</w:t>
            </w:r>
          </w:p>
        </w:tc>
      </w:tr>
      <w:tr>
        <w:trPr>
          <w:trHeight w:val="182"/>
        </w:trPr>
        <w:tc>
          <w:tcPr>
            <w:tcW w:w="540" w:type="dxa"/>
            <w:vAlign w:val="bottom"/>
          </w:tcPr>
          <w:p>
            <w:pPr>
              <w:spacing w:after="0"/>
              <w:rPr>
                <w:sz w:val="15"/>
                <w:szCs w:val="15"/>
                <w:color w:val="auto"/>
              </w:rPr>
            </w:pPr>
          </w:p>
        </w:tc>
        <w:tc>
          <w:tcPr>
            <w:tcW w:w="8700" w:type="dxa"/>
            <w:vAlign w:val="bottom"/>
          </w:tcPr>
          <w:p>
            <w:pPr>
              <w:ind w:left="260"/>
              <w:spacing w:after="0"/>
              <w:rPr>
                <w:sz w:val="20"/>
                <w:szCs w:val="20"/>
                <w:color w:val="auto"/>
              </w:rPr>
            </w:pPr>
            <w:r>
              <w:rPr>
                <w:rFonts w:ascii="Arial" w:cs="Arial" w:eastAsia="Arial" w:hAnsi="Arial"/>
                <w:sz w:val="14"/>
                <w:szCs w:val="14"/>
                <w:color w:val="auto"/>
              </w:rPr>
              <w:t>filed on November 16, 2011).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wp:posOffset>
            </wp:positionH>
            <wp:positionV relativeFrom="paragraph">
              <wp:posOffset>110490</wp:posOffset>
            </wp:positionV>
            <wp:extent cx="80010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00100"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color w:val="auto"/>
        </w:rPr>
        <w:t>*  Filed herewith.</w:t>
      </w:r>
    </w:p>
    <w:p>
      <w:pPr>
        <w:spacing w:after="0" w:line="136"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37</w:t>
      </w:r>
    </w:p>
    <w:p>
      <w:pPr>
        <w:sectPr>
          <w:pgSz w:w="11900" w:h="16838" w:orient="portrait"/>
          <w:cols w:equalWidth="0" w:num="1">
            <w:col w:w="10139"/>
          </w:cols>
          <w:pgMar w:left="320" w:top="459" w:right="1440"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SIGNATURES</w:t>
      </w:r>
    </w:p>
    <w:p>
      <w:pPr>
        <w:spacing w:after="0" w:line="208" w:lineRule="exact"/>
        <w:rPr>
          <w:sz w:val="20"/>
          <w:szCs w:val="20"/>
          <w:color w:val="auto"/>
        </w:rPr>
      </w:pPr>
    </w:p>
    <w:p>
      <w:pPr>
        <w:ind w:right="200" w:firstLine="562"/>
        <w:spacing w:after="0" w:line="253" w:lineRule="auto"/>
        <w:rPr>
          <w:sz w:val="20"/>
          <w:szCs w:val="20"/>
          <w:color w:val="auto"/>
        </w:rPr>
      </w:pPr>
      <w:r>
        <w:rPr>
          <w:rFonts w:ascii="Arial" w:cs="Arial" w:eastAsia="Arial" w:hAnsi="Arial"/>
          <w:sz w:val="14"/>
          <w:szCs w:val="14"/>
          <w:color w:val="auto"/>
        </w:rPr>
        <w:t>Pursuant to the requirements of the Securities Exchange Act of 1934, the registrant has duly caused this Report on Form 10-Q to be signed on its behalf by the undersigned, thereunto duly authorized.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34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20" w:type="dxa"/>
            <w:vAlign w:val="bottom"/>
          </w:tcPr>
          <w:p>
            <w:pPr>
              <w:ind w:left="740"/>
              <w:spacing w:after="0"/>
              <w:rPr>
                <w:sz w:val="20"/>
                <w:szCs w:val="20"/>
                <w:color w:val="auto"/>
              </w:rPr>
            </w:pPr>
            <w:r>
              <w:rPr>
                <w:rFonts w:ascii="Arial" w:cs="Arial" w:eastAsia="Arial" w:hAnsi="Arial"/>
                <w:sz w:val="14"/>
                <w:szCs w:val="14"/>
                <w:color w:val="auto"/>
              </w:rPr>
              <w:t>PENNANTPARK INVESTMENT CORPORATION</w:t>
            </w:r>
          </w:p>
        </w:tc>
      </w:tr>
      <w:tr>
        <w:trPr>
          <w:trHeight w:val="350"/>
        </w:trPr>
        <w:tc>
          <w:tcPr>
            <w:tcW w:w="3340" w:type="dxa"/>
            <w:vAlign w:val="bottom"/>
          </w:tcPr>
          <w:p>
            <w:pPr>
              <w:spacing w:after="0"/>
              <w:rPr>
                <w:sz w:val="20"/>
                <w:szCs w:val="20"/>
                <w:color w:val="auto"/>
              </w:rPr>
            </w:pPr>
            <w:r>
              <w:rPr>
                <w:rFonts w:ascii="Arial" w:cs="Arial" w:eastAsia="Arial" w:hAnsi="Arial"/>
                <w:sz w:val="14"/>
                <w:szCs w:val="14"/>
                <w:color w:val="auto"/>
              </w:rPr>
              <w:t>Date: February 4, 2015</w:t>
            </w:r>
          </w:p>
        </w:tc>
        <w:tc>
          <w:tcPr>
            <w:tcW w:w="2200" w:type="dxa"/>
            <w:vAlign w:val="bottom"/>
          </w:tcPr>
          <w:p>
            <w:pPr>
              <w:ind w:left="1980"/>
              <w:spacing w:after="0"/>
              <w:rPr>
                <w:sz w:val="20"/>
                <w:szCs w:val="20"/>
                <w:color w:val="auto"/>
              </w:rPr>
            </w:pPr>
            <w:r>
              <w:rPr>
                <w:rFonts w:ascii="Arial" w:cs="Arial" w:eastAsia="Arial" w:hAnsi="Arial"/>
                <w:sz w:val="14"/>
                <w:szCs w:val="14"/>
                <w:color w:val="auto"/>
                <w:w w:val="98"/>
              </w:rPr>
              <w:t>By:</w:t>
            </w:r>
          </w:p>
        </w:tc>
        <w:tc>
          <w:tcPr>
            <w:tcW w:w="480" w:type="dxa"/>
            <w:vAlign w:val="bottom"/>
          </w:tcPr>
          <w:p>
            <w:pPr>
              <w:spacing w:after="0"/>
              <w:rPr>
                <w:sz w:val="24"/>
                <w:szCs w:val="24"/>
                <w:color w:val="auto"/>
              </w:rPr>
            </w:pPr>
          </w:p>
        </w:tc>
        <w:tc>
          <w:tcPr>
            <w:tcW w:w="522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color w:val="auto"/>
                <w:w w:val="95"/>
              </w:rPr>
              <w:t>/s/ Arthur H. Penn</w:t>
            </w:r>
          </w:p>
        </w:tc>
      </w:tr>
      <w:tr>
        <w:trPr>
          <w:trHeight w:val="133"/>
        </w:trPr>
        <w:tc>
          <w:tcPr>
            <w:tcW w:w="334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9"/>
              </w:rPr>
              <w:t>Arthur H. Penn</w:t>
            </w:r>
          </w:p>
        </w:tc>
      </w:tr>
      <w:tr>
        <w:trPr>
          <w:trHeight w:val="148"/>
        </w:trPr>
        <w:tc>
          <w:tcPr>
            <w:tcW w:w="334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Chief Executive Officer and Chairman of the Board of Directors</w:t>
            </w:r>
          </w:p>
        </w:tc>
      </w:tr>
      <w:tr>
        <w:trPr>
          <w:trHeight w:val="186"/>
        </w:trPr>
        <w:tc>
          <w:tcPr>
            <w:tcW w:w="334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220" w:type="dxa"/>
            <w:vAlign w:val="bottom"/>
          </w:tcPr>
          <w:p>
            <w:pPr>
              <w:jc w:val="center"/>
              <w:spacing w:after="0"/>
              <w:rPr>
                <w:sz w:val="20"/>
                <w:szCs w:val="20"/>
                <w:color w:val="auto"/>
              </w:rPr>
            </w:pPr>
            <w:r>
              <w:rPr>
                <w:rFonts w:ascii="Arial" w:cs="Arial" w:eastAsia="Arial" w:hAnsi="Arial"/>
                <w:sz w:val="14"/>
                <w:szCs w:val="14"/>
                <w:b w:val="1"/>
                <w:bCs w:val="1"/>
                <w:color w:val="auto"/>
                <w:w w:val="95"/>
              </w:rPr>
              <w:t>(Principal Executive Officer)</w:t>
            </w:r>
          </w:p>
        </w:tc>
      </w:tr>
      <w:tr>
        <w:trPr>
          <w:trHeight w:val="363"/>
        </w:trPr>
        <w:tc>
          <w:tcPr>
            <w:tcW w:w="3340" w:type="dxa"/>
            <w:vAlign w:val="bottom"/>
          </w:tcPr>
          <w:p>
            <w:pPr>
              <w:spacing w:after="0"/>
              <w:rPr>
                <w:sz w:val="20"/>
                <w:szCs w:val="20"/>
                <w:color w:val="auto"/>
              </w:rPr>
            </w:pPr>
            <w:r>
              <w:rPr>
                <w:rFonts w:ascii="Arial" w:cs="Arial" w:eastAsia="Arial" w:hAnsi="Arial"/>
                <w:sz w:val="14"/>
                <w:szCs w:val="14"/>
                <w:color w:val="auto"/>
              </w:rPr>
              <w:t>Date: February 4, 2015</w:t>
            </w:r>
          </w:p>
        </w:tc>
        <w:tc>
          <w:tcPr>
            <w:tcW w:w="2200" w:type="dxa"/>
            <w:vAlign w:val="bottom"/>
          </w:tcPr>
          <w:p>
            <w:pPr>
              <w:ind w:left="1980"/>
              <w:spacing w:after="0"/>
              <w:rPr>
                <w:sz w:val="20"/>
                <w:szCs w:val="20"/>
                <w:color w:val="auto"/>
              </w:rPr>
            </w:pPr>
            <w:r>
              <w:rPr>
                <w:rFonts w:ascii="Arial" w:cs="Arial" w:eastAsia="Arial" w:hAnsi="Arial"/>
                <w:sz w:val="14"/>
                <w:szCs w:val="14"/>
                <w:color w:val="auto"/>
                <w:w w:val="98"/>
              </w:rPr>
              <w:t>By:</w:t>
            </w:r>
          </w:p>
        </w:tc>
        <w:tc>
          <w:tcPr>
            <w:tcW w:w="480" w:type="dxa"/>
            <w:vAlign w:val="bottom"/>
          </w:tcPr>
          <w:p>
            <w:pPr>
              <w:spacing w:after="0"/>
              <w:rPr>
                <w:sz w:val="24"/>
                <w:szCs w:val="24"/>
                <w:color w:val="auto"/>
              </w:rPr>
            </w:pPr>
          </w:p>
        </w:tc>
        <w:tc>
          <w:tcPr>
            <w:tcW w:w="522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color w:val="auto"/>
                <w:w w:val="99"/>
              </w:rPr>
              <w:t>/s/ Aviv Efrat</w:t>
            </w:r>
          </w:p>
        </w:tc>
      </w:tr>
      <w:tr>
        <w:trPr>
          <w:trHeight w:val="180"/>
        </w:trPr>
        <w:tc>
          <w:tcPr>
            <w:tcW w:w="334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20" w:type="dxa"/>
            <w:vAlign w:val="bottom"/>
          </w:tcPr>
          <w:p>
            <w:pPr>
              <w:jc w:val="center"/>
              <w:spacing w:after="0"/>
              <w:rPr>
                <w:sz w:val="20"/>
                <w:szCs w:val="20"/>
                <w:color w:val="auto"/>
              </w:rPr>
            </w:pPr>
            <w:r>
              <w:rPr>
                <w:rFonts w:ascii="Arial" w:cs="Arial" w:eastAsia="Arial" w:hAnsi="Arial"/>
                <w:sz w:val="14"/>
                <w:szCs w:val="14"/>
                <w:b w:val="1"/>
                <w:bCs w:val="1"/>
                <w:color w:val="auto"/>
                <w:w w:val="97"/>
              </w:rPr>
              <w:t>Aviv Efrat</w:t>
            </w:r>
          </w:p>
        </w:tc>
      </w:tr>
      <w:tr>
        <w:trPr>
          <w:trHeight w:val="169"/>
        </w:trPr>
        <w:tc>
          <w:tcPr>
            <w:tcW w:w="33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20" w:type="dxa"/>
            <w:vAlign w:val="bottom"/>
          </w:tcPr>
          <w:p>
            <w:pPr>
              <w:jc w:val="center"/>
              <w:spacing w:after="0"/>
              <w:rPr>
                <w:sz w:val="20"/>
                <w:szCs w:val="20"/>
                <w:color w:val="auto"/>
              </w:rPr>
            </w:pPr>
            <w:r>
              <w:rPr>
                <w:rFonts w:ascii="Arial" w:cs="Arial" w:eastAsia="Arial" w:hAnsi="Arial"/>
                <w:sz w:val="14"/>
                <w:szCs w:val="14"/>
                <w:b w:val="1"/>
                <w:bCs w:val="1"/>
                <w:color w:val="auto"/>
                <w:w w:val="95"/>
              </w:rPr>
              <w:t>Chief Financial Officer and Treasurer</w:t>
            </w:r>
          </w:p>
        </w:tc>
      </w:tr>
      <w:tr>
        <w:trPr>
          <w:trHeight w:val="186"/>
        </w:trPr>
        <w:tc>
          <w:tcPr>
            <w:tcW w:w="334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220" w:type="dxa"/>
            <w:vAlign w:val="bottom"/>
          </w:tcPr>
          <w:p>
            <w:pPr>
              <w:jc w:val="center"/>
              <w:spacing w:after="0"/>
              <w:rPr>
                <w:sz w:val="20"/>
                <w:szCs w:val="20"/>
                <w:color w:val="auto"/>
              </w:rPr>
            </w:pPr>
            <w:r>
              <w:rPr>
                <w:rFonts w:ascii="Arial" w:cs="Arial" w:eastAsia="Arial" w:hAnsi="Arial"/>
                <w:sz w:val="14"/>
                <w:szCs w:val="14"/>
                <w:b w:val="1"/>
                <w:bCs w:val="1"/>
                <w:color w:val="auto"/>
                <w:w w:val="94"/>
              </w:rPr>
              <w:t>(Principal Financial and Accounting Officer)</w:t>
            </w:r>
          </w:p>
        </w:tc>
      </w:tr>
      <w:tr>
        <w:trPr>
          <w:trHeight w:val="310"/>
        </w:trPr>
        <w:tc>
          <w:tcPr>
            <w:tcW w:w="33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480" w:type="dxa"/>
            <w:vAlign w:val="bottom"/>
          </w:tcPr>
          <w:p>
            <w:pPr>
              <w:jc w:val="right"/>
              <w:ind w:right="248"/>
              <w:spacing w:after="0"/>
              <w:rPr>
                <w:sz w:val="20"/>
                <w:szCs w:val="20"/>
                <w:color w:val="auto"/>
              </w:rPr>
            </w:pPr>
            <w:r>
              <w:rPr>
                <w:rFonts w:ascii="Arial" w:cs="Arial" w:eastAsia="Arial" w:hAnsi="Arial"/>
                <w:sz w:val="14"/>
                <w:szCs w:val="14"/>
                <w:color w:val="auto"/>
                <w:w w:val="89"/>
              </w:rPr>
              <w:t>38</w:t>
            </w:r>
          </w:p>
        </w:tc>
        <w:tc>
          <w:tcPr>
            <w:tcW w:w="5220" w:type="dxa"/>
            <w:vAlign w:val="bottom"/>
          </w:tcPr>
          <w:p>
            <w:pPr>
              <w:spacing w:after="0"/>
              <w:rPr>
                <w:sz w:val="24"/>
                <w:szCs w:val="24"/>
                <w:color w:val="auto"/>
              </w:rPr>
            </w:pPr>
          </w:p>
        </w:tc>
      </w:tr>
    </w:tbl>
    <w:p>
      <w:pPr>
        <w:sectPr>
          <w:pgSz w:w="11900" w:h="16838" w:orient="portrait"/>
          <w:cols w:equalWidth="0" w:num="1">
            <w:col w:w="11240"/>
          </w:cols>
          <w:pgMar w:left="320" w:top="459"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4"/>
          <w:szCs w:val="14"/>
          <w:b w:val="1"/>
          <w:bCs w:val="1"/>
          <w:color w:val="auto"/>
        </w:rPr>
        <w:t>Exhibit 31.1</w:t>
      </w:r>
    </w:p>
    <w:p>
      <w:pPr>
        <w:spacing w:after="0" w:line="203" w:lineRule="exact"/>
        <w:rPr>
          <w:sz w:val="20"/>
          <w:szCs w:val="20"/>
          <w:color w:val="auto"/>
        </w:rPr>
      </w:pPr>
    </w:p>
    <w:p>
      <w:pPr>
        <w:ind w:left="4040"/>
        <w:spacing w:after="0"/>
        <w:rPr>
          <w:sz w:val="20"/>
          <w:szCs w:val="20"/>
          <w:color w:val="auto"/>
        </w:rPr>
      </w:pPr>
      <w:r>
        <w:rPr>
          <w:rFonts w:ascii="Arial" w:cs="Arial" w:eastAsia="Arial" w:hAnsi="Arial"/>
          <w:sz w:val="14"/>
          <w:szCs w:val="14"/>
          <w:b w:val="1"/>
          <w:bCs w:val="1"/>
          <w:color w:val="auto"/>
        </w:rPr>
        <w:t>CERTIFICATION PURSUANT TO SECTION 302</w:t>
      </w:r>
    </w:p>
    <w:p>
      <w:pPr>
        <w:spacing w:after="0" w:line="4" w:lineRule="exact"/>
        <w:rPr>
          <w:sz w:val="20"/>
          <w:szCs w:val="20"/>
          <w:color w:val="auto"/>
        </w:rPr>
      </w:pPr>
    </w:p>
    <w:p>
      <w:pPr>
        <w:ind w:left="4020"/>
        <w:spacing w:after="0"/>
        <w:rPr>
          <w:sz w:val="20"/>
          <w:szCs w:val="20"/>
          <w:color w:val="auto"/>
        </w:rPr>
      </w:pPr>
      <w:r>
        <w:rPr>
          <w:rFonts w:ascii="Arial" w:cs="Arial" w:eastAsia="Arial" w:hAnsi="Arial"/>
          <w:sz w:val="14"/>
          <w:szCs w:val="14"/>
          <w:b w:val="1"/>
          <w:bCs w:val="1"/>
          <w:color w:val="auto"/>
        </w:rPr>
        <w:t>CHIEF EXECUTIVE OFFICER CERTIFICATION</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4"/>
          <w:szCs w:val="14"/>
          <w:color w:val="auto"/>
        </w:rPr>
        <w:t>I, Arthur H. Penn, Chief Executive Officer of PennantPark Investment Corporation, certify that:</w:t>
      </w:r>
    </w:p>
    <w:p>
      <w:pPr>
        <w:spacing w:after="0" w:line="163" w:lineRule="exact"/>
        <w:rPr>
          <w:sz w:val="20"/>
          <w:szCs w:val="20"/>
          <w:color w:val="auto"/>
        </w:rPr>
      </w:pPr>
    </w:p>
    <w:p>
      <w:pPr>
        <w:ind w:left="720" w:hanging="150"/>
        <w:spacing w:after="0"/>
        <w:tabs>
          <w:tab w:leader="none" w:pos="7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 have reviewed this Report on Form 10-Q of PennantPark Investment Corporation;</w:t>
      </w:r>
    </w:p>
    <w:p>
      <w:pPr>
        <w:spacing w:after="0" w:line="176" w:lineRule="exact"/>
        <w:rPr>
          <w:rFonts w:ascii="Arial" w:cs="Arial" w:eastAsia="Arial" w:hAnsi="Arial"/>
          <w:sz w:val="14"/>
          <w:szCs w:val="14"/>
          <w:color w:val="auto"/>
        </w:rPr>
      </w:pPr>
    </w:p>
    <w:p>
      <w:pPr>
        <w:ind w:right="260" w:firstLine="570"/>
        <w:spacing w:after="0" w:line="253" w:lineRule="auto"/>
        <w:tabs>
          <w:tab w:leader="none" w:pos="705" w:val="left"/>
        </w:tabs>
        <w:numPr>
          <w:ilvl w:val="0"/>
          <w:numId w:val="19"/>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3" w:lineRule="exact"/>
        <w:rPr>
          <w:rFonts w:ascii="Arial" w:cs="Arial" w:eastAsia="Arial" w:hAnsi="Arial"/>
          <w:sz w:val="14"/>
          <w:szCs w:val="14"/>
          <w:color w:val="auto"/>
        </w:rPr>
      </w:pPr>
    </w:p>
    <w:p>
      <w:pPr>
        <w:ind w:right="160" w:firstLine="570"/>
        <w:spacing w:after="0" w:line="253" w:lineRule="auto"/>
        <w:tabs>
          <w:tab w:leader="none" w:pos="705" w:val="left"/>
        </w:tabs>
        <w:numPr>
          <w:ilvl w:val="0"/>
          <w:numId w:val="19"/>
        </w:numPr>
        <w:rPr>
          <w:rFonts w:ascii="Arial" w:cs="Arial" w:eastAsia="Arial" w:hAnsi="Arial"/>
          <w:sz w:val="14"/>
          <w:szCs w:val="14"/>
          <w:color w:val="auto"/>
        </w:rPr>
      </w:pPr>
      <w:r>
        <w:rPr>
          <w:rFonts w:ascii="Arial" w:cs="Arial" w:eastAsia="Arial" w:hAnsi="Arial"/>
          <w:sz w:val="14"/>
          <w:szCs w:val="14"/>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3" w:lineRule="exact"/>
        <w:rPr>
          <w:rFonts w:ascii="Arial" w:cs="Arial" w:eastAsia="Arial" w:hAnsi="Arial"/>
          <w:sz w:val="14"/>
          <w:szCs w:val="14"/>
          <w:color w:val="auto"/>
        </w:rPr>
      </w:pPr>
    </w:p>
    <w:p>
      <w:pPr>
        <w:ind w:left="720" w:hanging="150"/>
        <w:spacing w:after="0"/>
        <w:tabs>
          <w:tab w:leader="none" w:pos="720"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w:t>
      </w:r>
    </w:p>
    <w:p>
      <w:pPr>
        <w:spacing w:after="0" w:line="1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15d-15(e)) and internal control over financial reporting (as defined in Exchange Act Rules 13a-15(f) and 15d-15(f)) for the registrant and have:</w:t>
      </w:r>
    </w:p>
    <w:p>
      <w:pPr>
        <w:spacing w:after="0" w:line="164" w:lineRule="exact"/>
        <w:rPr>
          <w:rFonts w:ascii="Arial" w:cs="Arial" w:eastAsia="Arial" w:hAnsi="Arial"/>
          <w:sz w:val="13"/>
          <w:szCs w:val="13"/>
          <w:color w:val="auto"/>
        </w:rPr>
      </w:pPr>
    </w:p>
    <w:p>
      <w:pPr>
        <w:jc w:val="both"/>
        <w:ind w:right="260" w:firstLine="794"/>
        <w:spacing w:after="0" w:line="335" w:lineRule="auto"/>
        <w:tabs>
          <w:tab w:leader="none" w:pos="934" w:val="left"/>
        </w:tabs>
        <w:numPr>
          <w:ilvl w:val="1"/>
          <w:numId w:val="19"/>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87" w:lineRule="exact"/>
        <w:rPr>
          <w:rFonts w:ascii="Arial" w:cs="Arial" w:eastAsia="Arial" w:hAnsi="Arial"/>
          <w:sz w:val="12"/>
          <w:szCs w:val="12"/>
          <w:color w:val="auto"/>
        </w:rPr>
      </w:pPr>
    </w:p>
    <w:p>
      <w:pPr>
        <w:ind w:right="440" w:firstLine="794"/>
        <w:spacing w:after="0" w:line="290" w:lineRule="auto"/>
        <w:tabs>
          <w:tab w:leader="none" w:pos="942" w:val="left"/>
        </w:tabs>
        <w:numPr>
          <w:ilvl w:val="1"/>
          <w:numId w:val="19"/>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11" w:lineRule="exact"/>
        <w:rPr>
          <w:rFonts w:ascii="Arial" w:cs="Arial" w:eastAsia="Arial" w:hAnsi="Arial"/>
          <w:sz w:val="13"/>
          <w:szCs w:val="13"/>
          <w:color w:val="auto"/>
        </w:rPr>
      </w:pPr>
    </w:p>
    <w:p>
      <w:pPr>
        <w:ind w:right="220" w:firstLine="794"/>
        <w:spacing w:after="0" w:line="253" w:lineRule="auto"/>
        <w:tabs>
          <w:tab w:leader="none" w:pos="934" w:val="left"/>
        </w:tabs>
        <w:numPr>
          <w:ilvl w:val="1"/>
          <w:numId w:val="19"/>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4"/>
          <w:szCs w:val="14"/>
          <w:color w:val="auto"/>
        </w:rPr>
      </w:pPr>
    </w:p>
    <w:p>
      <w:pPr>
        <w:ind w:right="360" w:firstLine="794"/>
        <w:spacing w:after="0" w:line="290" w:lineRule="auto"/>
        <w:tabs>
          <w:tab w:leader="none" w:pos="942" w:val="left"/>
        </w:tabs>
        <w:numPr>
          <w:ilvl w:val="1"/>
          <w:numId w:val="19"/>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3"/>
          <w:szCs w:val="13"/>
          <w:color w:val="auto"/>
        </w:rPr>
      </w:pPr>
    </w:p>
    <w:p>
      <w:pPr>
        <w:ind w:right="120" w:firstLine="570"/>
        <w:spacing w:after="0" w:line="253" w:lineRule="auto"/>
        <w:tabs>
          <w:tab w:leader="none" w:pos="705"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3" w:lineRule="exact"/>
        <w:rPr>
          <w:rFonts w:ascii="Arial" w:cs="Arial" w:eastAsia="Arial" w:hAnsi="Arial"/>
          <w:sz w:val="14"/>
          <w:szCs w:val="14"/>
          <w:color w:val="auto"/>
        </w:rPr>
      </w:pPr>
    </w:p>
    <w:p>
      <w:pPr>
        <w:ind w:right="380" w:firstLine="794"/>
        <w:spacing w:after="0" w:line="253" w:lineRule="auto"/>
        <w:tabs>
          <w:tab w:leader="none" w:pos="934" w:val="left"/>
        </w:tabs>
        <w:numPr>
          <w:ilvl w:val="1"/>
          <w:numId w:val="19"/>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4"/>
          <w:szCs w:val="14"/>
          <w:color w:val="auto"/>
        </w:rPr>
      </w:pPr>
    </w:p>
    <w:p>
      <w:pPr>
        <w:ind w:left="940" w:hanging="146"/>
        <w:spacing w:after="0"/>
        <w:tabs>
          <w:tab w:leader="none" w:pos="940" w:val="left"/>
        </w:tabs>
        <w:numPr>
          <w:ilvl w:val="1"/>
          <w:numId w:val="19"/>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Dated: February 4, 2015</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8460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tabs>
          <w:tab w:leader="none" w:pos="480" w:val="left"/>
        </w:tabs>
        <w:rPr>
          <w:sz w:val="20"/>
          <w:szCs w:val="20"/>
          <w:color w:val="auto"/>
        </w:rPr>
      </w:pPr>
      <w:r>
        <w:rPr>
          <w:rFonts w:ascii="Arial" w:cs="Arial" w:eastAsia="Arial" w:hAnsi="Arial"/>
          <w:sz w:val="14"/>
          <w:szCs w:val="14"/>
          <w:color w:val="auto"/>
        </w:rPr>
        <w:t>Name:</w:t>
      </w:r>
      <w:r>
        <w:rPr>
          <w:sz w:val="20"/>
          <w:szCs w:val="20"/>
          <w:color w:val="auto"/>
        </w:rPr>
        <w:tab/>
      </w:r>
      <w:r>
        <w:rPr>
          <w:rFonts w:ascii="Arial" w:cs="Arial" w:eastAsia="Arial" w:hAnsi="Arial"/>
          <w:sz w:val="13"/>
          <w:szCs w:val="13"/>
          <w:color w:val="auto"/>
        </w:rPr>
        <w:t>Arthur H. Penn</w:t>
      </w:r>
    </w:p>
    <w:p>
      <w:pPr>
        <w:spacing w:after="0"/>
        <w:tabs>
          <w:tab w:leader="none" w:pos="480" w:val="left"/>
        </w:tabs>
        <w:rPr>
          <w:sz w:val="20"/>
          <w:szCs w:val="20"/>
          <w:color w:val="auto"/>
        </w:rPr>
      </w:pPr>
      <w:r>
        <w:rPr>
          <w:rFonts w:ascii="Arial" w:cs="Arial" w:eastAsia="Arial" w:hAnsi="Arial"/>
          <w:sz w:val="14"/>
          <w:szCs w:val="14"/>
          <w:color w:val="auto"/>
        </w:rPr>
        <w:t>Title:</w:t>
        <w:tab/>
        <w:t>Chief Executive Officer</w:t>
      </w:r>
    </w:p>
    <w:p>
      <w:pPr>
        <w:sectPr>
          <w:pgSz w:w="11900" w:h="16838" w:orient="portrait"/>
          <w:cols w:equalWidth="0" w:num="1">
            <w:col w:w="11240"/>
          </w:cols>
          <w:pgMar w:left="320" w:top="118"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4"/>
          <w:szCs w:val="14"/>
          <w:b w:val="1"/>
          <w:bCs w:val="1"/>
          <w:color w:val="auto"/>
        </w:rPr>
        <w:t>Exhibit 31.2</w:t>
      </w:r>
    </w:p>
    <w:p>
      <w:pPr>
        <w:spacing w:after="0" w:line="203" w:lineRule="exact"/>
        <w:rPr>
          <w:sz w:val="20"/>
          <w:szCs w:val="20"/>
          <w:color w:val="auto"/>
        </w:rPr>
      </w:pPr>
    </w:p>
    <w:p>
      <w:pPr>
        <w:ind w:left="4040"/>
        <w:spacing w:after="0"/>
        <w:rPr>
          <w:sz w:val="20"/>
          <w:szCs w:val="20"/>
          <w:color w:val="auto"/>
        </w:rPr>
      </w:pPr>
      <w:r>
        <w:rPr>
          <w:rFonts w:ascii="Arial" w:cs="Arial" w:eastAsia="Arial" w:hAnsi="Arial"/>
          <w:sz w:val="14"/>
          <w:szCs w:val="14"/>
          <w:b w:val="1"/>
          <w:bCs w:val="1"/>
          <w:color w:val="auto"/>
        </w:rPr>
        <w:t>CERTIFICATION PURSUANT TO SECTION 302</w:t>
      </w:r>
    </w:p>
    <w:p>
      <w:pPr>
        <w:spacing w:after="0" w:line="4" w:lineRule="exact"/>
        <w:rPr>
          <w:sz w:val="20"/>
          <w:szCs w:val="20"/>
          <w:color w:val="auto"/>
        </w:rPr>
      </w:pPr>
    </w:p>
    <w:p>
      <w:pPr>
        <w:ind w:left="4040"/>
        <w:spacing w:after="0"/>
        <w:rPr>
          <w:sz w:val="20"/>
          <w:szCs w:val="20"/>
          <w:color w:val="auto"/>
        </w:rPr>
      </w:pPr>
      <w:r>
        <w:rPr>
          <w:rFonts w:ascii="Arial" w:cs="Arial" w:eastAsia="Arial" w:hAnsi="Arial"/>
          <w:sz w:val="14"/>
          <w:szCs w:val="14"/>
          <w:b w:val="1"/>
          <w:bCs w:val="1"/>
          <w:color w:val="auto"/>
        </w:rPr>
        <w:t>CHIEF FINANCIAL OFFICER CERTIFICATION</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4"/>
          <w:szCs w:val="14"/>
          <w:color w:val="auto"/>
        </w:rPr>
        <w:t>I, Aviv Efrat, Chief Financial Officer of PennantPark Investment Corporation, certify that:</w:t>
      </w:r>
    </w:p>
    <w:p>
      <w:pPr>
        <w:spacing w:after="0" w:line="163" w:lineRule="exact"/>
        <w:rPr>
          <w:sz w:val="20"/>
          <w:szCs w:val="20"/>
          <w:color w:val="auto"/>
        </w:rPr>
      </w:pPr>
    </w:p>
    <w:p>
      <w:pPr>
        <w:ind w:left="720" w:hanging="150"/>
        <w:spacing w:after="0"/>
        <w:tabs>
          <w:tab w:leader="none" w:pos="7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 have reviewed this Report on Form 10-Q of PennantPark Investment Corporation;</w:t>
      </w:r>
    </w:p>
    <w:p>
      <w:pPr>
        <w:spacing w:after="0" w:line="176" w:lineRule="exact"/>
        <w:rPr>
          <w:rFonts w:ascii="Arial" w:cs="Arial" w:eastAsia="Arial" w:hAnsi="Arial"/>
          <w:sz w:val="14"/>
          <w:szCs w:val="14"/>
          <w:color w:val="auto"/>
        </w:rPr>
      </w:pPr>
    </w:p>
    <w:p>
      <w:pPr>
        <w:ind w:right="260" w:firstLine="570"/>
        <w:spacing w:after="0" w:line="253" w:lineRule="auto"/>
        <w:tabs>
          <w:tab w:leader="none" w:pos="705" w:val="left"/>
        </w:tabs>
        <w:numPr>
          <w:ilvl w:val="0"/>
          <w:numId w:val="20"/>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3" w:lineRule="exact"/>
        <w:rPr>
          <w:rFonts w:ascii="Arial" w:cs="Arial" w:eastAsia="Arial" w:hAnsi="Arial"/>
          <w:sz w:val="14"/>
          <w:szCs w:val="14"/>
          <w:color w:val="auto"/>
        </w:rPr>
      </w:pPr>
    </w:p>
    <w:p>
      <w:pPr>
        <w:ind w:right="160" w:firstLine="570"/>
        <w:spacing w:after="0" w:line="253" w:lineRule="auto"/>
        <w:tabs>
          <w:tab w:leader="none" w:pos="705" w:val="left"/>
        </w:tabs>
        <w:numPr>
          <w:ilvl w:val="0"/>
          <w:numId w:val="20"/>
        </w:numPr>
        <w:rPr>
          <w:rFonts w:ascii="Arial" w:cs="Arial" w:eastAsia="Arial" w:hAnsi="Arial"/>
          <w:sz w:val="14"/>
          <w:szCs w:val="14"/>
          <w:color w:val="auto"/>
        </w:rPr>
      </w:pPr>
      <w:r>
        <w:rPr>
          <w:rFonts w:ascii="Arial" w:cs="Arial" w:eastAsia="Arial" w:hAnsi="Arial"/>
          <w:sz w:val="14"/>
          <w:szCs w:val="14"/>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3" w:lineRule="exact"/>
        <w:rPr>
          <w:rFonts w:ascii="Arial" w:cs="Arial" w:eastAsia="Arial" w:hAnsi="Arial"/>
          <w:sz w:val="14"/>
          <w:szCs w:val="14"/>
          <w:color w:val="auto"/>
        </w:rPr>
      </w:pPr>
    </w:p>
    <w:p>
      <w:pPr>
        <w:ind w:left="720" w:hanging="150"/>
        <w:spacing w:after="0"/>
        <w:tabs>
          <w:tab w:leader="none" w:pos="72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w:t>
      </w:r>
    </w:p>
    <w:p>
      <w:pPr>
        <w:spacing w:after="0" w:line="1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15d-15(e)) internal control over financial reporting (as defined in Exchange Act Rules 13a-15(f) and 15d-15(f)) for the registrant and have:</w:t>
      </w:r>
    </w:p>
    <w:p>
      <w:pPr>
        <w:spacing w:after="0" w:line="164" w:lineRule="exact"/>
        <w:rPr>
          <w:rFonts w:ascii="Arial" w:cs="Arial" w:eastAsia="Arial" w:hAnsi="Arial"/>
          <w:sz w:val="13"/>
          <w:szCs w:val="13"/>
          <w:color w:val="auto"/>
        </w:rPr>
      </w:pPr>
    </w:p>
    <w:p>
      <w:pPr>
        <w:jc w:val="both"/>
        <w:ind w:right="260" w:firstLine="794"/>
        <w:spacing w:after="0" w:line="335" w:lineRule="auto"/>
        <w:tabs>
          <w:tab w:leader="none" w:pos="934" w:val="left"/>
        </w:tabs>
        <w:numPr>
          <w:ilvl w:val="1"/>
          <w:numId w:val="20"/>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87" w:lineRule="exact"/>
        <w:rPr>
          <w:rFonts w:ascii="Arial" w:cs="Arial" w:eastAsia="Arial" w:hAnsi="Arial"/>
          <w:sz w:val="12"/>
          <w:szCs w:val="12"/>
          <w:color w:val="auto"/>
        </w:rPr>
      </w:pPr>
    </w:p>
    <w:p>
      <w:pPr>
        <w:ind w:right="440" w:firstLine="794"/>
        <w:spacing w:after="0" w:line="290" w:lineRule="auto"/>
        <w:tabs>
          <w:tab w:leader="none" w:pos="942" w:val="left"/>
        </w:tabs>
        <w:numPr>
          <w:ilvl w:val="1"/>
          <w:numId w:val="20"/>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11" w:lineRule="exact"/>
        <w:rPr>
          <w:rFonts w:ascii="Arial" w:cs="Arial" w:eastAsia="Arial" w:hAnsi="Arial"/>
          <w:sz w:val="13"/>
          <w:szCs w:val="13"/>
          <w:color w:val="auto"/>
        </w:rPr>
      </w:pPr>
    </w:p>
    <w:p>
      <w:pPr>
        <w:ind w:right="220" w:firstLine="794"/>
        <w:spacing w:after="0" w:line="253" w:lineRule="auto"/>
        <w:tabs>
          <w:tab w:leader="none" w:pos="934" w:val="left"/>
        </w:tabs>
        <w:numPr>
          <w:ilvl w:val="1"/>
          <w:numId w:val="20"/>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4"/>
          <w:szCs w:val="14"/>
          <w:color w:val="auto"/>
        </w:rPr>
      </w:pPr>
    </w:p>
    <w:p>
      <w:pPr>
        <w:ind w:right="360" w:firstLine="794"/>
        <w:spacing w:after="0" w:line="290" w:lineRule="auto"/>
        <w:tabs>
          <w:tab w:leader="none" w:pos="942" w:val="left"/>
        </w:tabs>
        <w:numPr>
          <w:ilvl w:val="1"/>
          <w:numId w:val="20"/>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3"/>
          <w:szCs w:val="13"/>
          <w:color w:val="auto"/>
        </w:rPr>
      </w:pPr>
    </w:p>
    <w:p>
      <w:pPr>
        <w:ind w:right="120" w:firstLine="570"/>
        <w:spacing w:after="0" w:line="253" w:lineRule="auto"/>
        <w:tabs>
          <w:tab w:leader="none" w:pos="705"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3" w:lineRule="exact"/>
        <w:rPr>
          <w:rFonts w:ascii="Arial" w:cs="Arial" w:eastAsia="Arial" w:hAnsi="Arial"/>
          <w:sz w:val="14"/>
          <w:szCs w:val="14"/>
          <w:color w:val="auto"/>
        </w:rPr>
      </w:pPr>
    </w:p>
    <w:p>
      <w:pPr>
        <w:ind w:right="380" w:firstLine="794"/>
        <w:spacing w:after="0" w:line="253" w:lineRule="auto"/>
        <w:tabs>
          <w:tab w:leader="none" w:pos="934" w:val="left"/>
        </w:tabs>
        <w:numPr>
          <w:ilvl w:val="1"/>
          <w:numId w:val="20"/>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4"/>
          <w:szCs w:val="14"/>
          <w:color w:val="auto"/>
        </w:rPr>
      </w:pPr>
    </w:p>
    <w:p>
      <w:pPr>
        <w:ind w:left="940" w:hanging="146"/>
        <w:spacing w:after="0"/>
        <w:tabs>
          <w:tab w:leader="none" w:pos="940" w:val="left"/>
        </w:tabs>
        <w:numPr>
          <w:ilvl w:val="1"/>
          <w:numId w:val="20"/>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Dated: February 4, 2015</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8460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tabs>
          <w:tab w:leader="none" w:pos="480" w:val="left"/>
        </w:tabs>
        <w:rPr>
          <w:sz w:val="20"/>
          <w:szCs w:val="20"/>
          <w:color w:val="auto"/>
        </w:rPr>
      </w:pPr>
      <w:r>
        <w:rPr>
          <w:rFonts w:ascii="Arial" w:cs="Arial" w:eastAsia="Arial" w:hAnsi="Arial"/>
          <w:sz w:val="14"/>
          <w:szCs w:val="14"/>
          <w:color w:val="auto"/>
        </w:rPr>
        <w:t>Name:</w:t>
        <w:tab/>
        <w:t>Aviv Efrat</w:t>
      </w:r>
    </w:p>
    <w:p>
      <w:pPr>
        <w:spacing w:after="0"/>
        <w:tabs>
          <w:tab w:leader="none" w:pos="480" w:val="left"/>
        </w:tabs>
        <w:rPr>
          <w:sz w:val="20"/>
          <w:szCs w:val="20"/>
          <w:color w:val="auto"/>
        </w:rPr>
      </w:pPr>
      <w:r>
        <w:rPr>
          <w:rFonts w:ascii="Arial" w:cs="Arial" w:eastAsia="Arial" w:hAnsi="Arial"/>
          <w:sz w:val="14"/>
          <w:szCs w:val="14"/>
          <w:color w:val="auto"/>
        </w:rPr>
        <w:t>Title:</w:t>
        <w:tab/>
        <w:t>Chief Financial Officer</w:t>
      </w:r>
    </w:p>
    <w:p>
      <w:pPr>
        <w:sectPr>
          <w:pgSz w:w="11900" w:h="16838" w:orient="portrait"/>
          <w:cols w:equalWidth="0" w:num="1">
            <w:col w:w="11240"/>
          </w:cols>
          <w:pgMar w:left="320" w:top="118"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4"/>
          <w:szCs w:val="14"/>
          <w:b w:val="1"/>
          <w:bCs w:val="1"/>
          <w:color w:val="auto"/>
        </w:rPr>
        <w:t>Exhibit 32.1</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CHIEF EXECUTIVE OFFICER</w:t>
      </w:r>
    </w:p>
    <w:p>
      <w:pPr>
        <w:jc w:val="center"/>
        <w:spacing w:after="0" w:line="226" w:lineRule="auto"/>
        <w:rPr>
          <w:sz w:val="20"/>
          <w:szCs w:val="20"/>
          <w:color w:val="auto"/>
        </w:rPr>
      </w:pPr>
      <w:r>
        <w:rPr>
          <w:rFonts w:ascii="Arial" w:cs="Arial" w:eastAsia="Arial" w:hAnsi="Arial"/>
          <w:sz w:val="14"/>
          <w:szCs w:val="14"/>
          <w:b w:val="1"/>
          <w:bCs w:val="1"/>
          <w:color w:val="auto"/>
        </w:rPr>
        <w:t>PURSUANT TO</w:t>
      </w:r>
    </w:p>
    <w:p>
      <w:pPr>
        <w:jc w:val="center"/>
        <w:spacing w:after="0"/>
        <w:rPr>
          <w:sz w:val="20"/>
          <w:szCs w:val="20"/>
          <w:color w:val="auto"/>
        </w:rPr>
      </w:pPr>
      <w:r>
        <w:rPr>
          <w:rFonts w:ascii="Arial" w:cs="Arial" w:eastAsia="Arial" w:hAnsi="Arial"/>
          <w:sz w:val="14"/>
          <w:szCs w:val="14"/>
          <w:b w:val="1"/>
          <w:bCs w:val="1"/>
          <w:color w:val="auto"/>
        </w:rPr>
        <w:t>SECTION 906 OF THE SARBANES-OXLEY ACT OF 2002 (18 U.S.C. 1350)</w:t>
      </w:r>
    </w:p>
    <w:p>
      <w:pPr>
        <w:spacing w:after="0" w:line="300" w:lineRule="exact"/>
        <w:rPr>
          <w:sz w:val="20"/>
          <w:szCs w:val="20"/>
          <w:color w:val="auto"/>
        </w:rPr>
      </w:pPr>
    </w:p>
    <w:p>
      <w:pPr>
        <w:ind w:left="120" w:firstLine="556"/>
        <w:spacing w:after="0" w:line="290" w:lineRule="auto"/>
        <w:rPr>
          <w:sz w:val="20"/>
          <w:szCs w:val="20"/>
          <w:color w:val="auto"/>
        </w:rPr>
      </w:pPr>
      <w:r>
        <w:rPr>
          <w:rFonts w:ascii="Arial" w:cs="Arial" w:eastAsia="Arial" w:hAnsi="Arial"/>
          <w:sz w:val="13"/>
          <w:szCs w:val="13"/>
          <w:color w:val="auto"/>
        </w:rPr>
        <w:t>In connection with this Report on Form 10-Q for the three months ended December 31, 2014 (the “Report”) of PennantPark Investment Corporation (the “Registrant”), as filed with the Securities and Exchange Commission on the date hereof, I, Arthur H. Penn, Chief Executive Officer of the Registrant, hereby certify, to the best of my knowledge, that:</w:t>
      </w:r>
    </w:p>
    <w:p>
      <w:pPr>
        <w:spacing w:after="0" w:line="44" w:lineRule="exact"/>
        <w:rPr>
          <w:sz w:val="20"/>
          <w:szCs w:val="20"/>
          <w:color w:val="auto"/>
        </w:rPr>
      </w:pPr>
    </w:p>
    <w:p>
      <w:pPr>
        <w:ind w:left="880" w:hanging="204"/>
        <w:spacing w:after="0"/>
        <w:tabs>
          <w:tab w:leader="none" w:pos="8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as amended; and</w:t>
      </w:r>
    </w:p>
    <w:p>
      <w:pPr>
        <w:spacing w:after="0" w:line="95" w:lineRule="exact"/>
        <w:rPr>
          <w:rFonts w:ascii="Arial" w:cs="Arial" w:eastAsia="Arial" w:hAnsi="Arial"/>
          <w:sz w:val="14"/>
          <w:szCs w:val="14"/>
          <w:color w:val="auto"/>
        </w:rPr>
      </w:pPr>
    </w:p>
    <w:p>
      <w:pPr>
        <w:ind w:left="880" w:hanging="204"/>
        <w:spacing w:after="0"/>
        <w:tabs>
          <w:tab w:leader="none" w:pos="8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Registrant.</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8460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tabs>
          <w:tab w:leader="none" w:pos="480" w:val="left"/>
        </w:tabs>
        <w:rPr>
          <w:sz w:val="20"/>
          <w:szCs w:val="20"/>
          <w:color w:val="auto"/>
        </w:rPr>
      </w:pPr>
      <w:r>
        <w:rPr>
          <w:rFonts w:ascii="Arial" w:cs="Arial" w:eastAsia="Arial" w:hAnsi="Arial"/>
          <w:sz w:val="14"/>
          <w:szCs w:val="14"/>
          <w:color w:val="auto"/>
        </w:rPr>
        <w:t>Name:</w:t>
      </w:r>
      <w:r>
        <w:rPr>
          <w:sz w:val="20"/>
          <w:szCs w:val="20"/>
          <w:color w:val="auto"/>
        </w:rPr>
        <w:tab/>
      </w:r>
      <w:r>
        <w:rPr>
          <w:rFonts w:ascii="Arial" w:cs="Arial" w:eastAsia="Arial" w:hAnsi="Arial"/>
          <w:sz w:val="13"/>
          <w:szCs w:val="13"/>
          <w:color w:val="auto"/>
        </w:rPr>
        <w:t>Arthur H. Penn</w:t>
      </w:r>
    </w:p>
    <w:p>
      <w:pPr>
        <w:spacing w:after="0" w:line="221" w:lineRule="auto"/>
        <w:tabs>
          <w:tab w:leader="none" w:pos="480" w:val="left"/>
        </w:tabs>
        <w:rPr>
          <w:sz w:val="20"/>
          <w:szCs w:val="20"/>
          <w:color w:val="auto"/>
        </w:rPr>
      </w:pPr>
      <w:r>
        <w:rPr>
          <w:rFonts w:ascii="Arial" w:cs="Arial" w:eastAsia="Arial" w:hAnsi="Arial"/>
          <w:sz w:val="14"/>
          <w:szCs w:val="14"/>
          <w:color w:val="auto"/>
        </w:rPr>
        <w:t>Title:</w:t>
        <w:tab/>
        <w:t>Chief Executive Officer</w:t>
      </w:r>
    </w:p>
    <w:p>
      <w:pPr>
        <w:spacing w:after="0"/>
        <w:tabs>
          <w:tab w:leader="none" w:pos="480" w:val="left"/>
        </w:tabs>
        <w:rPr>
          <w:sz w:val="20"/>
          <w:szCs w:val="20"/>
          <w:color w:val="auto"/>
        </w:rPr>
      </w:pPr>
      <w:r>
        <w:rPr>
          <w:rFonts w:ascii="Arial" w:cs="Arial" w:eastAsia="Arial" w:hAnsi="Arial"/>
          <w:sz w:val="14"/>
          <w:szCs w:val="14"/>
          <w:color w:val="auto"/>
        </w:rPr>
        <w:t>Date:</w:t>
        <w:tab/>
        <w:t>February 4, 2015</w:t>
      </w:r>
    </w:p>
    <w:p>
      <w:pPr>
        <w:sectPr>
          <w:pgSz w:w="11900" w:h="16838" w:orient="portrait"/>
          <w:cols w:equalWidth="0" w:num="1">
            <w:col w:w="11240"/>
          </w:cols>
          <w:pgMar w:left="320" w:top="118"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4"/>
          <w:szCs w:val="14"/>
          <w:b w:val="1"/>
          <w:bCs w:val="1"/>
          <w:color w:val="auto"/>
        </w:rPr>
        <w:t>Exhibit 32.2</w:t>
      </w:r>
    </w:p>
    <w:p>
      <w:pPr>
        <w:jc w:val="center"/>
        <w:spacing w:after="0" w:line="225" w:lineRule="auto"/>
        <w:rPr>
          <w:sz w:val="20"/>
          <w:szCs w:val="20"/>
          <w:color w:val="auto"/>
        </w:rPr>
      </w:pPr>
      <w:r>
        <w:rPr>
          <w:rFonts w:ascii="Arial" w:cs="Arial" w:eastAsia="Arial" w:hAnsi="Arial"/>
          <w:sz w:val="14"/>
          <w:szCs w:val="14"/>
          <w:b w:val="1"/>
          <w:bCs w:val="1"/>
          <w:color w:val="auto"/>
        </w:rPr>
        <w:t>CERTIFICATION OF CHIEF FINANCIAL OFFICER</w:t>
      </w:r>
    </w:p>
    <w:p>
      <w:pPr>
        <w:jc w:val="center"/>
        <w:spacing w:after="0" w:line="221" w:lineRule="auto"/>
        <w:rPr>
          <w:sz w:val="20"/>
          <w:szCs w:val="20"/>
          <w:color w:val="auto"/>
        </w:rPr>
      </w:pPr>
      <w:r>
        <w:rPr>
          <w:rFonts w:ascii="Arial" w:cs="Arial" w:eastAsia="Arial" w:hAnsi="Arial"/>
          <w:sz w:val="14"/>
          <w:szCs w:val="14"/>
          <w:b w:val="1"/>
          <w:bCs w:val="1"/>
          <w:color w:val="auto"/>
        </w:rPr>
        <w:t>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SECTION 906 OF THE SARBANES-OXLEY ACT OF 2002 (18 U.S.C. 1350)</w:t>
      </w:r>
    </w:p>
    <w:p>
      <w:pPr>
        <w:spacing w:after="0" w:line="300" w:lineRule="exact"/>
        <w:rPr>
          <w:sz w:val="20"/>
          <w:szCs w:val="20"/>
          <w:color w:val="auto"/>
        </w:rPr>
      </w:pPr>
    </w:p>
    <w:p>
      <w:pPr>
        <w:ind w:left="120" w:firstLine="556"/>
        <w:spacing w:after="0" w:line="253" w:lineRule="auto"/>
        <w:rPr>
          <w:sz w:val="20"/>
          <w:szCs w:val="20"/>
          <w:color w:val="auto"/>
        </w:rPr>
      </w:pPr>
      <w:r>
        <w:rPr>
          <w:rFonts w:ascii="Arial" w:cs="Arial" w:eastAsia="Arial" w:hAnsi="Arial"/>
          <w:sz w:val="14"/>
          <w:szCs w:val="14"/>
          <w:color w:val="auto"/>
        </w:rPr>
        <w:t>In connection with this Report on Form 10-Q for the three months ended December 31, 2014 (the “Report”) of PennantPark Investment Corporation (the “Registrant”), as filed with the Securities and Exchange Commission on the date hereof, I, Aviv Efrat, Chief Financial Officer of the Registrant, hereby certify, to the best of my knowledge, that:</w:t>
      </w:r>
    </w:p>
    <w:p>
      <w:pPr>
        <w:spacing w:after="0" w:line="66" w:lineRule="exact"/>
        <w:rPr>
          <w:sz w:val="20"/>
          <w:szCs w:val="20"/>
          <w:color w:val="auto"/>
        </w:rPr>
      </w:pPr>
    </w:p>
    <w:p>
      <w:pPr>
        <w:ind w:left="880" w:hanging="204"/>
        <w:spacing w:after="0"/>
        <w:tabs>
          <w:tab w:leader="none" w:pos="8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as amended; and</w:t>
      </w:r>
    </w:p>
    <w:p>
      <w:pPr>
        <w:spacing w:after="0" w:line="95" w:lineRule="exact"/>
        <w:rPr>
          <w:rFonts w:ascii="Arial" w:cs="Arial" w:eastAsia="Arial" w:hAnsi="Arial"/>
          <w:sz w:val="14"/>
          <w:szCs w:val="14"/>
          <w:color w:val="auto"/>
        </w:rPr>
      </w:pPr>
    </w:p>
    <w:p>
      <w:pPr>
        <w:ind w:left="880" w:hanging="204"/>
        <w:spacing w:after="0"/>
        <w:tabs>
          <w:tab w:leader="none" w:pos="8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Registrant.</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8460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tabs>
          <w:tab w:leader="none" w:pos="480" w:val="left"/>
        </w:tabs>
        <w:rPr>
          <w:sz w:val="20"/>
          <w:szCs w:val="20"/>
          <w:color w:val="auto"/>
        </w:rPr>
      </w:pPr>
      <w:r>
        <w:rPr>
          <w:rFonts w:ascii="Arial" w:cs="Arial" w:eastAsia="Arial" w:hAnsi="Arial"/>
          <w:sz w:val="14"/>
          <w:szCs w:val="14"/>
          <w:color w:val="auto"/>
        </w:rPr>
        <w:t>Name:</w:t>
        <w:tab/>
        <w:t>Aviv Efrat</w:t>
      </w:r>
    </w:p>
    <w:p>
      <w:pPr>
        <w:spacing w:after="0" w:line="221" w:lineRule="auto"/>
        <w:tabs>
          <w:tab w:leader="none" w:pos="480" w:val="left"/>
        </w:tabs>
        <w:rPr>
          <w:sz w:val="20"/>
          <w:szCs w:val="20"/>
          <w:color w:val="auto"/>
        </w:rPr>
      </w:pPr>
      <w:r>
        <w:rPr>
          <w:rFonts w:ascii="Arial" w:cs="Arial" w:eastAsia="Arial" w:hAnsi="Arial"/>
          <w:sz w:val="14"/>
          <w:szCs w:val="14"/>
          <w:color w:val="auto"/>
        </w:rPr>
        <w:t>Title:</w:t>
        <w:tab/>
        <w:t>Chief Financial Officer</w:t>
      </w:r>
    </w:p>
    <w:p>
      <w:pPr>
        <w:spacing w:after="0"/>
        <w:tabs>
          <w:tab w:leader="none" w:pos="480" w:val="left"/>
        </w:tabs>
        <w:rPr>
          <w:sz w:val="20"/>
          <w:szCs w:val="20"/>
          <w:color w:val="auto"/>
        </w:rPr>
      </w:pPr>
      <w:r>
        <w:rPr>
          <w:rFonts w:ascii="Arial" w:cs="Arial" w:eastAsia="Arial" w:hAnsi="Arial"/>
          <w:sz w:val="14"/>
          <w:szCs w:val="14"/>
          <w:color w:val="auto"/>
        </w:rPr>
        <w:t>Date:</w:t>
        <w:tab/>
        <w:t>February 4, 2015</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decimal"/>
      <w:start w:val="1"/>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1."/>
      <w:numFmt w:val="decimal"/>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1."/>
      <w:numFmt w:val="decimal"/>
      <w:start w:val="7"/>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1)"/>
      <w:numFmt w:val="decimal"/>
      <w:start w:val="1"/>
    </w:lvl>
  </w:abstractNum>
  <w:abstractNum w:abstractNumId="10">
    <w:nsid w:val="4E6AFB66"/>
    <w:multiLevelType w:val="hybridMultilevel"/>
    <w:lvl w:ilvl="0">
      <w:lvlJc w:val="left"/>
      <w:lvlText w:val="Ÿ"/>
      <w:numFmt w:val="bullet"/>
      <w:start w:val="1"/>
    </w:lvl>
  </w:abstractNum>
  <w:abstractNum w:abstractNumId="11">
    <w:nsid w:val="25E45D32"/>
    <w:multiLevelType w:val="hybridMultilevel"/>
    <w:lvl w:ilvl="0">
      <w:lvlJc w:val="left"/>
      <w:lvlText w:val="Ÿ"/>
      <w:numFmt w:val="bullet"/>
      <w:start w:val="1"/>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1."/>
      <w:numFmt w:val="decimal"/>
      <w:start w:val="1"/>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1)"/>
      <w:numFmt w:val="decimal"/>
      <w:start w:val="1"/>
    </w:lvl>
  </w:abstractNum>
  <w:abstractNum w:abstractNumId="16">
    <w:nsid w:val="257130A3"/>
    <w:multiLevelType w:val="hybridMultilevel"/>
    <w:lvl w:ilvl="0">
      <w:lvlJc w:val="left"/>
      <w:lvlText w:val="(%1)"/>
      <w:numFmt w:val="decimal"/>
      <w:start w:val="1"/>
    </w:lvl>
  </w:abstractNum>
  <w:abstractNum w:abstractNumId="17">
    <w:nsid w:val="62BBD95A"/>
    <w:multiLevelType w:val="hybridMultilevel"/>
    <w:lvl w:ilvl="0">
      <w:lvlJc w:val="left"/>
      <w:lvlText w:val="%1"/>
      <w:numFmt w:val="decimal"/>
      <w:start w:val="11"/>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2020-05-05T15:08:15Z</dcterms:created>
  <dcterms:modified xsi:type="dcterms:W3CDTF">2020-05-05T15:08:15Z</dcterms:modified>
</cp:coreProperties>
</file>