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4, 2023</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December 4, 2023, PennantPark Floating Rate Capital Ltd.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ind w:left="420" w:right="9340" w:hanging="412"/>
        <w:spacing w:after="0" w:line="263" w:lineRule="auto"/>
        <w:tabs>
          <w:tab w:leader="none" w:pos="27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left="420" w:right="8440" w:hanging="412"/>
        <w:spacing w:after="0" w:line="250" w:lineRule="auto"/>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420" w:right="8820" w:hanging="412"/>
        <w:spacing w:after="0" w:line="250" w:lineRule="auto"/>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December 4, 2023</w:t>
      </w:r>
    </w:p>
    <w:p>
      <w:pPr>
        <w:spacing w:after="0" w:line="9"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478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8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4, 2023</w:t>
            </w:r>
          </w:p>
        </w:tc>
        <w:tc>
          <w:tcPr>
            <w:tcW w:w="478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48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Announces Monthly Distribution of $0.07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Dec. 04, 2023 (GLOBE NEWSWIRE) -- PennantPark Investment Corporation (the "Company") (NYSE: PNNT) declares its monthly distribution for December 2023 of $0.07 per share, payable on January 2, 2024 to stockholders of record as of December 18, 2023.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$6.8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2023-12-04T15:11:54Z</dcterms:created>
  <dcterms:modified xsi:type="dcterms:W3CDTF">2023-12-04T15:11:54Z</dcterms:modified>
</cp:coreProperties>
</file>