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74"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144"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7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840" w:type="dxa"/>
            <w:vAlign w:val="bottom"/>
            <w:gridSpan w:val="2"/>
          </w:tcPr>
          <w:p>
            <w:pPr>
              <w:ind w:left="3460"/>
              <w:spacing w:after="0"/>
              <w:rPr>
                <w:sz w:val="20"/>
                <w:szCs w:val="20"/>
                <w:color w:val="auto"/>
              </w:rPr>
            </w:pPr>
            <w:r>
              <w:rPr>
                <w:rFonts w:ascii="Arial" w:cs="Arial" w:eastAsia="Arial" w:hAnsi="Arial"/>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3860" w:type="dxa"/>
            <w:vAlign w:val="bottom"/>
          </w:tcPr>
          <w:p>
            <w:pPr>
              <w:spacing w:after="0"/>
              <w:rPr>
                <w:sz w:val="24"/>
                <w:szCs w:val="24"/>
                <w:color w:val="auto"/>
              </w:rPr>
            </w:pPr>
          </w:p>
        </w:tc>
        <w:tc>
          <w:tcPr>
            <w:tcW w:w="3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COMMISSION FILE NUMBER: 814-00736</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840" w:type="dxa"/>
            <w:vAlign w:val="bottom"/>
            <w:tcBorders>
              <w:bottom w:val="single" w:sz="8" w:color="auto"/>
            </w:tcBorders>
            <w:gridSpan w:val="2"/>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1240" w:type="dxa"/>
            <w:vAlign w:val="bottom"/>
            <w:gridSpan w:val="6"/>
          </w:tcPr>
          <w:p>
            <w:pPr>
              <w:jc w:val="center"/>
              <w:spacing w:after="0"/>
              <w:rPr>
                <w:sz w:val="20"/>
                <w:szCs w:val="20"/>
                <w:color w:val="auto"/>
              </w:rPr>
            </w:pPr>
            <w:r>
              <w:rPr>
                <w:rFonts w:ascii="Arial" w:cs="Arial" w:eastAsia="Arial" w:hAnsi="Arial"/>
                <w:sz w:val="31"/>
                <w:szCs w:val="31"/>
                <w:b w:val="1"/>
                <w:bCs w:val="1"/>
                <w:color w:val="auto"/>
                <w:w w:val="99"/>
              </w:rPr>
              <w:t>PENNANTPARK INVESTMENT CORPORATION</w:t>
            </w:r>
          </w:p>
        </w:tc>
        <w:tc>
          <w:tcPr>
            <w:tcW w:w="0" w:type="dxa"/>
            <w:vAlign w:val="bottom"/>
          </w:tcPr>
          <w:p>
            <w:pPr>
              <w:spacing w:after="0"/>
              <w:rPr>
                <w:sz w:val="1"/>
                <w:szCs w:val="1"/>
                <w:color w:val="auto"/>
              </w:rPr>
            </w:pPr>
          </w:p>
        </w:tc>
      </w:tr>
      <w:tr>
        <w:trPr>
          <w:trHeight w:val="186"/>
        </w:trPr>
        <w:tc>
          <w:tcPr>
            <w:tcW w:w="3860" w:type="dxa"/>
            <w:vAlign w:val="bottom"/>
          </w:tcPr>
          <w:p>
            <w:pPr>
              <w:spacing w:after="0"/>
              <w:rPr>
                <w:sz w:val="16"/>
                <w:szCs w:val="16"/>
                <w:color w:val="auto"/>
              </w:rPr>
            </w:pPr>
          </w:p>
        </w:tc>
        <w:tc>
          <w:tcPr>
            <w:tcW w:w="3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38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3860" w:type="dxa"/>
            <w:vAlign w:val="bottom"/>
          </w:tcPr>
          <w:p>
            <w:pPr>
              <w:jc w:val="center"/>
              <w:ind w:left="1701"/>
              <w:spacing w:after="0"/>
              <w:rPr>
                <w:sz w:val="20"/>
                <w:szCs w:val="20"/>
                <w:color w:val="auto"/>
              </w:rPr>
            </w:pPr>
            <w:r>
              <w:rPr>
                <w:rFonts w:ascii="Arial" w:cs="Arial" w:eastAsia="Arial" w:hAnsi="Arial"/>
                <w:sz w:val="14"/>
                <w:szCs w:val="14"/>
                <w:b w:val="1"/>
                <w:bCs w:val="1"/>
                <w:color w:val="auto"/>
              </w:rPr>
              <w:t>MARYLAND</w:t>
            </w:r>
          </w:p>
        </w:tc>
        <w:tc>
          <w:tcPr>
            <w:tcW w:w="2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60" w:type="dxa"/>
            <w:vAlign w:val="bottom"/>
            <w:gridSpan w:val="3"/>
          </w:tcPr>
          <w:p>
            <w:pPr>
              <w:jc w:val="right"/>
              <w:ind w:right="2275"/>
              <w:spacing w:after="0"/>
              <w:rPr>
                <w:sz w:val="20"/>
                <w:szCs w:val="20"/>
                <w:color w:val="auto"/>
              </w:rPr>
            </w:pPr>
            <w:r>
              <w:rPr>
                <w:rFonts w:ascii="Arial" w:cs="Arial" w:eastAsia="Arial" w:hAnsi="Arial"/>
                <w:sz w:val="14"/>
                <w:szCs w:val="14"/>
                <w:b w:val="1"/>
                <w:bCs w:val="1"/>
                <w:color w:val="auto"/>
              </w:rPr>
              <w:t>20-8250744</w:t>
            </w:r>
          </w:p>
        </w:tc>
        <w:tc>
          <w:tcPr>
            <w:tcW w:w="0" w:type="dxa"/>
            <w:vAlign w:val="bottom"/>
          </w:tcPr>
          <w:p>
            <w:pPr>
              <w:spacing w:after="0"/>
              <w:rPr>
                <w:sz w:val="1"/>
                <w:szCs w:val="1"/>
                <w:color w:val="auto"/>
              </w:rPr>
            </w:pPr>
          </w:p>
        </w:tc>
      </w:tr>
      <w:tr>
        <w:trPr>
          <w:trHeight w:val="168"/>
        </w:trPr>
        <w:tc>
          <w:tcPr>
            <w:tcW w:w="7380" w:type="dxa"/>
            <w:vAlign w:val="bottom"/>
            <w:gridSpan w:val="3"/>
          </w:tcPr>
          <w:p>
            <w:pPr>
              <w:jc w:val="center"/>
              <w:ind w:right="1720"/>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3860" w:type="dxa"/>
            <w:vAlign w:val="bottom"/>
            <w:gridSpan w:val="3"/>
          </w:tcPr>
          <w:p>
            <w:pPr>
              <w:jc w:val="center"/>
              <w:ind w:right="1455"/>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456"/>
        </w:trPr>
        <w:tc>
          <w:tcPr>
            <w:tcW w:w="3860" w:type="dxa"/>
            <w:vAlign w:val="bottom"/>
          </w:tcPr>
          <w:p>
            <w:pPr>
              <w:jc w:val="center"/>
              <w:ind w:left="1701"/>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2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60" w:type="dxa"/>
            <w:vAlign w:val="bottom"/>
          </w:tcPr>
          <w:p>
            <w:pPr>
              <w:jc w:val="center"/>
              <w:ind w:left="1701"/>
              <w:spacing w:after="0"/>
              <w:rPr>
                <w:sz w:val="20"/>
                <w:szCs w:val="20"/>
                <w:color w:val="auto"/>
              </w:rPr>
            </w:pPr>
            <w:r>
              <w:rPr>
                <w:rFonts w:ascii="Arial" w:cs="Arial" w:eastAsia="Arial" w:hAnsi="Arial"/>
                <w:sz w:val="14"/>
                <w:szCs w:val="14"/>
                <w:b w:val="1"/>
                <w:bCs w:val="1"/>
                <w:color w:val="auto"/>
                <w:w w:val="97"/>
              </w:rPr>
              <w:t>New York, N.Y.</w:t>
            </w:r>
          </w:p>
        </w:tc>
        <w:tc>
          <w:tcPr>
            <w:tcW w:w="2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60" w:type="dxa"/>
            <w:vAlign w:val="bottom"/>
            <w:gridSpan w:val="3"/>
            <w:vMerge w:val="restart"/>
          </w:tcPr>
          <w:p>
            <w:pPr>
              <w:jc w:val="right"/>
              <w:ind w:right="2455"/>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71"/>
        </w:trPr>
        <w:tc>
          <w:tcPr>
            <w:tcW w:w="3860" w:type="dxa"/>
            <w:vAlign w:val="bottom"/>
          </w:tcPr>
          <w:p>
            <w:pPr>
              <w:spacing w:after="0"/>
              <w:rPr>
                <w:sz w:val="6"/>
                <w:szCs w:val="6"/>
                <w:color w:val="auto"/>
              </w:rPr>
            </w:pPr>
          </w:p>
        </w:tc>
        <w:tc>
          <w:tcPr>
            <w:tcW w:w="29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3860" w:type="dxa"/>
            <w:vAlign w:val="bottom"/>
          </w:tcPr>
          <w:p>
            <w:pPr>
              <w:jc w:val="center"/>
              <w:ind w:left="1701"/>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2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80" w:type="dxa"/>
            <w:vAlign w:val="bottom"/>
          </w:tcPr>
          <w:p>
            <w:pPr>
              <w:jc w:val="center"/>
              <w:ind w:right="2335"/>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309"/>
        </w:trPr>
        <w:tc>
          <w:tcPr>
            <w:tcW w:w="3860" w:type="dxa"/>
            <w:vAlign w:val="bottom"/>
          </w:tcPr>
          <w:p>
            <w:pPr>
              <w:spacing w:after="0"/>
              <w:rPr>
                <w:sz w:val="24"/>
                <w:szCs w:val="24"/>
                <w:color w:val="auto"/>
              </w:rPr>
            </w:pPr>
          </w:p>
        </w:tc>
        <w:tc>
          <w:tcPr>
            <w:tcW w:w="2980" w:type="dxa"/>
            <w:vAlign w:val="bottom"/>
          </w:tcPr>
          <w:p>
            <w:pPr>
              <w:jc w:val="center"/>
              <w:ind w:left="487"/>
              <w:spacing w:after="0"/>
              <w:rPr>
                <w:sz w:val="20"/>
                <w:szCs w:val="20"/>
                <w:color w:val="auto"/>
              </w:rPr>
            </w:pPr>
            <w:r>
              <w:rPr>
                <w:rFonts w:ascii="Arial" w:cs="Arial" w:eastAsia="Arial" w:hAnsi="Arial"/>
                <w:sz w:val="14"/>
                <w:szCs w:val="14"/>
                <w:b w:val="1"/>
                <w:bCs w:val="1"/>
                <w:color w:val="auto"/>
                <w:w w:val="93"/>
              </w:rPr>
              <w:t>(212) 905-1000</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860" w:type="dxa"/>
            <w:vAlign w:val="bottom"/>
          </w:tcPr>
          <w:p>
            <w:pPr>
              <w:spacing w:after="0"/>
              <w:rPr>
                <w:sz w:val="13"/>
                <w:szCs w:val="13"/>
                <w:color w:val="auto"/>
              </w:rPr>
            </w:pPr>
          </w:p>
        </w:tc>
        <w:tc>
          <w:tcPr>
            <w:tcW w:w="35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8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860" w:type="dxa"/>
            <w:vAlign w:val="bottom"/>
          </w:tcPr>
          <w:p>
            <w:pPr>
              <w:ind w:left="60"/>
              <w:spacing w:after="0"/>
              <w:rPr>
                <w:sz w:val="20"/>
                <w:szCs w:val="20"/>
                <w:color w:val="auto"/>
              </w:rPr>
            </w:pPr>
            <w:r>
              <w:rPr>
                <w:rFonts w:ascii="Arial" w:cs="Arial" w:eastAsia="Arial" w:hAnsi="Arial"/>
                <w:sz w:val="14"/>
                <w:szCs w:val="14"/>
                <w:color w:val="auto"/>
              </w:rPr>
              <w:t>Securities registered pursuant to Section 12(b) of the Act:</w:t>
            </w:r>
          </w:p>
        </w:tc>
        <w:tc>
          <w:tcPr>
            <w:tcW w:w="2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386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Title of Each Class</w:t>
            </w:r>
          </w:p>
        </w:tc>
        <w:tc>
          <w:tcPr>
            <w:tcW w:w="35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Trading Symbol(s)</w:t>
            </w:r>
          </w:p>
        </w:tc>
        <w:tc>
          <w:tcPr>
            <w:tcW w:w="340" w:type="dxa"/>
            <w:vAlign w:val="bottom"/>
          </w:tcPr>
          <w:p>
            <w:pPr>
              <w:spacing w:after="0"/>
              <w:rPr>
                <w:sz w:val="24"/>
                <w:szCs w:val="24"/>
                <w:color w:val="auto"/>
              </w:rPr>
            </w:pPr>
          </w:p>
        </w:tc>
        <w:tc>
          <w:tcPr>
            <w:tcW w:w="3520" w:type="dxa"/>
            <w:vAlign w:val="bottom"/>
            <w:gridSpan w:val="2"/>
          </w:tcPr>
          <w:p>
            <w:pPr>
              <w:jc w:val="center"/>
              <w:ind w:right="195"/>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82"/>
        </w:trPr>
        <w:tc>
          <w:tcPr>
            <w:tcW w:w="3860" w:type="dxa"/>
            <w:vAlign w:val="bottom"/>
          </w:tcPr>
          <w:p>
            <w:pPr>
              <w:jc w:val="center"/>
              <w:ind w:right="41"/>
              <w:spacing w:after="0"/>
              <w:rPr>
                <w:sz w:val="20"/>
                <w:szCs w:val="20"/>
                <w:color w:val="auto"/>
              </w:rPr>
            </w:pPr>
            <w:r>
              <w:rPr>
                <w:rFonts w:ascii="Arial" w:cs="Arial" w:eastAsia="Arial" w:hAnsi="Arial"/>
                <w:sz w:val="14"/>
                <w:szCs w:val="14"/>
                <w:color w:val="auto"/>
                <w:w w:val="92"/>
              </w:rPr>
              <w:t>Common Stock, par value $0.001 per share</w:t>
            </w:r>
          </w:p>
        </w:tc>
        <w:tc>
          <w:tcPr>
            <w:tcW w:w="352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PNNT</w:t>
            </w: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980" w:type="dxa"/>
            <w:vAlign w:val="bottom"/>
          </w:tcPr>
          <w:p>
            <w:pPr>
              <w:jc w:val="center"/>
              <w:ind w:right="735"/>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bl>
    <w:p>
      <w:pPr>
        <w:spacing w:after="0" w:line="34" w:lineRule="exact"/>
        <w:rPr>
          <w:sz w:val="24"/>
          <w:szCs w:val="24"/>
          <w:color w:val="auto"/>
        </w:rPr>
      </w:pPr>
    </w:p>
    <w:p>
      <w:pPr>
        <w:ind w:right="160" w:firstLine="468"/>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ind w:right="120" w:firstLine="468"/>
        <w:spacing w:after="0" w:line="25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No</w:t>
      </w:r>
    </w:p>
    <w:p>
      <w:pPr>
        <w:spacing w:after="0" w:line="120" w:lineRule="exact"/>
        <w:rPr>
          <w:sz w:val="24"/>
          <w:szCs w:val="24"/>
          <w:color w:val="auto"/>
        </w:rPr>
      </w:pPr>
    </w:p>
    <w:p>
      <w:pPr>
        <w:ind w:right="180" w:firstLine="46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7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500" w:type="dxa"/>
            <w:vAlign w:val="bottom"/>
          </w:tcPr>
          <w:p>
            <w:pPr>
              <w:ind w:left="2700"/>
              <w:spacing w:after="0"/>
              <w:rPr>
                <w:sz w:val="20"/>
                <w:szCs w:val="20"/>
                <w:color w:val="auto"/>
              </w:rPr>
            </w:pPr>
            <w:r>
              <w:rPr>
                <w:rFonts w:ascii="Arial" w:cs="Arial" w:eastAsia="Arial" w:hAnsi="Arial"/>
                <w:sz w:val="14"/>
                <w:szCs w:val="14"/>
                <w:color w:val="auto"/>
              </w:rPr>
              <w:t>Accelerated filer</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37"/>
        </w:trPr>
        <w:tc>
          <w:tcPr>
            <w:tcW w:w="1760" w:type="dxa"/>
            <w:vAlign w:val="bottom"/>
          </w:tcPr>
          <w:p>
            <w:pPr>
              <w:spacing w:after="0"/>
              <w:rPr>
                <w:sz w:val="20"/>
                <w:szCs w:val="20"/>
                <w:color w:val="auto"/>
              </w:rPr>
            </w:pPr>
            <w:r>
              <w:rPr>
                <w:rFonts w:ascii="Arial" w:cs="Arial" w:eastAsia="Arial" w:hAnsi="Arial"/>
                <w:sz w:val="14"/>
                <w:szCs w:val="14"/>
                <w:color w:val="auto"/>
              </w:rPr>
              <w:t>Non-accelerated filer</w:t>
            </w:r>
          </w:p>
        </w:tc>
        <w:tc>
          <w:tcPr>
            <w:tcW w:w="30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500" w:type="dxa"/>
            <w:vAlign w:val="bottom"/>
          </w:tcPr>
          <w:p>
            <w:pPr>
              <w:ind w:left="2700"/>
              <w:spacing w:after="0"/>
              <w:rPr>
                <w:sz w:val="20"/>
                <w:szCs w:val="20"/>
                <w:color w:val="auto"/>
              </w:rPr>
            </w:pPr>
            <w:r>
              <w:rPr>
                <w:rFonts w:ascii="Arial" w:cs="Arial" w:eastAsia="Arial" w:hAnsi="Arial"/>
                <w:sz w:val="14"/>
                <w:szCs w:val="14"/>
                <w:color w:val="auto"/>
              </w:rPr>
              <w:t>Smaller reporting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78"/>
        </w:trPr>
        <w:tc>
          <w:tcPr>
            <w:tcW w:w="17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0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5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26" w:lineRule="exact"/>
        <w:rPr>
          <w:sz w:val="24"/>
          <w:szCs w:val="24"/>
          <w:color w:val="auto"/>
        </w:rPr>
      </w:pPr>
    </w:p>
    <w:p>
      <w:pPr>
        <w:ind w:right="100" w:firstLine="46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3" w:lineRule="exact"/>
        <w:rPr>
          <w:sz w:val="24"/>
          <w:szCs w:val="24"/>
          <w:color w:val="auto"/>
        </w:rPr>
      </w:pPr>
    </w:p>
    <w:p>
      <w:pPr>
        <w:ind w:left="480"/>
        <w:spacing w:after="0" w:line="161" w:lineRule="exact"/>
        <w:tabs>
          <w:tab w:leader="none" w:pos="71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0" w:lineRule="exact"/>
        <w:rPr>
          <w:sz w:val="24"/>
          <w:szCs w:val="24"/>
          <w:color w:val="auto"/>
        </w:rPr>
      </w:pPr>
    </w:p>
    <w:p>
      <w:pPr>
        <w:ind w:left="480"/>
        <w:spacing w:after="0"/>
        <w:rPr>
          <w:sz w:val="20"/>
          <w:szCs w:val="20"/>
          <w:color w:val="auto"/>
        </w:rPr>
      </w:pPr>
      <w:r>
        <w:rPr>
          <w:rFonts w:ascii="Arial" w:cs="Arial" w:eastAsia="Arial" w:hAnsi="Arial"/>
          <w:sz w:val="14"/>
          <w:szCs w:val="14"/>
          <w:color w:val="auto"/>
        </w:rPr>
        <w:t>The number of shares of the registrant’s common stock, $0.001 par value per share, outstanding as of May 9, 2019 was 67,045,105.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1" w:name="page2"/>
    <w:bookmarkEnd w:id="1"/>
    <w:p>
      <w:pPr>
        <w:jc w:val="center"/>
        <w:ind w:left="460"/>
        <w:spacing w:after="0"/>
        <w:rPr>
          <w:sz w:val="20"/>
          <w:szCs w:val="20"/>
          <w:color w:val="auto"/>
        </w:rPr>
      </w:pPr>
      <w:r>
        <w:rPr>
          <w:rFonts w:ascii="Arial" w:cs="Arial" w:eastAsia="Arial" w:hAnsi="Arial"/>
          <w:sz w:val="14"/>
          <w:szCs w:val="14"/>
          <w:b w:val="1"/>
          <w:bCs w:val="1"/>
          <w:color w:val="auto"/>
        </w:rPr>
        <w:t>PENNANTPARK INVESTMENT CORPORATION</w:t>
      </w:r>
    </w:p>
    <w:p>
      <w:pPr>
        <w:jc w:val="center"/>
        <w:ind w:left="460"/>
        <w:spacing w:after="0" w:line="226" w:lineRule="auto"/>
        <w:rPr>
          <w:sz w:val="20"/>
          <w:szCs w:val="20"/>
          <w:color w:val="auto"/>
        </w:rPr>
      </w:pPr>
      <w:r>
        <w:rPr>
          <w:rFonts w:ascii="Arial" w:cs="Arial" w:eastAsia="Arial" w:hAnsi="Arial"/>
          <w:sz w:val="14"/>
          <w:szCs w:val="14"/>
          <w:b w:val="1"/>
          <w:bCs w:val="1"/>
          <w:color w:val="auto"/>
        </w:rPr>
        <w:t>FORM 10-Q FOR THE QUARTER ENDED MARCH 31, 2019</w:t>
      </w:r>
    </w:p>
    <w:p>
      <w:pPr>
        <w:jc w:val="center"/>
        <w:ind w:left="460"/>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20" w:type="dxa"/>
            <w:vAlign w:val="bottom"/>
          </w:tcPr>
          <w:p>
            <w:pPr>
              <w:ind w:left="35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1940" w:type="dxa"/>
            <w:vAlign w:val="bottom"/>
          </w:tcPr>
          <w:p>
            <w:pPr>
              <w:spacing w:after="0"/>
              <w:rPr>
                <w:sz w:val="16"/>
                <w:szCs w:val="16"/>
                <w:color w:val="auto"/>
              </w:rPr>
            </w:pPr>
          </w:p>
        </w:tc>
      </w:tr>
      <w:tr>
        <w:trPr>
          <w:trHeight w:val="297"/>
        </w:trPr>
        <w:tc>
          <w:tcPr>
            <w:tcW w:w="932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1940" w:type="dxa"/>
            <w:vAlign w:val="bottom"/>
          </w:tcPr>
          <w:p>
            <w:pPr>
              <w:spacing w:after="0"/>
              <w:rPr>
                <w:sz w:val="24"/>
                <w:szCs w:val="24"/>
                <w:color w:val="auto"/>
              </w:rPr>
            </w:pPr>
          </w:p>
        </w:tc>
      </w:tr>
      <w:tr>
        <w:trPr>
          <w:trHeight w:val="338"/>
        </w:trPr>
        <w:tc>
          <w:tcPr>
            <w:tcW w:w="9320" w:type="dxa"/>
            <w:vAlign w:val="bottom"/>
          </w:tcPr>
          <w:p>
            <w:pPr>
              <w:ind w:left="36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March 31, 2019 (unaudited) and September 30, 2018</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338"/>
        </w:trPr>
        <w:tc>
          <w:tcPr>
            <w:tcW w:w="9320" w:type="dxa"/>
            <w:vAlign w:val="bottom"/>
          </w:tcPr>
          <w:p>
            <w:pPr>
              <w:ind w:left="36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and six months ended March 31, 2019 and 2018 (unaudited)</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338"/>
        </w:trPr>
        <w:tc>
          <w:tcPr>
            <w:tcW w:w="9320" w:type="dxa"/>
            <w:vAlign w:val="bottom"/>
          </w:tcPr>
          <w:p>
            <w:pPr>
              <w:ind w:left="36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three and six months ended March 31, 2019 and 2018 (unaudited)</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338"/>
        </w:trPr>
        <w:tc>
          <w:tcPr>
            <w:tcW w:w="9320" w:type="dxa"/>
            <w:vAlign w:val="bottom"/>
          </w:tcPr>
          <w:p>
            <w:pPr>
              <w:ind w:left="36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six months ended March 31, 2019 and 2018 (unaudited)</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338"/>
        </w:trPr>
        <w:tc>
          <w:tcPr>
            <w:tcW w:w="9320" w:type="dxa"/>
            <w:vAlign w:val="bottom"/>
          </w:tcPr>
          <w:p>
            <w:pPr>
              <w:ind w:left="36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March 31, 2019 (unaudited) and September 30, 2018</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338"/>
        </w:trPr>
        <w:tc>
          <w:tcPr>
            <w:tcW w:w="9320" w:type="dxa"/>
            <w:vAlign w:val="bottom"/>
          </w:tcPr>
          <w:p>
            <w:pPr>
              <w:ind w:left="360"/>
              <w:spacing w:after="0"/>
              <w:rPr>
                <w:rFonts w:ascii="Arial" w:cs="Arial" w:eastAsia="Arial" w:hAnsi="Arial"/>
                <w:sz w:val="14"/>
                <w:szCs w:val="14"/>
                <w:u w:val="single" w:color="auto"/>
                <w:color w:val="0000EE"/>
              </w:rPr>
            </w:pPr>
            <w:hyperlink w:anchor="page14">
              <w:r>
                <w:rPr>
                  <w:rFonts w:ascii="Arial" w:cs="Arial" w:eastAsia="Arial" w:hAnsi="Arial"/>
                  <w:sz w:val="14"/>
                  <w:szCs w:val="14"/>
                  <w:u w:val="single" w:color="auto"/>
                  <w:color w:val="0000EE"/>
                </w:rPr>
                <w:t>Notes to Consolidated Financial Statements (unaudited)</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338"/>
        </w:trPr>
        <w:tc>
          <w:tcPr>
            <w:tcW w:w="9320" w:type="dxa"/>
            <w:vAlign w:val="bottom"/>
          </w:tcPr>
          <w:p>
            <w:pPr>
              <w:ind w:left="360"/>
              <w:spacing w:after="0"/>
              <w:rPr>
                <w:rFonts w:ascii="Arial" w:cs="Arial" w:eastAsia="Arial" w:hAnsi="Arial"/>
                <w:sz w:val="14"/>
                <w:szCs w:val="14"/>
                <w:u w:val="single" w:color="auto"/>
                <w:color w:val="0000EE"/>
              </w:rPr>
            </w:pPr>
            <w:hyperlink w:anchor="page25">
              <w:r>
                <w:rPr>
                  <w:rFonts w:ascii="Arial" w:cs="Arial" w:eastAsia="Arial" w:hAnsi="Arial"/>
                  <w:sz w:val="14"/>
                  <w:szCs w:val="14"/>
                  <w:u w:val="single" w:color="auto"/>
                  <w:color w:val="0000EE"/>
                </w:rPr>
                <w:t>Report of Independent Registered Public Accounting Firm</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338"/>
        </w:trPr>
        <w:tc>
          <w:tcPr>
            <w:tcW w:w="9320" w:type="dxa"/>
            <w:vAlign w:val="bottom"/>
          </w:tcPr>
          <w:p>
            <w:pPr>
              <w:spacing w:after="0"/>
              <w:rPr>
                <w:rFonts w:ascii="Arial" w:cs="Arial" w:eastAsia="Arial" w:hAnsi="Arial"/>
                <w:sz w:val="14"/>
                <w:szCs w:val="14"/>
                <w:b w:val="1"/>
                <w:bCs w:val="1"/>
                <w:u w:val="single" w:color="auto"/>
                <w:color w:val="0000EE"/>
              </w:rPr>
            </w:pPr>
            <w:hyperlink w:anchor="page26">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338"/>
        </w:trPr>
        <w:tc>
          <w:tcPr>
            <w:tcW w:w="932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3. Quantitative and Qualitative Disclosures About Market Risk</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338"/>
        </w:trPr>
        <w:tc>
          <w:tcPr>
            <w:tcW w:w="932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4. Controls and Procedures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38"/>
        </w:trPr>
        <w:tc>
          <w:tcPr>
            <w:tcW w:w="9320" w:type="dxa"/>
            <w:vAlign w:val="bottom"/>
          </w:tcPr>
          <w:p>
            <w:pPr>
              <w:ind w:left="4300"/>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PART II. OTHER INFORMATION</w:t>
              </w:r>
            </w:hyperlink>
          </w:p>
        </w:tc>
        <w:tc>
          <w:tcPr>
            <w:tcW w:w="1940" w:type="dxa"/>
            <w:vAlign w:val="bottom"/>
          </w:tcPr>
          <w:p>
            <w:pPr>
              <w:spacing w:after="0"/>
              <w:rPr>
                <w:sz w:val="24"/>
                <w:szCs w:val="24"/>
                <w:color w:val="auto"/>
              </w:rPr>
            </w:pPr>
          </w:p>
        </w:tc>
      </w:tr>
      <w:tr>
        <w:trPr>
          <w:trHeight w:val="337"/>
        </w:trPr>
        <w:tc>
          <w:tcPr>
            <w:tcW w:w="932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1. Legal Proceedings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338"/>
        </w:trPr>
        <w:tc>
          <w:tcPr>
            <w:tcW w:w="932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1A. Risk Factors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338"/>
        </w:trPr>
        <w:tc>
          <w:tcPr>
            <w:tcW w:w="932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2. Unregistered Sales of Equity Securities and Use of Proceeds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338"/>
        </w:trPr>
        <w:tc>
          <w:tcPr>
            <w:tcW w:w="932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3. Defaults Upon Senior Securities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338"/>
        </w:trPr>
        <w:tc>
          <w:tcPr>
            <w:tcW w:w="932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4. Mine Safety Disclosures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338"/>
        </w:trPr>
        <w:tc>
          <w:tcPr>
            <w:tcW w:w="932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5. Other Information</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338"/>
        </w:trPr>
        <w:tc>
          <w:tcPr>
            <w:tcW w:w="9320" w:type="dxa"/>
            <w:vAlign w:val="bottom"/>
          </w:tcPr>
          <w:p>
            <w:pPr>
              <w:spacing w:after="0"/>
              <w:rPr>
                <w:rFonts w:ascii="Arial" w:cs="Arial" w:eastAsia="Arial" w:hAnsi="Arial"/>
                <w:sz w:val="14"/>
                <w:szCs w:val="14"/>
                <w:b w:val="1"/>
                <w:bCs w:val="1"/>
                <w:u w:val="single" w:color="auto"/>
                <w:color w:val="0000EE"/>
              </w:rPr>
            </w:pPr>
            <w:hyperlink w:anchor="page37">
              <w:r>
                <w:rPr>
                  <w:rFonts w:ascii="Arial" w:cs="Arial" w:eastAsia="Arial" w:hAnsi="Arial"/>
                  <w:sz w:val="14"/>
                  <w:szCs w:val="14"/>
                  <w:b w:val="1"/>
                  <w:bCs w:val="1"/>
                  <w:u w:val="single" w:color="auto"/>
                  <w:color w:val="0000EE"/>
                </w:rPr>
                <w:t>Item 6. Exhibits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338"/>
        </w:trPr>
        <w:tc>
          <w:tcPr>
            <w:tcW w:w="9320" w:type="dxa"/>
            <w:vAlign w:val="bottom"/>
          </w:tcPr>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SIGNATURES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661"/>
        </w:trPr>
        <w:tc>
          <w:tcPr>
            <w:tcW w:w="9320" w:type="dxa"/>
            <w:vAlign w:val="bottom"/>
          </w:tcPr>
          <w:p>
            <w:pPr>
              <w:ind w:left="5580"/>
              <w:spacing w:after="0"/>
              <w:rPr>
                <w:sz w:val="20"/>
                <w:szCs w:val="20"/>
                <w:color w:val="auto"/>
              </w:rPr>
            </w:pPr>
            <w:r>
              <w:rPr>
                <w:rFonts w:ascii="Arial" w:cs="Arial" w:eastAsia="Arial" w:hAnsi="Arial"/>
                <w:sz w:val="14"/>
                <w:szCs w:val="14"/>
                <w:color w:val="auto"/>
              </w:rPr>
              <w:t>2</w:t>
            </w:r>
          </w:p>
        </w:tc>
        <w:tc>
          <w:tcPr>
            <w:tcW w:w="1940" w:type="dxa"/>
            <w:vAlign w:val="bottom"/>
          </w:tcPr>
          <w:p>
            <w:pPr>
              <w:spacing w:after="0"/>
              <w:rPr>
                <w:sz w:val="24"/>
                <w:szCs w:val="24"/>
                <w:color w:val="auto"/>
              </w:rPr>
            </w:pPr>
          </w:p>
        </w:tc>
      </w:tr>
      <w:tr>
        <w:trPr>
          <w:trHeight w:val="100"/>
        </w:trPr>
        <w:tc>
          <w:tcPr>
            <w:tcW w:w="932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89"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context suggest otherwise, the terms “Company,” “we,” “our” or “us” refer to PennantPark Investment Corporation and its consolidated subsidiaries; “PennantPark Investment” refers to only PennantPark Investment Corporation; “our SBIC Funds” refers collectively to our consolidated subsidiaries, PennantPark SBIC LP, or SBIC I, and its general partner, PennantPark SBIC GP, LLC, and PennantPark SBIC II LP, or SBIC II, and its general partner, PennantPark SBIC GP II, LLC; “Funding I” refers to PennantPark Investment Funding I, LLC; “Taxable Subsidiaries” refers to PNNT Cascade Environmental Holdings, LLC, PNNT CI (Galls) Prime Investment Holdings, LLC, PNNT ecoserve, LLC, PNNT Investment Holdings, LLC and PNNT New Gulf Resources, LLC;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“BNP Credit Facility” refers to our revolving credit facility with BNP Paribas; “SunTrust Credit Facility” refers to our multi-currency, senior secured revolving credit facility with SunTrust Bank, as amended and restated; “Credit Facilities” refers to the BNP Credit Facility and SunTrust Credit Facility collectively; “2019 Notes” refers to our 4.50% notes due 2019; “BDC” refers to a business development company under the Investment Company Act of 1940, as amended, or the “1940 Act”; “Code” refers to the Internal Revenue Code of 1986, as amended; and “RIC” refers to a regulated investment company under the Code. References to our portfolio, our investments and our business include investments we make through our SBIC Funds and other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80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7020" w:type="dxa"/>
            <w:vAlign w:val="bottom"/>
          </w:tcPr>
          <w:p>
            <w:pPr>
              <w:ind w:left="580"/>
              <w:spacing w:after="0"/>
              <w:rPr>
                <w:sz w:val="20"/>
                <w:szCs w:val="20"/>
                <w:color w:val="auto"/>
              </w:rPr>
            </w:pPr>
            <w:r>
              <w:rPr>
                <w:rFonts w:ascii="Arial" w:cs="Arial" w:eastAsia="Arial" w:hAnsi="Arial"/>
                <w:sz w:val="14"/>
                <w:szCs w:val="14"/>
                <w:b w:val="1"/>
                <w:bCs w:val="1"/>
                <w:color w:val="auto"/>
              </w:rPr>
              <w:t>Consolidated Financial Statements</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800" w:type="dxa"/>
            <w:vAlign w:val="bottom"/>
          </w:tcPr>
          <w:p>
            <w:pPr>
              <w:spacing w:after="0"/>
              <w:rPr>
                <w:sz w:val="22"/>
                <w:szCs w:val="22"/>
                <w:color w:val="auto"/>
              </w:rPr>
            </w:pPr>
          </w:p>
        </w:tc>
        <w:tc>
          <w:tcPr>
            <w:tcW w:w="7240" w:type="dxa"/>
            <w:vAlign w:val="bottom"/>
            <w:gridSpan w:val="2"/>
          </w:tcPr>
          <w:p>
            <w:pPr>
              <w:ind w:left="2440"/>
              <w:spacing w:after="0"/>
              <w:rPr>
                <w:sz w:val="20"/>
                <w:szCs w:val="20"/>
                <w:color w:val="auto"/>
              </w:rPr>
            </w:pPr>
            <w:r>
              <w:rPr>
                <w:rFonts w:ascii="Arial" w:cs="Arial" w:eastAsia="Arial" w:hAnsi="Arial"/>
                <w:sz w:val="14"/>
                <w:szCs w:val="14"/>
                <w:b w:val="1"/>
                <w:bCs w:val="1"/>
                <w:color w:val="auto"/>
              </w:rPr>
              <w:t>PENNANTPARK INVESTMENT CORPORATION AND SUBSIDIARIES</w:t>
            </w:r>
          </w:p>
        </w:tc>
        <w:tc>
          <w:tcPr>
            <w:tcW w:w="1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800" w:type="dxa"/>
            <w:vAlign w:val="bottom"/>
          </w:tcPr>
          <w:p>
            <w:pPr>
              <w:spacing w:after="0"/>
              <w:rPr>
                <w:sz w:val="16"/>
                <w:szCs w:val="16"/>
                <w:color w:val="auto"/>
              </w:rPr>
            </w:pPr>
          </w:p>
        </w:tc>
        <w:tc>
          <w:tcPr>
            <w:tcW w:w="7020" w:type="dxa"/>
            <w:vAlign w:val="bottom"/>
          </w:tcPr>
          <w:p>
            <w:pPr>
              <w:ind w:left="2640"/>
              <w:spacing w:after="0"/>
              <w:rPr>
                <w:sz w:val="20"/>
                <w:szCs w:val="20"/>
                <w:color w:val="auto"/>
              </w:rPr>
            </w:pPr>
            <w:r>
              <w:rPr>
                <w:rFonts w:ascii="Arial" w:cs="Arial" w:eastAsia="Arial" w:hAnsi="Arial"/>
                <w:sz w:val="14"/>
                <w:szCs w:val="14"/>
                <w:b w:val="1"/>
                <w:bCs w:val="1"/>
                <w:color w:val="auto"/>
              </w:rPr>
              <w:t>CONSOLIDATED STATEMENTS OF ASSETS AND LIABILITIES</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6"/>
        </w:trPr>
        <w:tc>
          <w:tcPr>
            <w:tcW w:w="80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March 31, 2019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September 30, 2018</w:t>
            </w: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702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128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40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Investments at fair value</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(cost—$1,045,728,279 and $896,720,950, respectively)</w:t>
            </w:r>
          </w:p>
        </w:tc>
        <w:tc>
          <w:tcPr>
            <w:tcW w:w="220" w:type="dxa"/>
            <w:vAlign w:val="bottom"/>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1,040,563,420</w:t>
            </w:r>
          </w:p>
        </w:tc>
        <w:tc>
          <w:tcPr>
            <w:tcW w:w="280" w:type="dxa"/>
            <w:vAlign w:val="bottom"/>
            <w:shd w:val="clear" w:color="auto" w:fill="CCECFF"/>
          </w:tcPr>
          <w:p>
            <w:pPr>
              <w:spacing w:after="0"/>
              <w:rPr>
                <w:sz w:val="14"/>
                <w:szCs w:val="14"/>
                <w:color w:val="auto"/>
              </w:rPr>
            </w:pPr>
          </w:p>
        </w:tc>
        <w:tc>
          <w:tcPr>
            <w:tcW w:w="1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905,271,258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ind w:left="260"/>
              <w:spacing w:after="0"/>
              <w:rPr>
                <w:sz w:val="20"/>
                <w:szCs w:val="20"/>
                <w:color w:val="auto"/>
              </w:rPr>
            </w:pPr>
            <w:r>
              <w:rPr>
                <w:rFonts w:ascii="Arial" w:cs="Arial" w:eastAsia="Arial" w:hAnsi="Arial"/>
                <w:sz w:val="14"/>
                <w:szCs w:val="14"/>
                <w:color w:val="auto"/>
              </w:rPr>
              <w:t>Non-controlled, affiliated investments (cost—$74,369,962 and $91,520,908, respectively)</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35,304,585</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78,078,331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Controlled, affiliated investments (cost—$276,861,901 and $255,574,317, respectively)</w:t>
            </w:r>
          </w:p>
        </w:tc>
        <w:tc>
          <w:tcPr>
            <w:tcW w:w="220" w:type="dxa"/>
            <w:vAlign w:val="bottom"/>
            <w:tcBorders>
              <w:bottom w:val="single" w:sz="8" w:color="auto"/>
            </w:tcBorders>
            <w:shd w:val="clear" w:color="auto" w:fill="CCECFF"/>
          </w:tcPr>
          <w:p>
            <w:pPr>
              <w:spacing w:after="0"/>
              <w:rPr>
                <w:sz w:val="14"/>
                <w:szCs w:val="14"/>
                <w:color w:val="auto"/>
              </w:rPr>
            </w:pPr>
          </w:p>
        </w:tc>
        <w:tc>
          <w:tcPr>
            <w:tcW w:w="12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168,804,208</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148,735,885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82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Total of investments (cost—$1,396,960,142 and $1,243,816,175, respectively)</w:t>
            </w:r>
          </w:p>
        </w:tc>
        <w:tc>
          <w:tcPr>
            <w:tcW w:w="220" w:type="dxa"/>
            <w:vAlign w:val="bottom"/>
          </w:tcPr>
          <w:p>
            <w:pPr>
              <w:spacing w:after="0"/>
              <w:rPr>
                <w:sz w:val="13"/>
                <w:szCs w:val="13"/>
                <w:color w:val="auto"/>
              </w:rPr>
            </w:pPr>
          </w:p>
        </w:tc>
        <w:tc>
          <w:tcPr>
            <w:tcW w:w="1280" w:type="dxa"/>
            <w:vAlign w:val="bottom"/>
          </w:tcPr>
          <w:p>
            <w:pPr>
              <w:jc w:val="right"/>
              <w:spacing w:after="0" w:line="155" w:lineRule="exact"/>
              <w:rPr>
                <w:sz w:val="20"/>
                <w:szCs w:val="20"/>
                <w:color w:val="auto"/>
              </w:rPr>
            </w:pPr>
            <w:r>
              <w:rPr>
                <w:rFonts w:ascii="Arial" w:cs="Arial" w:eastAsia="Arial" w:hAnsi="Arial"/>
                <w:sz w:val="14"/>
                <w:szCs w:val="14"/>
                <w:color w:val="auto"/>
              </w:rPr>
              <w:t>1,244,672,213</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1,132,085,474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Cash and cash equivalents (cost—$30,313,035 and $19,543,625, respectively)</w:t>
            </w:r>
          </w:p>
        </w:tc>
        <w:tc>
          <w:tcPr>
            <w:tcW w:w="22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30,307,029</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19,506,154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Interest receivable</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6,937,338</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7,606,964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Prepaid expenses and other assets</w:t>
            </w:r>
          </w:p>
        </w:tc>
        <w:tc>
          <w:tcPr>
            <w:tcW w:w="220" w:type="dxa"/>
            <w:vAlign w:val="bottom"/>
            <w:tcBorders>
              <w:bottom w:val="single" w:sz="8" w:color="auto"/>
            </w:tcBorders>
            <w:shd w:val="clear" w:color="auto" w:fill="CCECFF"/>
          </w:tcPr>
          <w:p>
            <w:pPr>
              <w:spacing w:after="0"/>
              <w:rPr>
                <w:sz w:val="14"/>
                <w:szCs w:val="14"/>
                <w:color w:val="auto"/>
              </w:rPr>
            </w:pPr>
          </w:p>
        </w:tc>
        <w:tc>
          <w:tcPr>
            <w:tcW w:w="12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271,393</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920,235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Borders>
              <w:bottom w:val="single" w:sz="8" w:color="CCECFF"/>
            </w:tcBorders>
          </w:tcPr>
          <w:p>
            <w:pPr>
              <w:spacing w:after="0"/>
              <w:rPr>
                <w:sz w:val="13"/>
                <w:szCs w:val="13"/>
                <w:color w:val="auto"/>
              </w:rPr>
            </w:pPr>
          </w:p>
        </w:tc>
        <w:tc>
          <w:tcPr>
            <w:tcW w:w="7020" w:type="dxa"/>
            <w:vAlign w:val="bottom"/>
            <w:tcBorders>
              <w:bottom w:val="single" w:sz="8" w:color="CCECFF"/>
            </w:tcBorders>
          </w:tcPr>
          <w:p>
            <w:pPr>
              <w:ind w:left="200"/>
              <w:spacing w:after="0" w:line="155" w:lineRule="exact"/>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1,282,187,973</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1,160,118,827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70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2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Distributions payable</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12,068,119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12,429,712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22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4,480,173</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BNP Credit Facility payable (cost—$142,500,000 and zero, respectively) (See Notes 5 and 10)</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141,787,500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SunTrust Credit Facility payable (cost—$389,136,000 and $80,520,000, respectively) (See Notes 5 and 10)</w:t>
            </w:r>
          </w:p>
        </w:tc>
        <w:tc>
          <w:tcPr>
            <w:tcW w:w="22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378,569,195</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77,645,830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2019 Notes payable (par— zero and $250,000,000, respectively) (See Notes 5 and 10)</w:t>
            </w:r>
          </w:p>
        </w:tc>
        <w:tc>
          <w:tcPr>
            <w:tcW w:w="220" w:type="dxa"/>
            <w:vAlign w:val="bottom"/>
          </w:tcPr>
          <w:p>
            <w:pPr>
              <w:spacing w:after="0"/>
              <w:rPr>
                <w:sz w:val="14"/>
                <w:szCs w:val="14"/>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251,322,500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SBA debentures payable, net (par—$150,000,000 and $180,000,000, respectively) (See Notes 5 and 10)</w:t>
            </w:r>
          </w:p>
        </w:tc>
        <w:tc>
          <w:tcPr>
            <w:tcW w:w="22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145,894,687</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175,373,229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Base management fee payable, net (See Note 3)</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4,510,829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4,086,831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Performance-based incentive fee payable, net (See Note 3)</w:t>
            </w:r>
          </w:p>
        </w:tc>
        <w:tc>
          <w:tcPr>
            <w:tcW w:w="22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8,340</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2,964,265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Interest payable on debt</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2,443,285</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6,576,393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220" w:type="dxa"/>
            <w:vAlign w:val="bottom"/>
            <w:tcBorders>
              <w:bottom w:val="single" w:sz="8" w:color="auto"/>
            </w:tcBorders>
            <w:shd w:val="clear" w:color="auto" w:fill="CCECFF"/>
          </w:tcPr>
          <w:p>
            <w:pPr>
              <w:spacing w:after="0"/>
              <w:rPr>
                <w:sz w:val="14"/>
                <w:szCs w:val="14"/>
                <w:color w:val="auto"/>
              </w:rPr>
            </w:pPr>
          </w:p>
        </w:tc>
        <w:tc>
          <w:tcPr>
            <w:tcW w:w="12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277,054</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818,172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Borders>
              <w:bottom w:val="single" w:sz="8" w:color="CCECFF"/>
            </w:tcBorders>
          </w:tcPr>
          <w:p>
            <w:pPr>
              <w:spacing w:after="0"/>
              <w:rPr>
                <w:sz w:val="13"/>
                <w:szCs w:val="13"/>
                <w:color w:val="auto"/>
              </w:rPr>
            </w:pPr>
          </w:p>
        </w:tc>
        <w:tc>
          <w:tcPr>
            <w:tcW w:w="7020" w:type="dxa"/>
            <w:vAlign w:val="bottom"/>
            <w:tcBorders>
              <w:bottom w:val="single" w:sz="8" w:color="CCECFF"/>
            </w:tcBorders>
          </w:tcPr>
          <w:p>
            <w:pPr>
              <w:ind w:left="200"/>
              <w:spacing w:after="0" w:line="155" w:lineRule="exact"/>
              <w:rPr>
                <w:sz w:val="20"/>
                <w:szCs w:val="20"/>
                <w:color w:val="auto"/>
              </w:rPr>
            </w:pPr>
            <w:r>
              <w:rPr>
                <w:rFonts w:ascii="Arial" w:cs="Arial" w:eastAsia="Arial" w:hAnsi="Arial"/>
                <w:sz w:val="14"/>
                <w:szCs w:val="14"/>
                <w:b w:val="1"/>
                <w:bCs w:val="1"/>
                <w:color w:val="auto"/>
              </w:rPr>
              <w:t>Total liabilities</w:t>
            </w: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690,039,182</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531,216,932</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Commitments and contingencies (See Note 11)</w:t>
            </w:r>
          </w:p>
        </w:tc>
        <w:tc>
          <w:tcPr>
            <w:tcW w:w="220" w:type="dxa"/>
            <w:vAlign w:val="bottom"/>
            <w:shd w:val="clear" w:color="auto" w:fill="CCECFF"/>
          </w:tcPr>
          <w:p>
            <w:pPr>
              <w:spacing w:after="0"/>
              <w:rPr>
                <w:sz w:val="13"/>
                <w:szCs w:val="13"/>
                <w:color w:val="auto"/>
              </w:rPr>
            </w:pPr>
          </w:p>
        </w:tc>
        <w:tc>
          <w:tcPr>
            <w:tcW w:w="12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20"/>
                <w:szCs w:val="20"/>
                <w:color w:val="auto"/>
              </w:rPr>
            </w:pPr>
            <w:r>
              <w:rPr>
                <w:rFonts w:ascii="Arial" w:cs="Arial" w:eastAsia="Arial" w:hAnsi="Arial"/>
                <w:sz w:val="14"/>
                <w:szCs w:val="14"/>
                <w:b w:val="1"/>
                <w:bCs w:val="1"/>
                <w:color w:val="auto"/>
              </w:rPr>
              <w:t>Net assets</w:t>
            </w:r>
          </w:p>
        </w:tc>
        <w:tc>
          <w:tcPr>
            <w:tcW w:w="7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820" w:type="dxa"/>
            <w:vAlign w:val="bottom"/>
            <w:gridSpan w:val="2"/>
            <w:shd w:val="clear" w:color="auto" w:fill="CCECFF"/>
          </w:tcPr>
          <w:p>
            <w:pPr>
              <w:spacing w:after="0" w:line="143" w:lineRule="exact"/>
              <w:rPr>
                <w:sz w:val="20"/>
                <w:szCs w:val="20"/>
                <w:color w:val="auto"/>
              </w:rPr>
            </w:pPr>
            <w:r>
              <w:rPr>
                <w:rFonts w:ascii="Arial" w:cs="Arial" w:eastAsia="Arial" w:hAnsi="Arial"/>
                <w:sz w:val="14"/>
                <w:szCs w:val="14"/>
                <w:color w:val="auto"/>
              </w:rPr>
              <w:t>Common stock, 67,045,105 and 69,053,958 shares issued and outstanding, respectively</w:t>
            </w:r>
          </w:p>
        </w:tc>
        <w:tc>
          <w:tcPr>
            <w:tcW w:w="220" w:type="dxa"/>
            <w:vAlign w:val="bottom"/>
            <w:shd w:val="clear" w:color="auto" w:fill="CCECFF"/>
          </w:tcPr>
          <w:p>
            <w:pPr>
              <w:spacing w:after="0"/>
              <w:rPr>
                <w:sz w:val="12"/>
                <w:szCs w:val="12"/>
                <w:color w:val="auto"/>
              </w:rPr>
            </w:pPr>
          </w:p>
        </w:tc>
        <w:tc>
          <w:tcPr>
            <w:tcW w:w="12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20" w:type="dxa"/>
            <w:vAlign w:val="bottom"/>
            <w:gridSpan w:val="2"/>
            <w:shd w:val="clear" w:color="auto" w:fill="CCECFF"/>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22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67,045</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69,054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Paid-in capital in excess of par value</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789,259,509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803,729,220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Accumulated distributable net loss</w:t>
            </w:r>
          </w:p>
        </w:tc>
        <w:tc>
          <w:tcPr>
            <w:tcW w:w="2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(197,177,763)</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(174,896,379)</w:t>
            </w:r>
          </w:p>
        </w:tc>
        <w:tc>
          <w:tcPr>
            <w:tcW w:w="0" w:type="dxa"/>
            <w:vAlign w:val="bottom"/>
          </w:tcPr>
          <w:p>
            <w:pPr>
              <w:spacing w:after="0"/>
              <w:rPr>
                <w:sz w:val="1"/>
                <w:szCs w:val="1"/>
                <w:color w:val="auto"/>
              </w:rPr>
            </w:pPr>
          </w:p>
        </w:tc>
      </w:tr>
      <w:tr>
        <w:trPr>
          <w:trHeight w:val="156"/>
        </w:trPr>
        <w:tc>
          <w:tcPr>
            <w:tcW w:w="800" w:type="dxa"/>
            <w:vAlign w:val="bottom"/>
            <w:tcBorders>
              <w:bottom w:val="single" w:sz="8" w:color="CCECFF"/>
            </w:tcBorders>
          </w:tcPr>
          <w:p>
            <w:pPr>
              <w:spacing w:after="0"/>
              <w:rPr>
                <w:sz w:val="13"/>
                <w:szCs w:val="13"/>
                <w:color w:val="auto"/>
              </w:rPr>
            </w:pPr>
          </w:p>
        </w:tc>
        <w:tc>
          <w:tcPr>
            <w:tcW w:w="7020" w:type="dxa"/>
            <w:vAlign w:val="bottom"/>
            <w:tcBorders>
              <w:bottom w:val="single" w:sz="8" w:color="CCECFF"/>
            </w:tcBorders>
          </w:tcPr>
          <w:p>
            <w:pPr>
              <w:ind w:left="200"/>
              <w:spacing w:after="0" w:line="155" w:lineRule="exact"/>
              <w:rPr>
                <w:sz w:val="20"/>
                <w:szCs w:val="20"/>
                <w:color w:val="auto"/>
              </w:rPr>
            </w:pPr>
            <w:r>
              <w:rPr>
                <w:rFonts w:ascii="Arial" w:cs="Arial" w:eastAsia="Arial" w:hAnsi="Arial"/>
                <w:sz w:val="14"/>
                <w:szCs w:val="14"/>
                <w:b w:val="1"/>
                <w:bCs w:val="1"/>
                <w:color w:val="auto"/>
              </w:rPr>
              <w:t>Total net assets</w:t>
            </w: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592,148,791</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628,901,895</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tcBorders>
              <w:bottom w:val="single" w:sz="8" w:color="CCECFF"/>
            </w:tcBorders>
            <w:shd w:val="clear" w:color="auto" w:fill="CCECFF"/>
          </w:tcPr>
          <w:p>
            <w:pPr>
              <w:spacing w:after="0"/>
              <w:rPr>
                <w:sz w:val="13"/>
                <w:szCs w:val="13"/>
                <w:color w:val="auto"/>
              </w:rPr>
            </w:pPr>
          </w:p>
        </w:tc>
        <w:tc>
          <w:tcPr>
            <w:tcW w:w="7020" w:type="dxa"/>
            <w:vAlign w:val="bottom"/>
            <w:tcBorders>
              <w:bottom w:val="single" w:sz="8" w:color="CCECFF"/>
            </w:tcBorders>
            <w:shd w:val="clear" w:color="auto" w:fill="CCECFF"/>
          </w:tcPr>
          <w:p>
            <w:pPr>
              <w:ind w:left="20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220" w:type="dxa"/>
            <w:vAlign w:val="bottom"/>
            <w:tcBorders>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1,282,187,973</w:t>
            </w:r>
          </w:p>
        </w:tc>
        <w:tc>
          <w:tcPr>
            <w:tcW w:w="280" w:type="dxa"/>
            <w:vAlign w:val="bottom"/>
            <w:tcBorders>
              <w:bottom w:val="single" w:sz="8" w:color="CCECFF"/>
            </w:tcBorders>
            <w:shd w:val="clear" w:color="auto" w:fill="CCECFF"/>
          </w:tcPr>
          <w:p>
            <w:pPr>
              <w:spacing w:after="0"/>
              <w:rPr>
                <w:sz w:val="13"/>
                <w:szCs w:val="13"/>
                <w:color w:val="auto"/>
              </w:rPr>
            </w:pPr>
          </w:p>
        </w:tc>
        <w:tc>
          <w:tcPr>
            <w:tcW w:w="2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1,160,118,827</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20" w:type="dxa"/>
            <w:vAlign w:val="bottom"/>
            <w:gridSpan w:val="2"/>
            <w:vMerge w:val="continue"/>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8.83</w:t>
            </w:r>
          </w:p>
        </w:tc>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5"/>
              </w:rPr>
              <w:t>Three Months Ended March 31,</w:t>
            </w:r>
          </w:p>
        </w:tc>
        <w:tc>
          <w:tcPr>
            <w:tcW w:w="160" w:type="dxa"/>
            <w:vAlign w:val="bottom"/>
          </w:tcPr>
          <w:p>
            <w:pPr>
              <w:spacing w:after="0"/>
              <w:rPr>
                <w:sz w:val="14"/>
                <w:szCs w:val="14"/>
                <w:color w:val="auto"/>
              </w:rPr>
            </w:pPr>
          </w:p>
        </w:tc>
        <w:tc>
          <w:tcPr>
            <w:tcW w:w="22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7"/>
              </w:rPr>
              <w:t>Six Months Ended March 31,</w:t>
            </w:r>
          </w:p>
        </w:tc>
        <w:tc>
          <w:tcPr>
            <w:tcW w:w="0" w:type="dxa"/>
            <w:vAlign w:val="bottom"/>
          </w:tcPr>
          <w:p>
            <w:pPr>
              <w:spacing w:after="0"/>
              <w:rPr>
                <w:sz w:val="1"/>
                <w:szCs w:val="1"/>
                <w:color w:val="auto"/>
              </w:rPr>
            </w:pPr>
          </w:p>
        </w:tc>
      </w:tr>
      <w:tr>
        <w:trPr>
          <w:trHeight w:val="156"/>
        </w:trPr>
        <w:tc>
          <w:tcPr>
            <w:tcW w:w="5920" w:type="dxa"/>
            <w:vAlign w:val="bottom"/>
            <w:tcBorders>
              <w:bottom w:val="single" w:sz="8" w:color="CCECFF"/>
            </w:tcBorders>
          </w:tcPr>
          <w:p>
            <w:pPr>
              <w:spacing w:after="0"/>
              <w:rPr>
                <w:sz w:val="13"/>
                <w:szCs w:val="13"/>
                <w:color w:val="auto"/>
              </w:rPr>
            </w:pPr>
          </w:p>
        </w:tc>
        <w:tc>
          <w:tcPr>
            <w:tcW w:w="48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4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58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22,938,612</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19,734,120</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46,447,193</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41,117,339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Payment-in-kind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2,626,193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1,675,075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3,872,209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2,959,984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1,016,381</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2,486,424</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1,634,452</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4,073,066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From non-controlled, affiliated investments: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3,798</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1,376,065</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108,903</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2,591,899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Payment-in-kind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234,349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108,625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1,807,655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spacing w:after="0"/>
              <w:rPr>
                <w:sz w:val="20"/>
                <w:szCs w:val="20"/>
                <w:color w:val="auto"/>
              </w:rPr>
            </w:pPr>
            <w:r>
              <w:rPr>
                <w:rFonts w:ascii="Arial" w:cs="Arial" w:eastAsia="Arial" w:hAnsi="Arial"/>
                <w:sz w:val="14"/>
                <w:szCs w:val="14"/>
                <w:color w:val="auto"/>
              </w:rPr>
              <w:t>From controlled, affiliated investments:</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Interest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2,048,653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970,264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3,837,256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1,450,694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Payment-in-kind</w:t>
            </w:r>
          </w:p>
        </w:tc>
        <w:tc>
          <w:tcPr>
            <w:tcW w:w="48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54,116</w:t>
            </w:r>
          </w:p>
        </w:tc>
        <w:tc>
          <w:tcPr>
            <w:tcW w:w="22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749,312</w:t>
            </w:r>
          </w:p>
        </w:tc>
        <w:tc>
          <w:tcPr>
            <w:tcW w:w="22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59,116</w:t>
            </w:r>
          </w:p>
        </w:tc>
        <w:tc>
          <w:tcPr>
            <w:tcW w:w="2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1,893,397</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48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28,687,753</w:t>
            </w:r>
          </w:p>
        </w:tc>
        <w:tc>
          <w:tcPr>
            <w:tcW w:w="22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27,225,609</w:t>
            </w:r>
          </w:p>
        </w:tc>
        <w:tc>
          <w:tcPr>
            <w:tcW w:w="22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56,067,754</w:t>
            </w:r>
          </w:p>
        </w:tc>
        <w:tc>
          <w:tcPr>
            <w:tcW w:w="2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55,894,034</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4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Base management fee (See Note 3)</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4,510,830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3,873,739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8,930,092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9,608,876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8,340</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2,845,616</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2,675,610</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6,030,820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Interest and expenses on debt (See Note 10)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7,032,019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5,940,893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13,310,866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11,798,271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532,625</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521,625</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1,054,250</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1,043,250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48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692,177</w:t>
            </w:r>
          </w:p>
        </w:tc>
        <w:tc>
          <w:tcPr>
            <w:tcW w:w="220" w:type="dxa"/>
            <w:vAlign w:val="bottom"/>
            <w:tcBorders>
              <w:bottom w:val="single" w:sz="8" w:color="CCEC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628,290</w:t>
            </w:r>
          </w:p>
        </w:tc>
        <w:tc>
          <w:tcPr>
            <w:tcW w:w="22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1,310,544</w:t>
            </w:r>
          </w:p>
        </w:tc>
        <w:tc>
          <w:tcPr>
            <w:tcW w:w="22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1,256,580</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Expenses before Management Fees waiver and provision for taxes</w:t>
            </w:r>
          </w:p>
        </w:tc>
        <w:tc>
          <w:tcPr>
            <w:tcW w:w="48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12,775,991</w:t>
            </w:r>
          </w:p>
        </w:tc>
        <w:tc>
          <w:tcPr>
            <w:tcW w:w="22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13,810,163</w:t>
            </w:r>
          </w:p>
        </w:tc>
        <w:tc>
          <w:tcPr>
            <w:tcW w:w="2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27,281,362</w:t>
            </w:r>
          </w:p>
        </w:tc>
        <w:tc>
          <w:tcPr>
            <w:tcW w:w="2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29,737,797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20" w:type="dxa"/>
            <w:vAlign w:val="bottom"/>
          </w:tcPr>
          <w:p>
            <w:pPr>
              <w:ind w:left="260"/>
              <w:spacing w:after="0" w:line="155" w:lineRule="exact"/>
              <w:rPr>
                <w:sz w:val="20"/>
                <w:szCs w:val="20"/>
                <w:color w:val="auto"/>
              </w:rPr>
            </w:pPr>
            <w:r>
              <w:rPr>
                <w:rFonts w:ascii="Arial" w:cs="Arial" w:eastAsia="Arial" w:hAnsi="Arial"/>
                <w:sz w:val="14"/>
                <w:szCs w:val="14"/>
                <w:color w:val="auto"/>
              </w:rPr>
              <w:t>Debt issuance costs (See Notes 5 and 10)</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2,696,498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2,696,498</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Make-whole premium (See Notes 5 and 10)</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2,162,526</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2,162,526</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Management Fees waiver (See Note 3)</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(1,427,253)</w:t>
            </w: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Provision for taxes</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300,000</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600,000</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9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expenses</w:t>
            </w:r>
          </w:p>
        </w:tc>
        <w:tc>
          <w:tcPr>
            <w:tcW w:w="48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17,935,015</w:t>
            </w:r>
          </w:p>
        </w:tc>
        <w:tc>
          <w:tcPr>
            <w:tcW w:w="220" w:type="dxa"/>
            <w:vAlign w:val="bottom"/>
            <w:tcBorders>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13,810,163</w:t>
            </w:r>
          </w:p>
        </w:tc>
        <w:tc>
          <w:tcPr>
            <w:tcW w:w="22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32,740,386</w:t>
            </w:r>
          </w:p>
        </w:tc>
        <w:tc>
          <w:tcPr>
            <w:tcW w:w="22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28,310,544</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48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10,752,738</w:t>
            </w:r>
          </w:p>
        </w:tc>
        <w:tc>
          <w:tcPr>
            <w:tcW w:w="22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13,415,446</w:t>
            </w:r>
          </w:p>
        </w:tc>
        <w:tc>
          <w:tcPr>
            <w:tcW w:w="2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23,327,368</w:t>
            </w:r>
          </w:p>
        </w:tc>
        <w:tc>
          <w:tcPr>
            <w:tcW w:w="2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27,583,490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20" w:type="dxa"/>
            <w:vAlign w:val="bottom"/>
          </w:tcPr>
          <w:p>
            <w:pPr>
              <w:spacing w:after="0" w:line="155" w:lineRule="exact"/>
              <w:rPr>
                <w:sz w:val="20"/>
                <w:szCs w:val="20"/>
                <w:color w:val="auto"/>
              </w:rPr>
            </w:pPr>
            <w:r>
              <w:rPr>
                <w:rFonts w:ascii="Arial" w:cs="Arial" w:eastAsia="Arial" w:hAnsi="Arial"/>
                <w:sz w:val="14"/>
                <w:szCs w:val="14"/>
                <w:b w:val="1"/>
                <w:bCs w:val="1"/>
                <w:color w:val="auto"/>
              </w:rPr>
              <w:t>Realized and unrealized loss on investments and debt:</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spacing w:after="0"/>
              <w:rPr>
                <w:sz w:val="20"/>
                <w:szCs w:val="20"/>
                <w:color w:val="auto"/>
              </w:rPr>
            </w:pPr>
            <w:r>
              <w:rPr>
                <w:rFonts w:ascii="Arial" w:cs="Arial" w:eastAsia="Arial" w:hAnsi="Arial"/>
                <w:sz w:val="14"/>
                <w:szCs w:val="14"/>
                <w:color w:val="auto"/>
              </w:rPr>
              <w:t>Net realized gain on investments on:</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972,448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12,876,286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4,710,367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14,669,329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8,877,164</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4,792,067</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10,857,604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realized gain on investments</w:t>
            </w:r>
          </w:p>
        </w:tc>
        <w:tc>
          <w:tcPr>
            <w:tcW w:w="48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972,448</w:t>
            </w:r>
          </w:p>
        </w:tc>
        <w:tc>
          <w:tcPr>
            <w:tcW w:w="220" w:type="dxa"/>
            <w:vAlign w:val="bottom"/>
            <w:tcBorders>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21,753,450</w:t>
            </w:r>
          </w:p>
        </w:tc>
        <w:tc>
          <w:tcPr>
            <w:tcW w:w="22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9,502,434</w:t>
            </w:r>
          </w:p>
        </w:tc>
        <w:tc>
          <w:tcPr>
            <w:tcW w:w="22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25,526,933</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Net change in unrealized depreciation on:</w:t>
            </w:r>
          </w:p>
        </w:tc>
        <w:tc>
          <w:tcPr>
            <w:tcW w:w="4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(6,753,803)</w:t>
            </w:r>
          </w:p>
        </w:tc>
        <w:tc>
          <w:tcPr>
            <w:tcW w:w="1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(4,219,398)</w:t>
            </w:r>
          </w:p>
        </w:tc>
        <w:tc>
          <w:tcPr>
            <w:tcW w:w="16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(13,683,685)</w:t>
            </w:r>
          </w:p>
        </w:tc>
        <w:tc>
          <w:tcPr>
            <w:tcW w:w="2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(2,481,333)</w:t>
            </w: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(13,379,363)</w:t>
            </w:r>
          </w:p>
        </w:tc>
        <w:tc>
          <w:tcPr>
            <w:tcW w:w="1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(25,313,724)</w:t>
            </w: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(26,842,060)</w:t>
            </w:r>
          </w:p>
        </w:tc>
        <w:tc>
          <w:tcPr>
            <w:tcW w:w="20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(33,824,685)</w:t>
            </w:r>
          </w:p>
        </w:tc>
        <w:tc>
          <w:tcPr>
            <w:tcW w:w="0" w:type="dxa"/>
            <w:vAlign w:val="bottom"/>
          </w:tcPr>
          <w:p>
            <w:pPr>
              <w:spacing w:after="0"/>
              <w:rPr>
                <w:sz w:val="1"/>
                <w:szCs w:val="1"/>
                <w:color w:val="auto"/>
              </w:rPr>
            </w:pPr>
          </w:p>
        </w:tc>
      </w:tr>
      <w:tr>
        <w:trPr>
          <w:trHeight w:val="162"/>
        </w:trPr>
        <w:tc>
          <w:tcPr>
            <w:tcW w:w="59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Debt depreciation (See Notes 5 and 10)</w:t>
            </w:r>
          </w:p>
        </w:tc>
        <w:tc>
          <w:tcPr>
            <w:tcW w:w="48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3,661,483</w:t>
            </w:r>
          </w:p>
        </w:tc>
        <w:tc>
          <w:tcPr>
            <w:tcW w:w="220" w:type="dxa"/>
            <w:vAlign w:val="bottom"/>
            <w:tcBorders>
              <w:bottom w:val="single" w:sz="8" w:color="CCEC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399,236</w:t>
            </w:r>
          </w:p>
        </w:tc>
        <w:tc>
          <w:tcPr>
            <w:tcW w:w="22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9,727,635</w:t>
            </w:r>
          </w:p>
        </w:tc>
        <w:tc>
          <w:tcPr>
            <w:tcW w:w="22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1,526,002</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depreciation on investments and debt</w:t>
            </w:r>
          </w:p>
        </w:tc>
        <w:tc>
          <w:tcPr>
            <w:tcW w:w="48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(16,471,683)</w:t>
            </w:r>
          </w:p>
        </w:tc>
        <w:tc>
          <w:tcPr>
            <w:tcW w:w="22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(29,133,886)</w:t>
            </w:r>
          </w:p>
        </w:tc>
        <w:tc>
          <w:tcPr>
            <w:tcW w:w="2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(30,798,110)</w:t>
            </w:r>
          </w:p>
        </w:tc>
        <w:tc>
          <w:tcPr>
            <w:tcW w:w="2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(34,780,016)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realized and unrealized loss from investments and debt</w:t>
            </w:r>
          </w:p>
        </w:tc>
        <w:tc>
          <w:tcPr>
            <w:tcW w:w="48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(15,499,235)</w:t>
            </w:r>
          </w:p>
        </w:tc>
        <w:tc>
          <w:tcPr>
            <w:tcW w:w="22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(7,380,436)</w:t>
            </w:r>
          </w:p>
        </w:tc>
        <w:tc>
          <w:tcPr>
            <w:tcW w:w="22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(21,295,676)</w:t>
            </w:r>
          </w:p>
        </w:tc>
        <w:tc>
          <w:tcPr>
            <w:tcW w:w="2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(9,253,083)</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2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(decrease) increase in net assets resulting from operations</w:t>
            </w:r>
          </w:p>
        </w:tc>
        <w:tc>
          <w:tcPr>
            <w:tcW w:w="4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(4,746,497)</w:t>
            </w:r>
          </w:p>
        </w:tc>
        <w:tc>
          <w:tcPr>
            <w:tcW w:w="22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6,035,010</w:t>
            </w:r>
          </w:p>
        </w:tc>
        <w:tc>
          <w:tcPr>
            <w:tcW w:w="22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2,031,692</w:t>
            </w:r>
          </w:p>
        </w:tc>
        <w:tc>
          <w:tcPr>
            <w:tcW w:w="22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18,330,407</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4"/>
                <w:szCs w:val="14"/>
                <w:color w:val="auto"/>
                <w:w w:val="99"/>
              </w:rPr>
              <w:t>Net (decrease) increase in net assets resulting from operations per common share (See Note 7)</w:t>
            </w:r>
          </w:p>
        </w:tc>
        <w:tc>
          <w:tcPr>
            <w:tcW w:w="5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20" w:type="dxa"/>
            <w:vAlign w:val="bottom"/>
            <w:tcBorders>
              <w:bottom w:val="single" w:sz="8" w:color="CCECFF"/>
            </w:tcBorders>
            <w:vMerge w:val="continue"/>
          </w:tcPr>
          <w:p>
            <w:pPr>
              <w:spacing w:after="0"/>
              <w:rPr>
                <w:sz w:val="15"/>
                <w:szCs w:val="15"/>
                <w:color w:val="auto"/>
              </w:rPr>
            </w:pPr>
          </w:p>
        </w:tc>
        <w:tc>
          <w:tcPr>
            <w:tcW w:w="480" w:type="dxa"/>
            <w:vAlign w:val="bottom"/>
            <w:tcBorders>
              <w:bottom w:val="single" w:sz="8" w:color="CCEC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(0.07)</w:t>
            </w:r>
          </w:p>
        </w:tc>
        <w:tc>
          <w:tcPr>
            <w:tcW w:w="220" w:type="dxa"/>
            <w:vAlign w:val="bottom"/>
            <w:tcBorders>
              <w:bottom w:val="single" w:sz="8" w:color="CCEC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0.08</w:t>
            </w:r>
          </w:p>
        </w:tc>
        <w:tc>
          <w:tcPr>
            <w:tcW w:w="220" w:type="dxa"/>
            <w:vAlign w:val="bottom"/>
            <w:tcBorders>
              <w:bottom w:val="single" w:sz="8" w:color="CCEC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0.03</w:t>
            </w:r>
          </w:p>
        </w:tc>
        <w:tc>
          <w:tcPr>
            <w:tcW w:w="220" w:type="dxa"/>
            <w:vAlign w:val="bottom"/>
            <w:tcBorders>
              <w:bottom w:val="single" w:sz="8" w:color="CCEC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0.26</w:t>
            </w:r>
          </w:p>
        </w:tc>
        <w:tc>
          <w:tcPr>
            <w:tcW w:w="10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9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Net investment income per common share</w:t>
            </w:r>
          </w:p>
        </w:tc>
        <w:tc>
          <w:tcPr>
            <w:tcW w:w="48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0.16</w:t>
            </w: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0.19</w:t>
            </w:r>
          </w:p>
        </w:tc>
        <w:tc>
          <w:tcPr>
            <w:tcW w:w="2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0.34</w:t>
            </w:r>
          </w:p>
        </w:tc>
        <w:tc>
          <w:tcPr>
            <w:tcW w:w="22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0.39</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Three Months Ended March 31,</w:t>
            </w:r>
          </w:p>
        </w:tc>
        <w:tc>
          <w:tcPr>
            <w:tcW w:w="220" w:type="dxa"/>
            <w:vAlign w:val="bottom"/>
          </w:tcPr>
          <w:p>
            <w:pPr>
              <w:spacing w:after="0"/>
              <w:rPr>
                <w:sz w:val="14"/>
                <w:szCs w:val="14"/>
                <w:color w:val="auto"/>
              </w:rPr>
            </w:pPr>
          </w:p>
        </w:tc>
        <w:tc>
          <w:tcPr>
            <w:tcW w:w="24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 March 31,</w:t>
            </w:r>
          </w:p>
        </w:tc>
      </w:tr>
      <w:tr>
        <w:trPr>
          <w:trHeight w:val="156"/>
        </w:trPr>
        <w:tc>
          <w:tcPr>
            <w:tcW w:w="584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CFF"/>
            </w:tcBorders>
          </w:tcPr>
          <w:p>
            <w:pPr>
              <w:spacing w:after="0"/>
              <w:rPr>
                <w:sz w:val="13"/>
                <w:szCs w:val="13"/>
                <w:color w:val="auto"/>
              </w:rPr>
            </w:pPr>
          </w:p>
        </w:tc>
      </w:tr>
      <w:tr>
        <w:trPr>
          <w:trHeight w:val="155"/>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(decrease) increase in net assets resulting from operations:</w:t>
            </w:r>
          </w:p>
        </w:tc>
        <w:tc>
          <w:tcPr>
            <w:tcW w:w="1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10,752,738</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13,415,446</w:t>
            </w:r>
          </w:p>
        </w:tc>
        <w:tc>
          <w:tcPr>
            <w:tcW w:w="240" w:type="dxa"/>
            <w:vAlign w:val="bottom"/>
          </w:tcPr>
          <w:p>
            <w:pPr>
              <w:spacing w:after="0"/>
              <w:rPr>
                <w:sz w:val="14"/>
                <w:szCs w:val="1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23,327,368</w:t>
            </w:r>
          </w:p>
        </w:tc>
        <w:tc>
          <w:tcPr>
            <w:tcW w:w="140" w:type="dxa"/>
            <w:vAlign w:val="bottom"/>
          </w:tcPr>
          <w:p>
            <w:pPr>
              <w:spacing w:after="0"/>
              <w:rPr>
                <w:sz w:val="14"/>
                <w:szCs w:val="14"/>
                <w:color w:val="auto"/>
              </w:rPr>
            </w:pP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27,583,490</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gain on investments</w:t>
            </w:r>
          </w:p>
        </w:tc>
        <w:tc>
          <w:tcPr>
            <w:tcW w:w="16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972,448</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21,753,450</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9,502,434</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25,526,933</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Net change in unrealized depreciation on investments</w:t>
            </w:r>
          </w:p>
        </w:tc>
        <w:tc>
          <w:tcPr>
            <w:tcW w:w="16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(20,133,166)</w:t>
            </w:r>
          </w:p>
        </w:tc>
        <w:tc>
          <w:tcPr>
            <w:tcW w:w="2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(29,533,122)</w:t>
            </w:r>
          </w:p>
        </w:tc>
        <w:tc>
          <w:tcPr>
            <w:tcW w:w="22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(40,525,745)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(36,306,018)</w:t>
            </w: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depreciation on debt</w:t>
            </w:r>
          </w:p>
        </w:tc>
        <w:tc>
          <w:tcPr>
            <w:tcW w:w="16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3,661,483</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399,236</w:t>
            </w:r>
          </w:p>
        </w:tc>
        <w:tc>
          <w:tcPr>
            <w:tcW w:w="2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9,727,635</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1,526,002</w:t>
            </w:r>
          </w:p>
        </w:tc>
        <w:tc>
          <w:tcPr>
            <w:tcW w:w="100" w:type="dxa"/>
            <w:vAlign w:val="bottom"/>
            <w:shd w:val="clear" w:color="auto" w:fill="CCECFF"/>
          </w:tcPr>
          <w:p>
            <w:pPr>
              <w:spacing w:after="0"/>
              <w:rPr>
                <w:sz w:val="14"/>
                <w:szCs w:val="14"/>
                <w:color w:val="auto"/>
              </w:rPr>
            </w:pPr>
          </w:p>
        </w:tc>
      </w:tr>
      <w:tr>
        <w:trPr>
          <w:trHeight w:val="155"/>
        </w:trPr>
        <w:tc>
          <w:tcPr>
            <w:tcW w:w="58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(decrease) increase in net assets resulting from operations</w:t>
            </w: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(4,746,497)</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6,035,010</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2,031,692</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18,330,407</w:t>
            </w:r>
          </w:p>
        </w:tc>
        <w:tc>
          <w:tcPr>
            <w:tcW w:w="100" w:type="dxa"/>
            <w:vAlign w:val="bottom"/>
            <w:tcBorders>
              <w:bottom w:val="single" w:sz="8" w:color="CCECFF"/>
            </w:tcBorders>
          </w:tcPr>
          <w:p>
            <w:pPr>
              <w:spacing w:after="0"/>
              <w:rPr>
                <w:sz w:val="13"/>
                <w:szCs w:val="13"/>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16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(12,068,119)</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(12,790,951)</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(24,313,076)</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(25,581,901)</w:t>
            </w:r>
          </w:p>
        </w:tc>
        <w:tc>
          <w:tcPr>
            <w:tcW w:w="100" w:type="dxa"/>
            <w:vAlign w:val="bottom"/>
            <w:shd w:val="clear" w:color="auto" w:fill="CCECFF"/>
          </w:tcPr>
          <w:p>
            <w:pPr>
              <w:spacing w:after="0"/>
              <w:rPr>
                <w:sz w:val="13"/>
                <w:szCs w:val="13"/>
                <w:color w:val="auto"/>
              </w:rPr>
            </w:pPr>
          </w:p>
        </w:tc>
      </w:tr>
      <w:tr>
        <w:trPr>
          <w:trHeight w:val="156"/>
        </w:trPr>
        <w:tc>
          <w:tcPr>
            <w:tcW w:w="5840" w:type="dxa"/>
            <w:vAlign w:val="bottom"/>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Repurchase of common stock</w:t>
            </w:r>
          </w:p>
        </w:tc>
        <w:tc>
          <w:tcPr>
            <w:tcW w:w="16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(6,977,698)</w:t>
            </w: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(14,471,720)</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r>
      <w:tr>
        <w:trPr>
          <w:trHeight w:val="156"/>
        </w:trPr>
        <w:tc>
          <w:tcPr>
            <w:tcW w:w="58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decrease in net assets</w:t>
            </w: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(23,792,314)</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(6,755,941)</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(36,753,104)</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(7,251,494)</w:t>
            </w:r>
          </w:p>
        </w:tc>
        <w:tc>
          <w:tcPr>
            <w:tcW w:w="100" w:type="dxa"/>
            <w:vAlign w:val="bottom"/>
            <w:tcBorders>
              <w:bottom w:val="single" w:sz="8" w:color="CCECFF"/>
            </w:tcBorders>
          </w:tcPr>
          <w:p>
            <w:pPr>
              <w:spacing w:after="0"/>
              <w:rPr>
                <w:sz w:val="13"/>
                <w:szCs w:val="13"/>
                <w:color w:val="auto"/>
              </w:rPr>
            </w:pPr>
          </w:p>
        </w:tc>
      </w:tr>
      <w:tr>
        <w:trPr>
          <w:trHeight w:val="155"/>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1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84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Beginning of period</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615,941,105</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646,312,918</w:t>
            </w:r>
          </w:p>
        </w:tc>
        <w:tc>
          <w:tcPr>
            <w:tcW w:w="24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628,901,895</w:t>
            </w:r>
          </w:p>
        </w:tc>
        <w:tc>
          <w:tcPr>
            <w:tcW w:w="14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646,808,471</w:t>
            </w:r>
          </w:p>
        </w:tc>
        <w:tc>
          <w:tcPr>
            <w:tcW w:w="100" w:type="dxa"/>
            <w:vAlign w:val="bottom"/>
            <w:tcBorders>
              <w:bottom w:val="single" w:sz="8" w:color="CCECFF"/>
            </w:tcBorders>
          </w:tcPr>
          <w:p>
            <w:pPr>
              <w:spacing w:after="0"/>
              <w:rPr>
                <w:sz w:val="14"/>
                <w:szCs w:val="14"/>
                <w:color w:val="auto"/>
              </w:rPr>
            </w:pPr>
          </w:p>
        </w:tc>
      </w:tr>
      <w:tr>
        <w:trPr>
          <w:trHeight w:val="155"/>
        </w:trPr>
        <w:tc>
          <w:tcPr>
            <w:tcW w:w="584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color w:val="auto"/>
              </w:rPr>
              <w:t>End of period</w:t>
            </w:r>
          </w:p>
        </w:tc>
        <w:tc>
          <w:tcPr>
            <w:tcW w:w="160" w:type="dxa"/>
            <w:vAlign w:val="bottom"/>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592,148,791</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639,556,977</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592,148,791</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639,556,977</w:t>
            </w:r>
          </w:p>
        </w:tc>
        <w:tc>
          <w:tcPr>
            <w:tcW w:w="100" w:type="dxa"/>
            <w:vAlign w:val="bottom"/>
            <w:shd w:val="clear" w:color="auto" w:fill="CCECFF"/>
          </w:tcPr>
          <w:p>
            <w:pPr>
              <w:spacing w:after="0"/>
              <w:rPr>
                <w:sz w:val="13"/>
                <w:szCs w:val="13"/>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b w:val="1"/>
                <w:bCs w:val="1"/>
                <w:color w:val="auto"/>
              </w:rPr>
              <w:t>Capital share activity:</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Shares of common stock repurchased</w:t>
            </w:r>
          </w:p>
        </w:tc>
        <w:tc>
          <w:tcPr>
            <w:tcW w:w="16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(982,432)</w:t>
            </w: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(2,008,853)</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r>
      <w:tr>
        <w:trPr>
          <w:trHeight w:val="20"/>
        </w:trPr>
        <w:tc>
          <w:tcPr>
            <w:tcW w:w="584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increase in net assets resulting from operations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2,031,692</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18,330,407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ind w:left="500"/>
              <w:spacing w:after="0" w:line="143" w:lineRule="exact"/>
              <w:rPr>
                <w:sz w:val="20"/>
                <w:szCs w:val="20"/>
                <w:color w:val="auto"/>
              </w:rPr>
            </w:pPr>
            <w:r>
              <w:rPr>
                <w:rFonts w:ascii="Arial" w:cs="Arial" w:eastAsia="Arial" w:hAnsi="Arial"/>
                <w:sz w:val="14"/>
                <w:szCs w:val="14"/>
                <w:color w:val="auto"/>
              </w:rPr>
              <w:t>Adjustments to reconcile net increase in net assets resulting from</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CECFF"/>
          </w:tcPr>
          <w:p>
            <w:pPr>
              <w:ind w:left="600"/>
              <w:spacing w:after="0"/>
              <w:rPr>
                <w:sz w:val="20"/>
                <w:szCs w:val="20"/>
                <w:color w:val="auto"/>
              </w:rPr>
            </w:pPr>
            <w:r>
              <w:rPr>
                <w:rFonts w:ascii="Arial" w:cs="Arial" w:eastAsia="Arial" w:hAnsi="Arial"/>
                <w:sz w:val="14"/>
                <w:szCs w:val="14"/>
                <w:color w:val="auto"/>
              </w:rPr>
              <w:t>operations to net cash (used in) provided by operating activities: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Net change in net unrealized depreciation on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40,525,745</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36,306,018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change in unrealized depreciation on debt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(9,727,635)</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(1,526,002)</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Net realized gain on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(9,502,434)</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(25,526,933)</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accretion of discount and amortization of premium</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(1,505,849)</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(1,065,571)</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Purchases of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(378,352,580)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(235,438,471)</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Payment-in-kind income</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(4,723,070)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(7,374,499)</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Proceeds from dispositions of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240,886,539</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438,686,113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Amortization of deferred financing costs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521,458</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1,223,507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Decrease (increase) in interest receivable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669,626</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(211,923)</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Increase in receivable for investments sold</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(26,983,525)</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Decrease in prepaid expenses and other assets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648,842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2,224,104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Increase (decrease) in payable for investments purchased</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4,480,173</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(1,014,000)</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Decrease in interest payable on debt</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(4,133,108)</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(432,382)</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Increase (decrease) in base management fee payable, net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423,998</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(971,499)</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(Decrease) increase in performance-based incentive fee payable, net</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(2,955,925)</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575,608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Decrease in accrued other expenses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(541,118)</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(657,742)</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ind w:left="1480"/>
              <w:spacing w:after="0" w:line="155" w:lineRule="exact"/>
              <w:rPr>
                <w:sz w:val="20"/>
                <w:szCs w:val="20"/>
                <w:color w:val="auto"/>
              </w:rPr>
            </w:pPr>
            <w:r>
              <w:rPr>
                <w:rFonts w:ascii="Arial" w:cs="Arial" w:eastAsia="Arial" w:hAnsi="Arial"/>
                <w:sz w:val="14"/>
                <w:szCs w:val="14"/>
                <w:color w:val="auto"/>
              </w:rPr>
              <w:t>Net cash (used in) provided by operating activities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(121,253,646)</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196,143,210</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Repurchase of common stock</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(14,471,720)</w:t>
            </w: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Capitalized borrowing costs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(1,721,750)</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Distributions paid to stockholders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(24,674,669)</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(25,581,900)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Repayments of 2019 Notes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(250,000,000)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Borrowings under SBA debentures</w:t>
            </w:r>
          </w:p>
        </w:tc>
        <w:tc>
          <w:tcPr>
            <w:tcW w:w="36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71,000,000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Repayments under SBA debentures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(30,000,000)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(70,000,000)</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Borrowings under BNP Credit Facility</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142,500,000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Borrowings under SunTrust Credit Facility</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571,000,000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132,520,000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Repayments under SunTrust Credit Facility</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(262,384,000)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(170,392,900)</w:t>
            </w:r>
          </w:p>
        </w:tc>
        <w:tc>
          <w:tcPr>
            <w:tcW w:w="0" w:type="dxa"/>
            <w:vAlign w:val="bottom"/>
          </w:tcPr>
          <w:p>
            <w:pPr>
              <w:spacing w:after="0"/>
              <w:rPr>
                <w:sz w:val="1"/>
                <w:szCs w:val="1"/>
                <w:color w:val="auto"/>
              </w:rPr>
            </w:pPr>
          </w:p>
        </w:tc>
      </w:tr>
      <w:tr>
        <w:trPr>
          <w:trHeight w:val="155"/>
        </w:trPr>
        <w:tc>
          <w:tcPr>
            <w:tcW w:w="7720" w:type="dxa"/>
            <w:vAlign w:val="bottom"/>
            <w:tcBorders>
              <w:top w:val="single" w:sz="8" w:color="CCECFF"/>
            </w:tcBorders>
            <w:shd w:val="clear" w:color="auto" w:fill="CCECFF"/>
          </w:tcPr>
          <w:p>
            <w:pPr>
              <w:ind w:left="148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131,969,611</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(64,176,550)</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in cash equivalents</w:t>
            </w: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10,715,965</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131,966,660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Effect of exchange rate changes on cash</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84,910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50,821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19,506,154</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38,202,068</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30,307,029</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170,219,549</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shd w:val="clear" w:color="auto" w:fill="CCECFF"/>
          </w:tcPr>
          <w:p>
            <w:pPr>
              <w:ind w:left="260"/>
              <w:spacing w:after="0"/>
              <w:rPr>
                <w:sz w:val="20"/>
                <w:szCs w:val="20"/>
                <w:color w:val="auto"/>
              </w:rPr>
            </w:pPr>
            <w:r>
              <w:rPr>
                <w:rFonts w:ascii="Arial" w:cs="Arial" w:eastAsia="Arial" w:hAnsi="Arial"/>
                <w:sz w:val="14"/>
                <w:szCs w:val="14"/>
                <w:color w:val="auto"/>
              </w:rPr>
              <w:t>Interest paid</w:t>
            </w: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16,922,515</w:t>
            </w:r>
          </w:p>
        </w:tc>
        <w:tc>
          <w:tcPr>
            <w:tcW w:w="28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11,007,147</w:t>
            </w:r>
          </w:p>
        </w:tc>
        <w:tc>
          <w:tcPr>
            <w:tcW w:w="12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Taxes paid</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CFF"/>
            </w:tcBorders>
            <w:vMerge w:val="continue"/>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516,156</w:t>
            </w:r>
          </w:p>
        </w:tc>
        <w:tc>
          <w:tcPr>
            <w:tcW w:w="280" w:type="dxa"/>
            <w:vAlign w:val="bottom"/>
            <w:tcBorders>
              <w:bottom w:val="single" w:sz="8" w:color="CCECFF"/>
            </w:tcBorders>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498,102</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Non-cash exchanges and conversions</w:t>
            </w: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12,697,510</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31,942,605</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2"/>
              </w:rPr>
              <w:t>Basis Point</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3"/>
              </w:rPr>
              <w:t>Spread</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Maturity /</w:t>
            </w: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400"/>
              <w:spacing w:after="0" w:line="135" w:lineRule="exact"/>
              <w:rPr>
                <w:sz w:val="20"/>
                <w:szCs w:val="20"/>
                <w:color w:val="auto"/>
              </w:rPr>
            </w:pPr>
            <w:r>
              <w:rPr>
                <w:rFonts w:ascii="Arial" w:cs="Arial" w:eastAsia="Arial" w:hAnsi="Arial"/>
                <w:sz w:val="12"/>
                <w:szCs w:val="12"/>
                <w:b w:val="1"/>
                <w:bCs w:val="1"/>
                <w:color w:val="auto"/>
              </w:rPr>
              <w:t>Current</w:t>
            </w: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8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Par /</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29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Expiration</w:t>
            </w:r>
          </w:p>
        </w:tc>
        <w:tc>
          <w:tcPr>
            <w:tcW w:w="2560" w:type="dxa"/>
            <w:vAlign w:val="bottom"/>
            <w:tcBorders>
              <w:bottom w:val="single" w:sz="8" w:color="auto"/>
            </w:tcBorders>
          </w:tcPr>
          <w:p>
            <w:pPr>
              <w:jc w:val="center"/>
              <w:ind w:right="22"/>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Borders>
              <w:bottom w:val="single" w:sz="8" w:color="CCECFF"/>
            </w:tcBorders>
          </w:tcPr>
          <w:p>
            <w:pPr>
              <w:spacing w:after="0"/>
              <w:rPr>
                <w:sz w:val="12"/>
                <w:szCs w:val="12"/>
                <w:color w:val="auto"/>
              </w:rPr>
            </w:pPr>
          </w:p>
        </w:tc>
        <w:tc>
          <w:tcPr>
            <w:tcW w:w="6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Coupon</w:t>
            </w:r>
          </w:p>
        </w:tc>
        <w:tc>
          <w:tcPr>
            <w:tcW w:w="300" w:type="dxa"/>
            <w:vAlign w:val="bottom"/>
            <w:tcBorders>
              <w:bottom w:val="single" w:sz="8" w:color="CCECFF"/>
            </w:tcBorders>
          </w:tcPr>
          <w:p>
            <w:pPr>
              <w:spacing w:after="0"/>
              <w:rPr>
                <w:sz w:val="12"/>
                <w:szCs w:val="1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Cost</w:t>
            </w: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100" w:type="dxa"/>
            <w:vAlign w:val="bottom"/>
            <w:tcBorders>
              <w:bottom w:val="single" w:sz="8" w:color="CCECFF"/>
            </w:tcBorders>
          </w:tcPr>
          <w:p>
            <w:pPr>
              <w:spacing w:after="0"/>
              <w:rPr>
                <w:sz w:val="12"/>
                <w:szCs w:val="12"/>
                <w:color w:val="auto"/>
              </w:rPr>
            </w:pPr>
          </w:p>
        </w:tc>
      </w:tr>
      <w:tr>
        <w:trPr>
          <w:trHeight w:val="142"/>
        </w:trPr>
        <w:tc>
          <w:tcPr>
            <w:tcW w:w="658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rPr>
              <w:t xml:space="preserve">Investments in Non-Controlled, Non-Affiliated Portfolio Companies—175.7% </w:t>
            </w:r>
            <w:r>
              <w:rPr>
                <w:rFonts w:ascii="Arial" w:cs="Arial" w:eastAsia="Arial" w:hAnsi="Arial"/>
                <w:sz w:val="9"/>
                <w:szCs w:val="9"/>
                <w:b w:val="1"/>
                <w:bCs w:val="1"/>
                <w:color w:val="auto"/>
              </w:rPr>
              <w:t>(1), (2)</w:t>
            </w:r>
          </w:p>
        </w:tc>
        <w:tc>
          <w:tcPr>
            <w:tcW w:w="60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2"/>
                <w:szCs w:val="12"/>
                <w:b w:val="1"/>
                <w:bCs w:val="1"/>
                <w:color w:val="auto"/>
              </w:rPr>
              <w:t>First Lien Secured Debt—98.6%</w:t>
            </w:r>
          </w:p>
        </w:tc>
        <w:tc>
          <w:tcPr>
            <w:tcW w:w="9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American Insulated Glass, LLC</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12/21/2023</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92"/>
              </w:rPr>
              <w:t>Building Materials</w:t>
            </w:r>
          </w:p>
        </w:tc>
        <w:tc>
          <w:tcPr>
            <w:tcW w:w="90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7.98%</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31,200,000</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2"/>
              </w:rPr>
              <w:t>$  30,609,978</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2"/>
              </w:rPr>
              <w:t>$  30,576,000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American Insulated Glass, LLC </w:t>
            </w:r>
            <w:r>
              <w:rPr>
                <w:rFonts w:ascii="Arial" w:cs="Arial" w:eastAsia="Arial" w:hAnsi="Arial"/>
                <w:sz w:val="9"/>
                <w:szCs w:val="9"/>
                <w:color w:val="auto"/>
              </w:rPr>
              <w:t>(5), (7)</w:t>
            </w:r>
          </w:p>
        </w:tc>
        <w:tc>
          <w:tcPr>
            <w:tcW w:w="940" w:type="dxa"/>
            <w:vAlign w:val="bottom"/>
          </w:tcPr>
          <w:p>
            <w:pPr>
              <w:ind w:left="180"/>
              <w:spacing w:after="0"/>
              <w:rPr>
                <w:sz w:val="20"/>
                <w:szCs w:val="20"/>
                <w:color w:val="auto"/>
              </w:rPr>
            </w:pPr>
            <w:r>
              <w:rPr>
                <w:rFonts w:ascii="Arial" w:cs="Arial" w:eastAsia="Arial" w:hAnsi="Arial"/>
                <w:sz w:val="12"/>
                <w:szCs w:val="12"/>
                <w:color w:val="auto"/>
              </w:rPr>
              <w:t>12/21/2023</w:t>
            </w:r>
          </w:p>
        </w:tc>
        <w:tc>
          <w:tcPr>
            <w:tcW w:w="2680" w:type="dxa"/>
            <w:vAlign w:val="bottom"/>
            <w:gridSpan w:val="2"/>
          </w:tcPr>
          <w:p>
            <w:pPr>
              <w:jc w:val="center"/>
              <w:ind w:right="200"/>
              <w:spacing w:after="0"/>
              <w:rPr>
                <w:sz w:val="20"/>
                <w:szCs w:val="20"/>
                <w:color w:val="auto"/>
              </w:rPr>
            </w:pPr>
            <w:r>
              <w:rPr>
                <w:rFonts w:ascii="Arial" w:cs="Arial" w:eastAsia="Arial" w:hAnsi="Arial"/>
                <w:sz w:val="12"/>
                <w:szCs w:val="12"/>
                <w:color w:val="auto"/>
                <w:w w:val="92"/>
              </w:rPr>
              <w:t>Building Materials</w:t>
            </w:r>
          </w:p>
        </w:tc>
        <w:tc>
          <w:tcPr>
            <w:tcW w:w="90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1,350,649</w:t>
            </w:r>
          </w:p>
        </w:tc>
        <w:tc>
          <w:tcPr>
            <w:tcW w:w="22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(27,013)</w:t>
            </w: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Bazaarvoice, Inc. </w:t>
            </w:r>
            <w:r>
              <w:rPr>
                <w:rFonts w:ascii="Arial" w:cs="Arial" w:eastAsia="Arial" w:hAnsi="Arial"/>
                <w:sz w:val="9"/>
                <w:szCs w:val="9"/>
                <w:color w:val="auto"/>
              </w:rPr>
              <w:t>(5)</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02/01/2024</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9"/>
              </w:rPr>
              <w:t>Printing and Publishing</w:t>
            </w:r>
          </w:p>
        </w:tc>
        <w:tc>
          <w:tcPr>
            <w:tcW w:w="90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8.25%</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14,850,281</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14,714,877</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14,776,030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Bottom Line Systems, LLC </w:t>
            </w:r>
            <w:r>
              <w:rPr>
                <w:rFonts w:ascii="Arial" w:cs="Arial" w:eastAsia="Arial" w:hAnsi="Arial"/>
                <w:sz w:val="9"/>
                <w:szCs w:val="9"/>
                <w:color w:val="auto"/>
              </w:rPr>
              <w:t>(5)</w:t>
            </w:r>
          </w:p>
        </w:tc>
        <w:tc>
          <w:tcPr>
            <w:tcW w:w="940" w:type="dxa"/>
            <w:vAlign w:val="bottom"/>
          </w:tcPr>
          <w:p>
            <w:pPr>
              <w:ind w:left="180"/>
              <w:spacing w:after="0"/>
              <w:rPr>
                <w:sz w:val="20"/>
                <w:szCs w:val="20"/>
                <w:color w:val="auto"/>
              </w:rPr>
            </w:pPr>
            <w:r>
              <w:rPr>
                <w:rFonts w:ascii="Arial" w:cs="Arial" w:eastAsia="Arial" w:hAnsi="Arial"/>
                <w:sz w:val="12"/>
                <w:szCs w:val="12"/>
                <w:color w:val="auto"/>
              </w:rPr>
              <w:t>02/13/2023</w:t>
            </w:r>
          </w:p>
        </w:tc>
        <w:tc>
          <w:tcPr>
            <w:tcW w:w="2680" w:type="dxa"/>
            <w:vAlign w:val="bottom"/>
            <w:gridSpan w:val="2"/>
          </w:tcPr>
          <w:p>
            <w:pPr>
              <w:jc w:val="center"/>
              <w:ind w:right="200"/>
              <w:spacing w:after="0"/>
              <w:rPr>
                <w:sz w:val="20"/>
                <w:szCs w:val="20"/>
                <w:color w:val="auto"/>
              </w:rPr>
            </w:pPr>
            <w:r>
              <w:rPr>
                <w:rFonts w:ascii="Arial" w:cs="Arial" w:eastAsia="Arial" w:hAnsi="Arial"/>
                <w:sz w:val="12"/>
                <w:szCs w:val="12"/>
                <w:color w:val="auto"/>
                <w:w w:val="87"/>
              </w:rPr>
              <w:t>Healthcare, Education and Childcare</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8.50%</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L+600</w:t>
            </w:r>
          </w:p>
        </w:tc>
        <w:tc>
          <w:tcPr>
            <w:tcW w:w="660" w:type="dxa"/>
            <w:vAlign w:val="bottom"/>
          </w:tcPr>
          <w:p>
            <w:pPr>
              <w:jc w:val="right"/>
              <w:spacing w:after="0"/>
              <w:rPr>
                <w:sz w:val="20"/>
                <w:szCs w:val="20"/>
                <w:color w:val="auto"/>
              </w:rPr>
            </w:pPr>
            <w:r>
              <w:rPr>
                <w:rFonts w:ascii="Arial" w:cs="Arial" w:eastAsia="Arial" w:hAnsi="Arial"/>
                <w:sz w:val="12"/>
                <w:szCs w:val="12"/>
                <w:color w:val="auto"/>
              </w:rPr>
              <w:t>22,527,053</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22,275,909</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22,527,053</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Broder Bros., Co.</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12/02/2022</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6"/>
              </w:rPr>
              <w:t>Consumer Products</w:t>
            </w:r>
          </w:p>
        </w:tc>
        <w:tc>
          <w:tcPr>
            <w:tcW w:w="90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11.31%</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27,871,484</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27,872,331</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27,871,484</w:t>
            </w: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 xml:space="preserve">Cano Health, LLC </w:t>
            </w:r>
            <w:r>
              <w:rPr>
                <w:rFonts w:ascii="Arial" w:cs="Arial" w:eastAsia="Arial" w:hAnsi="Arial"/>
                <w:sz w:val="9"/>
                <w:szCs w:val="9"/>
                <w:color w:val="auto"/>
              </w:rPr>
              <w:t>(5)</w:t>
            </w:r>
          </w:p>
        </w:tc>
        <w:tc>
          <w:tcPr>
            <w:tcW w:w="940" w:type="dxa"/>
            <w:vAlign w:val="bottom"/>
          </w:tcPr>
          <w:p>
            <w:pPr>
              <w:ind w:left="180"/>
              <w:spacing w:after="0"/>
              <w:rPr>
                <w:sz w:val="20"/>
                <w:szCs w:val="20"/>
                <w:color w:val="auto"/>
              </w:rPr>
            </w:pPr>
            <w:r>
              <w:rPr>
                <w:rFonts w:ascii="Arial" w:cs="Arial" w:eastAsia="Arial" w:hAnsi="Arial"/>
                <w:sz w:val="12"/>
                <w:szCs w:val="12"/>
                <w:color w:val="auto"/>
              </w:rPr>
              <w:t>12/23/2021</w:t>
            </w:r>
          </w:p>
        </w:tc>
        <w:tc>
          <w:tcPr>
            <w:tcW w:w="2680" w:type="dxa"/>
            <w:vAlign w:val="bottom"/>
            <w:gridSpan w:val="2"/>
          </w:tcPr>
          <w:p>
            <w:pPr>
              <w:jc w:val="center"/>
              <w:ind w:right="200"/>
              <w:spacing w:after="0"/>
              <w:rPr>
                <w:sz w:val="20"/>
                <w:szCs w:val="20"/>
                <w:color w:val="auto"/>
              </w:rPr>
            </w:pPr>
            <w:r>
              <w:rPr>
                <w:rFonts w:ascii="Arial" w:cs="Arial" w:eastAsia="Arial" w:hAnsi="Arial"/>
                <w:sz w:val="12"/>
                <w:szCs w:val="12"/>
                <w:color w:val="auto"/>
                <w:w w:val="87"/>
              </w:rPr>
              <w:t>Healthcare, Education and Childcare</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8.74%</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tcPr>
          <w:p>
            <w:pPr>
              <w:jc w:val="right"/>
              <w:spacing w:after="0"/>
              <w:rPr>
                <w:sz w:val="20"/>
                <w:szCs w:val="20"/>
                <w:color w:val="auto"/>
              </w:rPr>
            </w:pPr>
            <w:r>
              <w:rPr>
                <w:rFonts w:ascii="Arial" w:cs="Arial" w:eastAsia="Arial" w:hAnsi="Arial"/>
                <w:sz w:val="12"/>
                <w:szCs w:val="12"/>
                <w:color w:val="auto"/>
              </w:rPr>
              <w:t>27,586,588</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27,266,734</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27,586,588</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DermaRite Industries LLC</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03/03/2022</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0"/>
              </w:rPr>
              <w:t>Manufacturing / Basic Industries</w:t>
            </w:r>
          </w:p>
        </w:tc>
        <w:tc>
          <w:tcPr>
            <w:tcW w:w="90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9.60%</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L+700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9,800,000</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9,701,483</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9,737,147</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Deva Holdings, Inc. </w:t>
            </w:r>
            <w:r>
              <w:rPr>
                <w:rFonts w:ascii="Arial" w:cs="Arial" w:eastAsia="Arial" w:hAnsi="Arial"/>
                <w:sz w:val="9"/>
                <w:szCs w:val="9"/>
                <w:color w:val="auto"/>
              </w:rPr>
              <w:t>(5)</w:t>
            </w:r>
          </w:p>
        </w:tc>
        <w:tc>
          <w:tcPr>
            <w:tcW w:w="940" w:type="dxa"/>
            <w:vAlign w:val="bottom"/>
          </w:tcPr>
          <w:p>
            <w:pPr>
              <w:ind w:left="180"/>
              <w:spacing w:after="0"/>
              <w:rPr>
                <w:sz w:val="20"/>
                <w:szCs w:val="20"/>
                <w:color w:val="auto"/>
              </w:rPr>
            </w:pPr>
            <w:r>
              <w:rPr>
                <w:rFonts w:ascii="Arial" w:cs="Arial" w:eastAsia="Arial" w:hAnsi="Arial"/>
                <w:sz w:val="12"/>
                <w:szCs w:val="12"/>
                <w:color w:val="auto"/>
              </w:rPr>
              <w:t>10/31/2023</w:t>
            </w:r>
          </w:p>
        </w:tc>
        <w:tc>
          <w:tcPr>
            <w:tcW w:w="2680" w:type="dxa"/>
            <w:vAlign w:val="bottom"/>
            <w:gridSpan w:val="2"/>
          </w:tcPr>
          <w:p>
            <w:pPr>
              <w:jc w:val="center"/>
              <w:ind w:right="200"/>
              <w:spacing w:after="0"/>
              <w:rPr>
                <w:sz w:val="20"/>
                <w:szCs w:val="20"/>
                <w:color w:val="auto"/>
              </w:rPr>
            </w:pPr>
            <w:r>
              <w:rPr>
                <w:rFonts w:ascii="Arial" w:cs="Arial" w:eastAsia="Arial" w:hAnsi="Arial"/>
                <w:sz w:val="12"/>
                <w:szCs w:val="12"/>
                <w:color w:val="auto"/>
                <w:w w:val="86"/>
              </w:rPr>
              <w:t>Consumer Products</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8.75%</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tcPr>
          <w:p>
            <w:pPr>
              <w:jc w:val="right"/>
              <w:spacing w:after="0"/>
              <w:rPr>
                <w:sz w:val="20"/>
                <w:szCs w:val="20"/>
                <w:color w:val="auto"/>
              </w:rPr>
            </w:pPr>
            <w:r>
              <w:rPr>
                <w:rFonts w:ascii="Arial" w:cs="Arial" w:eastAsia="Arial" w:hAnsi="Arial"/>
                <w:sz w:val="12"/>
                <w:szCs w:val="12"/>
                <w:color w:val="auto"/>
              </w:rPr>
              <w:t>4,508,901</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4,437,834</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4,508,901</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Deva Holdings, Inc. </w:t>
            </w:r>
            <w:r>
              <w:rPr>
                <w:rFonts w:ascii="Arial" w:cs="Arial" w:eastAsia="Arial" w:hAnsi="Arial"/>
                <w:sz w:val="9"/>
                <w:szCs w:val="9"/>
                <w:color w:val="auto"/>
              </w:rPr>
              <w:t>(7)</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10/31/2022</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6"/>
              </w:rPr>
              <w:t>Consumer Products</w:t>
            </w:r>
          </w:p>
        </w:tc>
        <w:tc>
          <w:tcPr>
            <w:tcW w:w="900" w:type="dxa"/>
            <w:vAlign w:val="bottom"/>
            <w:gridSpan w:val="2"/>
            <w:shd w:val="clear" w:color="auto" w:fill="CCECFF"/>
          </w:tcPr>
          <w:p>
            <w:pPr>
              <w:jc w:val="right"/>
              <w:ind w:right="3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385,000</w:t>
            </w:r>
          </w:p>
        </w:tc>
        <w:tc>
          <w:tcPr>
            <w:tcW w:w="2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940" w:type="dxa"/>
            <w:vAlign w:val="bottom"/>
          </w:tcPr>
          <w:p>
            <w:pPr>
              <w:ind w:left="180"/>
              <w:spacing w:after="0"/>
              <w:rPr>
                <w:sz w:val="20"/>
                <w:szCs w:val="20"/>
                <w:color w:val="auto"/>
              </w:rPr>
            </w:pPr>
            <w:r>
              <w:rPr>
                <w:rFonts w:ascii="Arial" w:cs="Arial" w:eastAsia="Arial" w:hAnsi="Arial"/>
                <w:sz w:val="12"/>
                <w:szCs w:val="12"/>
                <w:color w:val="auto"/>
              </w:rPr>
              <w:t>06/09/2023</w:t>
            </w:r>
          </w:p>
        </w:tc>
        <w:tc>
          <w:tcPr>
            <w:tcW w:w="2680" w:type="dxa"/>
            <w:vAlign w:val="bottom"/>
            <w:gridSpan w:val="2"/>
          </w:tcPr>
          <w:p>
            <w:pPr>
              <w:jc w:val="center"/>
              <w:ind w:right="200"/>
              <w:spacing w:after="0"/>
              <w:rPr>
                <w:sz w:val="20"/>
                <w:szCs w:val="20"/>
                <w:color w:val="auto"/>
              </w:rPr>
            </w:pPr>
            <w:r>
              <w:rPr>
                <w:rFonts w:ascii="Arial" w:cs="Arial" w:eastAsia="Arial" w:hAnsi="Arial"/>
                <w:sz w:val="12"/>
                <w:szCs w:val="12"/>
                <w:color w:val="auto"/>
                <w:w w:val="86"/>
              </w:rPr>
              <w:t>Consumer Products</w:t>
            </w:r>
          </w:p>
        </w:tc>
        <w:tc>
          <w:tcPr>
            <w:tcW w:w="900" w:type="dxa"/>
            <w:vAlign w:val="bottom"/>
            <w:gridSpan w:val="2"/>
          </w:tcPr>
          <w:p>
            <w:pPr>
              <w:jc w:val="right"/>
              <w:ind w:right="2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(6)</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19,713,838</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19,414,795</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16,953,901</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HW Holdco, LLC </w:t>
            </w:r>
            <w:r>
              <w:rPr>
                <w:rFonts w:ascii="Arial" w:cs="Arial" w:eastAsia="Arial" w:hAnsi="Arial"/>
                <w:sz w:val="9"/>
                <w:szCs w:val="9"/>
                <w:color w:val="auto"/>
              </w:rPr>
              <w:t>(5)</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12/10/2024</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1"/>
              </w:rPr>
              <w:t>Media</w:t>
            </w:r>
          </w:p>
        </w:tc>
        <w:tc>
          <w:tcPr>
            <w:tcW w:w="90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8.99%</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17,568,871</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17,398,090</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17,393,187</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HW Holdco, LLC (Revolver)</w:t>
            </w:r>
          </w:p>
        </w:tc>
        <w:tc>
          <w:tcPr>
            <w:tcW w:w="940" w:type="dxa"/>
            <w:vAlign w:val="bottom"/>
          </w:tcPr>
          <w:p>
            <w:pPr>
              <w:ind w:left="180"/>
              <w:spacing w:after="0"/>
              <w:rPr>
                <w:sz w:val="20"/>
                <w:szCs w:val="20"/>
                <w:color w:val="auto"/>
              </w:rPr>
            </w:pPr>
            <w:r>
              <w:rPr>
                <w:rFonts w:ascii="Arial" w:cs="Arial" w:eastAsia="Arial" w:hAnsi="Arial"/>
                <w:sz w:val="12"/>
                <w:szCs w:val="12"/>
                <w:color w:val="auto"/>
              </w:rPr>
              <w:t>12/10/2024</w:t>
            </w:r>
          </w:p>
        </w:tc>
        <w:tc>
          <w:tcPr>
            <w:tcW w:w="2680" w:type="dxa"/>
            <w:vAlign w:val="bottom"/>
            <w:gridSpan w:val="2"/>
          </w:tcPr>
          <w:p>
            <w:pPr>
              <w:jc w:val="center"/>
              <w:ind w:right="180"/>
              <w:spacing w:after="0"/>
              <w:rPr>
                <w:sz w:val="20"/>
                <w:szCs w:val="20"/>
                <w:color w:val="auto"/>
              </w:rPr>
            </w:pPr>
            <w:r>
              <w:rPr>
                <w:rFonts w:ascii="Arial" w:cs="Arial" w:eastAsia="Arial" w:hAnsi="Arial"/>
                <w:sz w:val="12"/>
                <w:szCs w:val="12"/>
                <w:color w:val="auto"/>
                <w:w w:val="91"/>
              </w:rPr>
              <w:t>Media</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8.85%</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tcPr>
          <w:p>
            <w:pPr>
              <w:jc w:val="right"/>
              <w:spacing w:after="0"/>
              <w:rPr>
                <w:sz w:val="20"/>
                <w:szCs w:val="20"/>
                <w:color w:val="auto"/>
              </w:rPr>
            </w:pPr>
            <w:r>
              <w:rPr>
                <w:rFonts w:ascii="Arial" w:cs="Arial" w:eastAsia="Arial" w:hAnsi="Arial"/>
                <w:sz w:val="12"/>
                <w:szCs w:val="12"/>
                <w:color w:val="auto"/>
              </w:rPr>
              <w:t>1,165,161</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1,165,161</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1,153,510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HW Holdco, LLC (Revolver) </w:t>
            </w:r>
            <w:r>
              <w:rPr>
                <w:rFonts w:ascii="Arial" w:cs="Arial" w:eastAsia="Arial" w:hAnsi="Arial"/>
                <w:sz w:val="9"/>
                <w:szCs w:val="9"/>
                <w:color w:val="auto"/>
              </w:rPr>
              <w:t>(7)</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12/10/2024</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1"/>
              </w:rPr>
              <w:t>Media</w:t>
            </w:r>
          </w:p>
        </w:tc>
        <w:tc>
          <w:tcPr>
            <w:tcW w:w="900" w:type="dxa"/>
            <w:vAlign w:val="bottom"/>
            <w:gridSpan w:val="2"/>
            <w:shd w:val="clear" w:color="auto" w:fill="CCECFF"/>
          </w:tcPr>
          <w:p>
            <w:pPr>
              <w:jc w:val="right"/>
              <w:ind w:right="3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2,221,935</w:t>
            </w:r>
          </w:p>
        </w:tc>
        <w:tc>
          <w:tcPr>
            <w:tcW w:w="2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(22,218)</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Impact Group, LLC </w:t>
            </w:r>
            <w:r>
              <w:rPr>
                <w:rFonts w:ascii="Arial" w:cs="Arial" w:eastAsia="Arial" w:hAnsi="Arial"/>
                <w:sz w:val="9"/>
                <w:szCs w:val="9"/>
                <w:color w:val="auto"/>
              </w:rPr>
              <w:t>(5)</w:t>
            </w:r>
          </w:p>
        </w:tc>
        <w:tc>
          <w:tcPr>
            <w:tcW w:w="940" w:type="dxa"/>
            <w:vAlign w:val="bottom"/>
          </w:tcPr>
          <w:p>
            <w:pPr>
              <w:ind w:left="180"/>
              <w:spacing w:after="0"/>
              <w:rPr>
                <w:sz w:val="20"/>
                <w:szCs w:val="20"/>
                <w:color w:val="auto"/>
              </w:rPr>
            </w:pPr>
            <w:r>
              <w:rPr>
                <w:rFonts w:ascii="Arial" w:cs="Arial" w:eastAsia="Arial" w:hAnsi="Arial"/>
                <w:sz w:val="12"/>
                <w:szCs w:val="12"/>
                <w:color w:val="auto"/>
              </w:rPr>
              <w:t>06/27/2023</w:t>
            </w:r>
          </w:p>
        </w:tc>
        <w:tc>
          <w:tcPr>
            <w:tcW w:w="268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Personal, Food and Miscellaneous Services</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9.21%</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L+650</w:t>
            </w:r>
          </w:p>
        </w:tc>
        <w:tc>
          <w:tcPr>
            <w:tcW w:w="660" w:type="dxa"/>
            <w:vAlign w:val="bottom"/>
          </w:tcPr>
          <w:p>
            <w:pPr>
              <w:jc w:val="right"/>
              <w:spacing w:after="0"/>
              <w:rPr>
                <w:sz w:val="20"/>
                <w:szCs w:val="20"/>
                <w:color w:val="auto"/>
              </w:rPr>
            </w:pPr>
            <w:r>
              <w:rPr>
                <w:rFonts w:ascii="Arial" w:cs="Arial" w:eastAsia="Arial" w:hAnsi="Arial"/>
                <w:sz w:val="12"/>
                <w:szCs w:val="12"/>
                <w:color w:val="auto"/>
              </w:rPr>
              <w:t>20,208,622</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20,097,645</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20,107,579</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Juniper Landscaping of Florida, LLC</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12/22/2021</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6"/>
              </w:rPr>
              <w:t>Personal, Food and Miscellaneous Services</w:t>
            </w:r>
          </w:p>
        </w:tc>
        <w:tc>
          <w:tcPr>
            <w:tcW w:w="90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11.99%</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L+950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13,991,738</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13,816,918</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13,991,738</w:t>
            </w: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(5)</w:t>
            </w:r>
          </w:p>
        </w:tc>
        <w:tc>
          <w:tcPr>
            <w:tcW w:w="940" w:type="dxa"/>
            <w:vAlign w:val="bottom"/>
          </w:tcPr>
          <w:p>
            <w:pPr>
              <w:ind w:left="180"/>
              <w:spacing w:after="0"/>
              <w:rPr>
                <w:sz w:val="20"/>
                <w:szCs w:val="20"/>
                <w:color w:val="auto"/>
              </w:rPr>
            </w:pPr>
            <w:r>
              <w:rPr>
                <w:rFonts w:ascii="Arial" w:cs="Arial" w:eastAsia="Arial" w:hAnsi="Arial"/>
                <w:sz w:val="12"/>
                <w:szCs w:val="12"/>
                <w:color w:val="auto"/>
              </w:rPr>
              <w:t>12/20/2023</w:t>
            </w:r>
          </w:p>
        </w:tc>
        <w:tc>
          <w:tcPr>
            <w:tcW w:w="2680" w:type="dxa"/>
            <w:vAlign w:val="bottom"/>
            <w:gridSpan w:val="2"/>
          </w:tcPr>
          <w:p>
            <w:pPr>
              <w:jc w:val="center"/>
              <w:ind w:right="200"/>
              <w:spacing w:after="0"/>
              <w:rPr>
                <w:sz w:val="20"/>
                <w:szCs w:val="20"/>
                <w:color w:val="auto"/>
              </w:rPr>
            </w:pPr>
            <w:r>
              <w:rPr>
                <w:rFonts w:ascii="Arial" w:cs="Arial" w:eastAsia="Arial" w:hAnsi="Arial"/>
                <w:sz w:val="12"/>
                <w:szCs w:val="12"/>
                <w:color w:val="auto"/>
                <w:w w:val="87"/>
              </w:rPr>
              <w:t>Chemicals, Plastics and Rubber</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7.75%</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L+525</w:t>
            </w:r>
          </w:p>
        </w:tc>
        <w:tc>
          <w:tcPr>
            <w:tcW w:w="660" w:type="dxa"/>
            <w:vAlign w:val="bottom"/>
          </w:tcPr>
          <w:p>
            <w:pPr>
              <w:jc w:val="right"/>
              <w:spacing w:after="0"/>
              <w:rPr>
                <w:sz w:val="20"/>
                <w:szCs w:val="20"/>
                <w:color w:val="auto"/>
              </w:rPr>
            </w:pPr>
            <w:r>
              <w:rPr>
                <w:rFonts w:ascii="Arial" w:cs="Arial" w:eastAsia="Arial" w:hAnsi="Arial"/>
                <w:sz w:val="12"/>
                <w:szCs w:val="12"/>
                <w:color w:val="auto"/>
              </w:rPr>
              <w:t>27,133,333</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26,745,947</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26,796,394</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K2 Pure Solutions NoCal, L.P. (Revolver) </w:t>
            </w:r>
            <w:r>
              <w:rPr>
                <w:rFonts w:ascii="Arial" w:cs="Arial" w:eastAsia="Arial" w:hAnsi="Arial"/>
                <w:sz w:val="9"/>
                <w:szCs w:val="9"/>
                <w:color w:val="auto"/>
              </w:rPr>
              <w:t>(7)</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12/20/2023</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7"/>
              </w:rPr>
              <w:t>Chemicals, Plastics and Rubber</w:t>
            </w:r>
          </w:p>
        </w:tc>
        <w:tc>
          <w:tcPr>
            <w:tcW w:w="900" w:type="dxa"/>
            <w:vAlign w:val="bottom"/>
            <w:gridSpan w:val="2"/>
            <w:shd w:val="clear" w:color="auto" w:fill="CCECFF"/>
          </w:tcPr>
          <w:p>
            <w:pPr>
              <w:jc w:val="right"/>
              <w:ind w:right="3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1,938,095</w:t>
            </w:r>
          </w:p>
        </w:tc>
        <w:tc>
          <w:tcPr>
            <w:tcW w:w="2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(24,067)</w:t>
            </w:r>
          </w:p>
        </w:tc>
      </w:tr>
      <w:tr>
        <w:trPr>
          <w:trHeight w:val="155"/>
        </w:trPr>
        <w:tc>
          <w:tcPr>
            <w:tcW w:w="2960" w:type="dxa"/>
            <w:vAlign w:val="bottom"/>
          </w:tcPr>
          <w:p>
            <w:pPr>
              <w:spacing w:after="0"/>
              <w:rPr>
                <w:sz w:val="20"/>
                <w:szCs w:val="20"/>
                <w:color w:val="auto"/>
              </w:rPr>
            </w:pPr>
            <w:r>
              <w:rPr>
                <w:rFonts w:ascii="Arial" w:cs="Arial" w:eastAsia="Arial" w:hAnsi="Arial"/>
                <w:sz w:val="12"/>
                <w:szCs w:val="12"/>
                <w:color w:val="auto"/>
              </w:rPr>
              <w:t xml:space="preserve">Kentucky Downs, LLC </w:t>
            </w:r>
            <w:r>
              <w:rPr>
                <w:rFonts w:ascii="Arial" w:cs="Arial" w:eastAsia="Arial" w:hAnsi="Arial"/>
                <w:sz w:val="9"/>
                <w:szCs w:val="9"/>
                <w:color w:val="auto"/>
              </w:rPr>
              <w:t>(5)</w:t>
            </w:r>
          </w:p>
        </w:tc>
        <w:tc>
          <w:tcPr>
            <w:tcW w:w="940" w:type="dxa"/>
            <w:vAlign w:val="bottom"/>
          </w:tcPr>
          <w:p>
            <w:pPr>
              <w:ind w:left="180"/>
              <w:spacing w:after="0"/>
              <w:rPr>
                <w:sz w:val="20"/>
                <w:szCs w:val="20"/>
                <w:color w:val="auto"/>
              </w:rPr>
            </w:pPr>
            <w:r>
              <w:rPr>
                <w:rFonts w:ascii="Arial" w:cs="Arial" w:eastAsia="Arial" w:hAnsi="Arial"/>
                <w:sz w:val="12"/>
                <w:szCs w:val="12"/>
                <w:color w:val="auto"/>
              </w:rPr>
              <w:t>03/07/2025</w:t>
            </w:r>
          </w:p>
        </w:tc>
        <w:tc>
          <w:tcPr>
            <w:tcW w:w="2680" w:type="dxa"/>
            <w:vAlign w:val="bottom"/>
            <w:gridSpan w:val="2"/>
          </w:tcPr>
          <w:p>
            <w:pPr>
              <w:jc w:val="center"/>
              <w:ind w:right="200"/>
              <w:spacing w:after="0"/>
              <w:rPr>
                <w:sz w:val="20"/>
                <w:szCs w:val="20"/>
                <w:color w:val="auto"/>
              </w:rPr>
            </w:pPr>
            <w:r>
              <w:rPr>
                <w:rFonts w:ascii="Arial" w:cs="Arial" w:eastAsia="Arial" w:hAnsi="Arial"/>
                <w:sz w:val="12"/>
                <w:szCs w:val="12"/>
                <w:color w:val="auto"/>
                <w:w w:val="89"/>
              </w:rPr>
              <w:t>Hotels, Motels, Inns and Gaming</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12.10%</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L+950</w:t>
            </w:r>
          </w:p>
        </w:tc>
        <w:tc>
          <w:tcPr>
            <w:tcW w:w="660" w:type="dxa"/>
            <w:vAlign w:val="bottom"/>
          </w:tcPr>
          <w:p>
            <w:pPr>
              <w:jc w:val="right"/>
              <w:spacing w:after="0"/>
              <w:rPr>
                <w:sz w:val="20"/>
                <w:szCs w:val="20"/>
                <w:color w:val="auto"/>
              </w:rPr>
            </w:pPr>
            <w:r>
              <w:rPr>
                <w:rFonts w:ascii="Arial" w:cs="Arial" w:eastAsia="Arial" w:hAnsi="Arial"/>
                <w:sz w:val="12"/>
                <w:szCs w:val="12"/>
                <w:color w:val="auto"/>
              </w:rPr>
              <w:t>9,948,414</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9,750,203</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9,749,446</w:t>
            </w:r>
          </w:p>
        </w:tc>
        <w:tc>
          <w:tcPr>
            <w:tcW w:w="100" w:type="dxa"/>
            <w:vAlign w:val="bottom"/>
          </w:tcPr>
          <w:p>
            <w:pPr>
              <w:spacing w:after="0"/>
              <w:rPr>
                <w:sz w:val="13"/>
                <w:szCs w:val="13"/>
                <w:color w:val="auto"/>
              </w:rPr>
            </w:pPr>
          </w:p>
        </w:tc>
      </w:tr>
      <w:tr>
        <w:trPr>
          <w:trHeight w:val="142"/>
        </w:trPr>
        <w:tc>
          <w:tcPr>
            <w:tcW w:w="2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(PIK 3.00%)</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Kentucky Downs, LLC </w:t>
            </w:r>
            <w:r>
              <w:rPr>
                <w:rFonts w:ascii="Arial" w:cs="Arial" w:eastAsia="Arial" w:hAnsi="Arial"/>
                <w:sz w:val="9"/>
                <w:szCs w:val="9"/>
                <w:color w:val="auto"/>
              </w:rPr>
              <w:t>(7)</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03/07/2025</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9"/>
              </w:rPr>
              <w:t>Hotels, Motels, Inns and Gaming</w:t>
            </w:r>
          </w:p>
        </w:tc>
        <w:tc>
          <w:tcPr>
            <w:tcW w:w="900" w:type="dxa"/>
            <w:vAlign w:val="bottom"/>
            <w:gridSpan w:val="2"/>
            <w:shd w:val="clear" w:color="auto" w:fill="CCECFF"/>
          </w:tcPr>
          <w:p>
            <w:pPr>
              <w:jc w:val="right"/>
              <w:ind w:right="3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2,068,965</w:t>
            </w:r>
          </w:p>
        </w:tc>
        <w:tc>
          <w:tcPr>
            <w:tcW w:w="2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Lombart Brothers, Inc. </w:t>
            </w:r>
            <w:r>
              <w:rPr>
                <w:rFonts w:ascii="Arial" w:cs="Arial" w:eastAsia="Arial" w:hAnsi="Arial"/>
                <w:sz w:val="9"/>
                <w:szCs w:val="9"/>
                <w:color w:val="auto"/>
              </w:rPr>
              <w:t>(5)</w:t>
            </w:r>
          </w:p>
        </w:tc>
        <w:tc>
          <w:tcPr>
            <w:tcW w:w="940" w:type="dxa"/>
            <w:vAlign w:val="bottom"/>
          </w:tcPr>
          <w:p>
            <w:pPr>
              <w:ind w:left="180"/>
              <w:spacing w:after="0"/>
              <w:rPr>
                <w:sz w:val="20"/>
                <w:szCs w:val="20"/>
                <w:color w:val="auto"/>
              </w:rPr>
            </w:pPr>
            <w:r>
              <w:rPr>
                <w:rFonts w:ascii="Arial" w:cs="Arial" w:eastAsia="Arial" w:hAnsi="Arial"/>
                <w:sz w:val="12"/>
                <w:szCs w:val="12"/>
                <w:color w:val="auto"/>
              </w:rPr>
              <w:t>04/13/2023</w:t>
            </w:r>
          </w:p>
        </w:tc>
        <w:tc>
          <w:tcPr>
            <w:tcW w:w="2680" w:type="dxa"/>
            <w:vAlign w:val="bottom"/>
            <w:gridSpan w:val="2"/>
          </w:tcPr>
          <w:p>
            <w:pPr>
              <w:jc w:val="center"/>
              <w:ind w:right="200"/>
              <w:spacing w:after="0"/>
              <w:rPr>
                <w:sz w:val="20"/>
                <w:szCs w:val="20"/>
                <w:color w:val="auto"/>
              </w:rPr>
            </w:pPr>
            <w:r>
              <w:rPr>
                <w:rFonts w:ascii="Arial" w:cs="Arial" w:eastAsia="Arial" w:hAnsi="Arial"/>
                <w:sz w:val="12"/>
                <w:szCs w:val="12"/>
                <w:color w:val="auto"/>
                <w:w w:val="87"/>
              </w:rPr>
              <w:t>Healthcare, Education and Childcare</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8.85%</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tcPr>
          <w:p>
            <w:pPr>
              <w:jc w:val="right"/>
              <w:spacing w:after="0"/>
              <w:rPr>
                <w:sz w:val="20"/>
                <w:szCs w:val="20"/>
                <w:color w:val="auto"/>
              </w:rPr>
            </w:pPr>
            <w:r>
              <w:rPr>
                <w:rFonts w:ascii="Arial" w:cs="Arial" w:eastAsia="Arial" w:hAnsi="Arial"/>
                <w:sz w:val="12"/>
                <w:szCs w:val="12"/>
                <w:color w:val="auto"/>
              </w:rPr>
              <w:t>15,357,892</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15,167,300</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15,204,313</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Lombart Brothers, Inc. (Revolver)</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04/13/2023</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7"/>
              </w:rPr>
              <w:t>Healthcare, Education and Childcare</w:t>
            </w:r>
          </w:p>
        </w:tc>
        <w:tc>
          <w:tcPr>
            <w:tcW w:w="90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10.50%</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P+500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937,012</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937,012</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937,012</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(7)</w:t>
            </w:r>
          </w:p>
        </w:tc>
        <w:tc>
          <w:tcPr>
            <w:tcW w:w="940" w:type="dxa"/>
            <w:vAlign w:val="bottom"/>
          </w:tcPr>
          <w:p>
            <w:pPr>
              <w:ind w:left="180"/>
              <w:spacing w:after="0"/>
              <w:rPr>
                <w:sz w:val="20"/>
                <w:szCs w:val="20"/>
                <w:color w:val="auto"/>
              </w:rPr>
            </w:pPr>
            <w:r>
              <w:rPr>
                <w:rFonts w:ascii="Arial" w:cs="Arial" w:eastAsia="Arial" w:hAnsi="Arial"/>
                <w:sz w:val="12"/>
                <w:szCs w:val="12"/>
                <w:color w:val="auto"/>
              </w:rPr>
              <w:t>04/13/2023</w:t>
            </w:r>
          </w:p>
        </w:tc>
        <w:tc>
          <w:tcPr>
            <w:tcW w:w="2680" w:type="dxa"/>
            <w:vAlign w:val="bottom"/>
            <w:gridSpan w:val="2"/>
          </w:tcPr>
          <w:p>
            <w:pPr>
              <w:jc w:val="center"/>
              <w:ind w:right="200"/>
              <w:spacing w:after="0"/>
              <w:rPr>
                <w:sz w:val="20"/>
                <w:szCs w:val="20"/>
                <w:color w:val="auto"/>
              </w:rPr>
            </w:pPr>
            <w:r>
              <w:rPr>
                <w:rFonts w:ascii="Arial" w:cs="Arial" w:eastAsia="Arial" w:hAnsi="Arial"/>
                <w:sz w:val="12"/>
                <w:szCs w:val="12"/>
                <w:color w:val="auto"/>
                <w:w w:val="87"/>
              </w:rPr>
              <w:t>Healthcare, Education and Childcare</w:t>
            </w:r>
          </w:p>
        </w:tc>
        <w:tc>
          <w:tcPr>
            <w:tcW w:w="90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832,900</w:t>
            </w:r>
          </w:p>
        </w:tc>
        <w:tc>
          <w:tcPr>
            <w:tcW w:w="22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Ox Two, LLC</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02/27/2023</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92"/>
              </w:rPr>
              <w:t>Building Materials</w:t>
            </w:r>
          </w:p>
        </w:tc>
        <w:tc>
          <w:tcPr>
            <w:tcW w:w="90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8.75%</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22,002,099</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21,639,483</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22,002,099</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Ox Two, LLC (Revolver)</w:t>
            </w:r>
          </w:p>
        </w:tc>
        <w:tc>
          <w:tcPr>
            <w:tcW w:w="940" w:type="dxa"/>
            <w:vAlign w:val="bottom"/>
          </w:tcPr>
          <w:p>
            <w:pPr>
              <w:ind w:left="180"/>
              <w:spacing w:after="0"/>
              <w:rPr>
                <w:sz w:val="20"/>
                <w:szCs w:val="20"/>
                <w:color w:val="auto"/>
              </w:rPr>
            </w:pPr>
            <w:r>
              <w:rPr>
                <w:rFonts w:ascii="Arial" w:cs="Arial" w:eastAsia="Arial" w:hAnsi="Arial"/>
                <w:sz w:val="12"/>
                <w:szCs w:val="12"/>
                <w:color w:val="auto"/>
              </w:rPr>
              <w:t>02/27/2023</w:t>
            </w:r>
          </w:p>
        </w:tc>
        <w:tc>
          <w:tcPr>
            <w:tcW w:w="2680" w:type="dxa"/>
            <w:vAlign w:val="bottom"/>
            <w:gridSpan w:val="2"/>
          </w:tcPr>
          <w:p>
            <w:pPr>
              <w:jc w:val="center"/>
              <w:ind w:right="200"/>
              <w:spacing w:after="0"/>
              <w:rPr>
                <w:sz w:val="20"/>
                <w:szCs w:val="20"/>
                <w:color w:val="auto"/>
              </w:rPr>
            </w:pPr>
            <w:r>
              <w:rPr>
                <w:rFonts w:ascii="Arial" w:cs="Arial" w:eastAsia="Arial" w:hAnsi="Arial"/>
                <w:sz w:val="12"/>
                <w:szCs w:val="12"/>
                <w:color w:val="auto"/>
                <w:w w:val="92"/>
              </w:rPr>
              <w:t>Building Materials</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12.75%</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P+725</w:t>
            </w:r>
          </w:p>
        </w:tc>
        <w:tc>
          <w:tcPr>
            <w:tcW w:w="660" w:type="dxa"/>
            <w:vAlign w:val="bottom"/>
          </w:tcPr>
          <w:p>
            <w:pPr>
              <w:jc w:val="right"/>
              <w:spacing w:after="0"/>
              <w:rPr>
                <w:sz w:val="20"/>
                <w:szCs w:val="20"/>
                <w:color w:val="auto"/>
              </w:rPr>
            </w:pPr>
            <w:r>
              <w:rPr>
                <w:rFonts w:ascii="Arial" w:cs="Arial" w:eastAsia="Arial" w:hAnsi="Arial"/>
                <w:sz w:val="12"/>
                <w:szCs w:val="12"/>
                <w:color w:val="auto"/>
              </w:rPr>
              <w:t>1,125,000</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1,125,000</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1,125,000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02/27/2023</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92"/>
              </w:rPr>
              <w:t>Building Materials</w:t>
            </w:r>
          </w:p>
        </w:tc>
        <w:tc>
          <w:tcPr>
            <w:tcW w:w="900" w:type="dxa"/>
            <w:vAlign w:val="bottom"/>
            <w:gridSpan w:val="2"/>
            <w:shd w:val="clear" w:color="auto" w:fill="CCECFF"/>
          </w:tcPr>
          <w:p>
            <w:pPr>
              <w:jc w:val="right"/>
              <w:ind w:right="3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1,375,000</w:t>
            </w:r>
          </w:p>
        </w:tc>
        <w:tc>
          <w:tcPr>
            <w:tcW w:w="2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Peninsula Pacific Entertainment LLC</w:t>
            </w:r>
          </w:p>
        </w:tc>
        <w:tc>
          <w:tcPr>
            <w:tcW w:w="940" w:type="dxa"/>
            <w:vAlign w:val="bottom"/>
          </w:tcPr>
          <w:p>
            <w:pPr>
              <w:ind w:left="180"/>
              <w:spacing w:after="0"/>
              <w:rPr>
                <w:sz w:val="20"/>
                <w:szCs w:val="20"/>
                <w:color w:val="auto"/>
              </w:rPr>
            </w:pPr>
            <w:r>
              <w:rPr>
                <w:rFonts w:ascii="Arial" w:cs="Arial" w:eastAsia="Arial" w:hAnsi="Arial"/>
                <w:sz w:val="12"/>
                <w:szCs w:val="12"/>
                <w:color w:val="auto"/>
              </w:rPr>
              <w:t>11/13/2024</w:t>
            </w:r>
          </w:p>
        </w:tc>
        <w:tc>
          <w:tcPr>
            <w:tcW w:w="2680" w:type="dxa"/>
            <w:vAlign w:val="bottom"/>
            <w:gridSpan w:val="2"/>
          </w:tcPr>
          <w:p>
            <w:pPr>
              <w:jc w:val="center"/>
              <w:ind w:right="200"/>
              <w:spacing w:after="0"/>
              <w:rPr>
                <w:sz w:val="20"/>
                <w:szCs w:val="20"/>
                <w:color w:val="auto"/>
              </w:rPr>
            </w:pPr>
            <w:r>
              <w:rPr>
                <w:rFonts w:ascii="Arial" w:cs="Arial" w:eastAsia="Arial" w:hAnsi="Arial"/>
                <w:sz w:val="12"/>
                <w:szCs w:val="12"/>
                <w:color w:val="auto"/>
                <w:w w:val="89"/>
              </w:rPr>
              <w:t>Hotels, Motels, Inns and Gaming</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10.00%</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L+725</w:t>
            </w:r>
          </w:p>
        </w:tc>
        <w:tc>
          <w:tcPr>
            <w:tcW w:w="660" w:type="dxa"/>
            <w:vAlign w:val="bottom"/>
          </w:tcPr>
          <w:p>
            <w:pPr>
              <w:jc w:val="right"/>
              <w:spacing w:after="0"/>
              <w:rPr>
                <w:sz w:val="20"/>
                <w:szCs w:val="20"/>
                <w:color w:val="auto"/>
              </w:rPr>
            </w:pPr>
            <w:r>
              <w:rPr>
                <w:rFonts w:ascii="Arial" w:cs="Arial" w:eastAsia="Arial" w:hAnsi="Arial"/>
                <w:sz w:val="12"/>
                <w:szCs w:val="12"/>
                <w:color w:val="auto"/>
              </w:rPr>
              <w:t>7,200,000</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7,184,580</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7,155,000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Peninsula Pacific Entertainment LLC </w:t>
            </w:r>
            <w:r>
              <w:rPr>
                <w:rFonts w:ascii="Arial" w:cs="Arial" w:eastAsia="Arial" w:hAnsi="Arial"/>
                <w:sz w:val="9"/>
                <w:szCs w:val="9"/>
                <w:color w:val="auto"/>
              </w:rPr>
              <w:t>(7)</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11/13/2024</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9"/>
              </w:rPr>
              <w:t>Hotels, Motels, Inns and Gaming</w:t>
            </w:r>
          </w:p>
        </w:tc>
        <w:tc>
          <w:tcPr>
            <w:tcW w:w="900" w:type="dxa"/>
            <w:vAlign w:val="bottom"/>
            <w:gridSpan w:val="2"/>
            <w:shd w:val="clear" w:color="auto" w:fill="CCECFF"/>
          </w:tcPr>
          <w:p>
            <w:pPr>
              <w:jc w:val="right"/>
              <w:ind w:right="3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800,000</w:t>
            </w:r>
          </w:p>
        </w:tc>
        <w:tc>
          <w:tcPr>
            <w:tcW w:w="2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(5,000)</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Perforce Software, Inc. </w:t>
            </w:r>
            <w:r>
              <w:rPr>
                <w:rFonts w:ascii="Arial" w:cs="Arial" w:eastAsia="Arial" w:hAnsi="Arial"/>
                <w:sz w:val="9"/>
                <w:szCs w:val="9"/>
                <w:color w:val="auto"/>
              </w:rPr>
              <w:t>(5)</w:t>
            </w:r>
          </w:p>
        </w:tc>
        <w:tc>
          <w:tcPr>
            <w:tcW w:w="940" w:type="dxa"/>
            <w:vAlign w:val="bottom"/>
          </w:tcPr>
          <w:p>
            <w:pPr>
              <w:ind w:left="180"/>
              <w:spacing w:after="0"/>
              <w:rPr>
                <w:sz w:val="20"/>
                <w:szCs w:val="20"/>
                <w:color w:val="auto"/>
              </w:rPr>
            </w:pPr>
            <w:r>
              <w:rPr>
                <w:rFonts w:ascii="Arial" w:cs="Arial" w:eastAsia="Arial" w:hAnsi="Arial"/>
                <w:sz w:val="12"/>
                <w:szCs w:val="12"/>
                <w:color w:val="auto"/>
              </w:rPr>
              <w:t>12/27/2024</w:t>
            </w:r>
          </w:p>
        </w:tc>
        <w:tc>
          <w:tcPr>
            <w:tcW w:w="2680" w:type="dxa"/>
            <w:vAlign w:val="bottom"/>
            <w:gridSpan w:val="2"/>
          </w:tcPr>
          <w:p>
            <w:pPr>
              <w:jc w:val="center"/>
              <w:ind w:right="20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7.00%</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L+450</w:t>
            </w:r>
          </w:p>
        </w:tc>
        <w:tc>
          <w:tcPr>
            <w:tcW w:w="660" w:type="dxa"/>
            <w:vAlign w:val="bottom"/>
          </w:tcPr>
          <w:p>
            <w:pPr>
              <w:jc w:val="right"/>
              <w:spacing w:after="0"/>
              <w:rPr>
                <w:sz w:val="20"/>
                <w:szCs w:val="20"/>
                <w:color w:val="auto"/>
              </w:rPr>
            </w:pPr>
            <w:r>
              <w:rPr>
                <w:rFonts w:ascii="Arial" w:cs="Arial" w:eastAsia="Arial" w:hAnsi="Arial"/>
                <w:sz w:val="12"/>
                <w:szCs w:val="12"/>
                <w:color w:val="auto"/>
              </w:rPr>
              <w:t>9,850,063</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9,801,894</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9,813,125</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Perforce Software, Inc. (Revolver) </w:t>
            </w:r>
            <w:r>
              <w:rPr>
                <w:rFonts w:ascii="Arial" w:cs="Arial" w:eastAsia="Arial" w:hAnsi="Arial"/>
                <w:sz w:val="9"/>
                <w:szCs w:val="9"/>
                <w:color w:val="auto"/>
              </w:rPr>
              <w:t>(7)</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12/27/2024</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shd w:val="clear" w:color="auto" w:fill="CCECFF"/>
          </w:tcPr>
          <w:p>
            <w:pPr>
              <w:jc w:val="right"/>
              <w:ind w:right="3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125,000</w:t>
            </w:r>
          </w:p>
        </w:tc>
        <w:tc>
          <w:tcPr>
            <w:tcW w:w="2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(1,494)</w:t>
            </w: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 xml:space="preserve">Pestell Minerals and Ingredients Inc. </w:t>
            </w:r>
            <w:r>
              <w:rPr>
                <w:rFonts w:ascii="Arial" w:cs="Arial" w:eastAsia="Arial" w:hAnsi="Arial"/>
                <w:sz w:val="9"/>
                <w:szCs w:val="9"/>
                <w:color w:val="auto"/>
              </w:rPr>
              <w:t>(5), (8), (11)</w:t>
            </w:r>
          </w:p>
        </w:tc>
        <w:tc>
          <w:tcPr>
            <w:tcW w:w="940" w:type="dxa"/>
            <w:vAlign w:val="bottom"/>
          </w:tcPr>
          <w:p>
            <w:pPr>
              <w:ind w:left="180"/>
              <w:spacing w:after="0"/>
              <w:rPr>
                <w:sz w:val="20"/>
                <w:szCs w:val="20"/>
                <w:color w:val="auto"/>
              </w:rPr>
            </w:pPr>
            <w:r>
              <w:rPr>
                <w:rFonts w:ascii="Arial" w:cs="Arial" w:eastAsia="Arial" w:hAnsi="Arial"/>
                <w:sz w:val="12"/>
                <w:szCs w:val="12"/>
                <w:color w:val="auto"/>
              </w:rPr>
              <w:t>06/01/2023</w:t>
            </w:r>
          </w:p>
        </w:tc>
        <w:tc>
          <w:tcPr>
            <w:tcW w:w="2680" w:type="dxa"/>
            <w:vAlign w:val="bottom"/>
            <w:gridSpan w:val="2"/>
          </w:tcPr>
          <w:p>
            <w:pPr>
              <w:jc w:val="center"/>
              <w:ind w:right="20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8.05%</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L+525</w:t>
            </w:r>
          </w:p>
        </w:tc>
        <w:tc>
          <w:tcPr>
            <w:tcW w:w="660" w:type="dxa"/>
            <w:vAlign w:val="bottom"/>
          </w:tcPr>
          <w:p>
            <w:pPr>
              <w:jc w:val="right"/>
              <w:spacing w:after="0"/>
              <w:rPr>
                <w:sz w:val="20"/>
                <w:szCs w:val="20"/>
                <w:color w:val="auto"/>
              </w:rPr>
            </w:pPr>
            <w:r>
              <w:rPr>
                <w:rFonts w:ascii="Arial" w:cs="Arial" w:eastAsia="Arial" w:hAnsi="Arial"/>
                <w:sz w:val="12"/>
                <w:szCs w:val="12"/>
                <w:color w:val="auto"/>
              </w:rPr>
              <w:t>5,486,250</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5,433,471</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5,460,623</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PRA Events, Inc.</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08/08/2022</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9.61%</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L+700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19,579,221</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19,297,957</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19,579,221</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PRA Events, Inc. (Revolver) </w:t>
            </w:r>
            <w:r>
              <w:rPr>
                <w:rFonts w:ascii="Arial" w:cs="Arial" w:eastAsia="Arial" w:hAnsi="Arial"/>
                <w:sz w:val="9"/>
                <w:szCs w:val="9"/>
                <w:color w:val="auto"/>
              </w:rPr>
              <w:t>(7)</w:t>
            </w:r>
          </w:p>
        </w:tc>
        <w:tc>
          <w:tcPr>
            <w:tcW w:w="940" w:type="dxa"/>
            <w:vAlign w:val="bottom"/>
          </w:tcPr>
          <w:p>
            <w:pPr>
              <w:ind w:left="180"/>
              <w:spacing w:after="0"/>
              <w:rPr>
                <w:sz w:val="20"/>
                <w:szCs w:val="20"/>
                <w:color w:val="auto"/>
              </w:rPr>
            </w:pPr>
            <w:r>
              <w:rPr>
                <w:rFonts w:ascii="Arial" w:cs="Arial" w:eastAsia="Arial" w:hAnsi="Arial"/>
                <w:sz w:val="12"/>
                <w:szCs w:val="12"/>
                <w:color w:val="auto"/>
              </w:rPr>
              <w:t>08/08/2022</w:t>
            </w:r>
          </w:p>
        </w:tc>
        <w:tc>
          <w:tcPr>
            <w:tcW w:w="2680" w:type="dxa"/>
            <w:vAlign w:val="bottom"/>
            <w:gridSpan w:val="2"/>
          </w:tcPr>
          <w:p>
            <w:pPr>
              <w:jc w:val="center"/>
              <w:ind w:right="20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2,000,000</w:t>
            </w:r>
          </w:p>
        </w:tc>
        <w:tc>
          <w:tcPr>
            <w:tcW w:w="22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Provation Medical, Inc.</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03/11/2024</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8"/>
              </w:rPr>
              <w:t>Electronics</w:t>
            </w:r>
          </w:p>
        </w:tc>
        <w:tc>
          <w:tcPr>
            <w:tcW w:w="90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9.80%</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L+700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26,932,500</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26,356,313</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26,388,459</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Questex, LLC</w:t>
            </w:r>
          </w:p>
        </w:tc>
        <w:tc>
          <w:tcPr>
            <w:tcW w:w="940" w:type="dxa"/>
            <w:vAlign w:val="bottom"/>
          </w:tcPr>
          <w:p>
            <w:pPr>
              <w:ind w:left="180"/>
              <w:spacing w:after="0"/>
              <w:rPr>
                <w:sz w:val="20"/>
                <w:szCs w:val="20"/>
                <w:color w:val="auto"/>
              </w:rPr>
            </w:pPr>
            <w:r>
              <w:rPr>
                <w:rFonts w:ascii="Arial" w:cs="Arial" w:eastAsia="Arial" w:hAnsi="Arial"/>
                <w:sz w:val="12"/>
                <w:szCs w:val="12"/>
                <w:color w:val="auto"/>
              </w:rPr>
              <w:t>09/09/2024</w:t>
            </w:r>
          </w:p>
        </w:tc>
        <w:tc>
          <w:tcPr>
            <w:tcW w:w="2680" w:type="dxa"/>
            <w:vAlign w:val="bottom"/>
            <w:gridSpan w:val="2"/>
          </w:tcPr>
          <w:p>
            <w:pPr>
              <w:jc w:val="center"/>
              <w:ind w:right="180"/>
              <w:spacing w:after="0"/>
              <w:rPr>
                <w:sz w:val="20"/>
                <w:szCs w:val="20"/>
                <w:color w:val="auto"/>
              </w:rPr>
            </w:pPr>
            <w:r>
              <w:rPr>
                <w:rFonts w:ascii="Arial" w:cs="Arial" w:eastAsia="Arial" w:hAnsi="Arial"/>
                <w:sz w:val="12"/>
                <w:szCs w:val="12"/>
                <w:color w:val="auto"/>
                <w:w w:val="91"/>
              </w:rPr>
              <w:t>Media</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8.86%</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tcPr>
          <w:p>
            <w:pPr>
              <w:jc w:val="right"/>
              <w:spacing w:after="0"/>
              <w:rPr>
                <w:sz w:val="20"/>
                <w:szCs w:val="20"/>
                <w:color w:val="auto"/>
              </w:rPr>
            </w:pPr>
            <w:r>
              <w:rPr>
                <w:rFonts w:ascii="Arial" w:cs="Arial" w:eastAsia="Arial" w:hAnsi="Arial"/>
                <w:sz w:val="12"/>
                <w:szCs w:val="12"/>
                <w:color w:val="auto"/>
              </w:rPr>
              <w:t>22,387,500</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21,979,501</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21,939,750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09/09/2024</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1"/>
              </w:rPr>
              <w:t>Media</w:t>
            </w:r>
          </w:p>
        </w:tc>
        <w:tc>
          <w:tcPr>
            <w:tcW w:w="900" w:type="dxa"/>
            <w:vAlign w:val="bottom"/>
            <w:gridSpan w:val="2"/>
            <w:shd w:val="clear" w:color="auto" w:fill="CCECFF"/>
          </w:tcPr>
          <w:p>
            <w:pPr>
              <w:jc w:val="right"/>
              <w:ind w:right="3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3,590,426</w:t>
            </w:r>
          </w:p>
        </w:tc>
        <w:tc>
          <w:tcPr>
            <w:tcW w:w="2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(71,808)</w:t>
            </w: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 xml:space="preserve">Radius Aerospace, Inc. </w:t>
            </w:r>
            <w:r>
              <w:rPr>
                <w:rFonts w:ascii="Arial" w:cs="Arial" w:eastAsia="Arial" w:hAnsi="Arial"/>
                <w:sz w:val="9"/>
                <w:szCs w:val="9"/>
                <w:color w:val="auto"/>
              </w:rPr>
              <w:t>(5)</w:t>
            </w:r>
          </w:p>
        </w:tc>
        <w:tc>
          <w:tcPr>
            <w:tcW w:w="940" w:type="dxa"/>
            <w:vAlign w:val="bottom"/>
          </w:tcPr>
          <w:p>
            <w:pPr>
              <w:ind w:left="180"/>
              <w:spacing w:after="0"/>
              <w:rPr>
                <w:sz w:val="20"/>
                <w:szCs w:val="20"/>
                <w:color w:val="auto"/>
              </w:rPr>
            </w:pPr>
            <w:r>
              <w:rPr>
                <w:rFonts w:ascii="Arial" w:cs="Arial" w:eastAsia="Arial" w:hAnsi="Arial"/>
                <w:sz w:val="12"/>
                <w:szCs w:val="12"/>
                <w:color w:val="auto"/>
              </w:rPr>
              <w:t>03/31/2025</w:t>
            </w:r>
          </w:p>
        </w:tc>
        <w:tc>
          <w:tcPr>
            <w:tcW w:w="268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8.35%</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L+575</w:t>
            </w:r>
          </w:p>
        </w:tc>
        <w:tc>
          <w:tcPr>
            <w:tcW w:w="660" w:type="dxa"/>
            <w:vAlign w:val="bottom"/>
          </w:tcPr>
          <w:p>
            <w:pPr>
              <w:jc w:val="right"/>
              <w:spacing w:after="0"/>
              <w:rPr>
                <w:sz w:val="20"/>
                <w:szCs w:val="20"/>
                <w:color w:val="auto"/>
              </w:rPr>
            </w:pPr>
            <w:r>
              <w:rPr>
                <w:rFonts w:ascii="Arial" w:cs="Arial" w:eastAsia="Arial" w:hAnsi="Arial"/>
                <w:sz w:val="12"/>
                <w:szCs w:val="12"/>
                <w:color w:val="auto"/>
              </w:rPr>
              <w:t>8,571,429</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8,442,986</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8,442,858</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Radius Aerospace, Inc. (Revolver) </w:t>
            </w:r>
            <w:r>
              <w:rPr>
                <w:rFonts w:ascii="Arial" w:cs="Arial" w:eastAsia="Arial" w:hAnsi="Arial"/>
                <w:sz w:val="9"/>
                <w:szCs w:val="9"/>
                <w:color w:val="auto"/>
              </w:rPr>
              <w:t>(7)</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03/31/2025</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shd w:val="clear" w:color="auto" w:fill="CCECFF"/>
          </w:tcPr>
          <w:p>
            <w:pPr>
              <w:jc w:val="right"/>
              <w:ind w:right="3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1,428,571</w:t>
            </w:r>
          </w:p>
        </w:tc>
        <w:tc>
          <w:tcPr>
            <w:tcW w:w="2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Research Horizons, LLC</w:t>
            </w:r>
          </w:p>
        </w:tc>
        <w:tc>
          <w:tcPr>
            <w:tcW w:w="940" w:type="dxa"/>
            <w:vAlign w:val="bottom"/>
          </w:tcPr>
          <w:p>
            <w:pPr>
              <w:ind w:left="180"/>
              <w:spacing w:after="0"/>
              <w:rPr>
                <w:sz w:val="20"/>
                <w:szCs w:val="20"/>
                <w:color w:val="auto"/>
              </w:rPr>
            </w:pPr>
            <w:r>
              <w:rPr>
                <w:rFonts w:ascii="Arial" w:cs="Arial" w:eastAsia="Arial" w:hAnsi="Arial"/>
                <w:sz w:val="12"/>
                <w:szCs w:val="12"/>
                <w:color w:val="auto"/>
              </w:rPr>
              <w:t>06/28/2022</w:t>
            </w:r>
          </w:p>
        </w:tc>
        <w:tc>
          <w:tcPr>
            <w:tcW w:w="2680" w:type="dxa"/>
            <w:vAlign w:val="bottom"/>
            <w:gridSpan w:val="2"/>
          </w:tcPr>
          <w:p>
            <w:pPr>
              <w:jc w:val="center"/>
              <w:ind w:right="180"/>
              <w:spacing w:after="0"/>
              <w:rPr>
                <w:sz w:val="20"/>
                <w:szCs w:val="20"/>
                <w:color w:val="auto"/>
              </w:rPr>
            </w:pPr>
            <w:r>
              <w:rPr>
                <w:rFonts w:ascii="Arial" w:cs="Arial" w:eastAsia="Arial" w:hAnsi="Arial"/>
                <w:sz w:val="12"/>
                <w:szCs w:val="12"/>
                <w:color w:val="auto"/>
                <w:w w:val="91"/>
              </w:rPr>
              <w:t>Media</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8.74%</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tcPr>
          <w:p>
            <w:pPr>
              <w:jc w:val="right"/>
              <w:spacing w:after="0"/>
              <w:rPr>
                <w:sz w:val="20"/>
                <w:szCs w:val="20"/>
                <w:color w:val="auto"/>
              </w:rPr>
            </w:pPr>
            <w:r>
              <w:rPr>
                <w:rFonts w:ascii="Arial" w:cs="Arial" w:eastAsia="Arial" w:hAnsi="Arial"/>
                <w:sz w:val="12"/>
                <w:szCs w:val="12"/>
                <w:color w:val="auto"/>
              </w:rPr>
              <w:t>24,043,074</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23,663,315</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23,562,213</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06/28/2022</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1"/>
              </w:rPr>
              <w:t>Media</w:t>
            </w:r>
          </w:p>
        </w:tc>
        <w:tc>
          <w:tcPr>
            <w:tcW w:w="900" w:type="dxa"/>
            <w:vAlign w:val="bottom"/>
            <w:gridSpan w:val="2"/>
            <w:shd w:val="clear" w:color="auto" w:fill="CCECFF"/>
          </w:tcPr>
          <w:p>
            <w:pPr>
              <w:jc w:val="right"/>
              <w:ind w:right="3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7,297,297</w:t>
            </w:r>
          </w:p>
        </w:tc>
        <w:tc>
          <w:tcPr>
            <w:tcW w:w="2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(145,946)</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Research Horizons, LLC (Revolver)</w:t>
            </w:r>
          </w:p>
        </w:tc>
        <w:tc>
          <w:tcPr>
            <w:tcW w:w="940" w:type="dxa"/>
            <w:vAlign w:val="bottom"/>
          </w:tcPr>
          <w:p>
            <w:pPr>
              <w:ind w:left="180"/>
              <w:spacing w:after="0"/>
              <w:rPr>
                <w:sz w:val="20"/>
                <w:szCs w:val="20"/>
                <w:color w:val="auto"/>
              </w:rPr>
            </w:pPr>
            <w:r>
              <w:rPr>
                <w:rFonts w:ascii="Arial" w:cs="Arial" w:eastAsia="Arial" w:hAnsi="Arial"/>
                <w:sz w:val="12"/>
                <w:szCs w:val="12"/>
                <w:color w:val="auto"/>
              </w:rPr>
              <w:t>06/28/2022</w:t>
            </w:r>
          </w:p>
        </w:tc>
        <w:tc>
          <w:tcPr>
            <w:tcW w:w="2680" w:type="dxa"/>
            <w:vAlign w:val="bottom"/>
            <w:gridSpan w:val="2"/>
          </w:tcPr>
          <w:p>
            <w:pPr>
              <w:jc w:val="center"/>
              <w:ind w:right="180"/>
              <w:spacing w:after="0"/>
              <w:rPr>
                <w:sz w:val="20"/>
                <w:szCs w:val="20"/>
                <w:color w:val="auto"/>
              </w:rPr>
            </w:pPr>
            <w:r>
              <w:rPr>
                <w:rFonts w:ascii="Arial" w:cs="Arial" w:eastAsia="Arial" w:hAnsi="Arial"/>
                <w:sz w:val="12"/>
                <w:szCs w:val="12"/>
                <w:color w:val="auto"/>
                <w:w w:val="91"/>
              </w:rPr>
              <w:t>Media</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8.75%</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tcPr>
          <w:p>
            <w:pPr>
              <w:jc w:val="right"/>
              <w:spacing w:after="0"/>
              <w:rPr>
                <w:sz w:val="20"/>
                <w:szCs w:val="20"/>
                <w:color w:val="auto"/>
              </w:rPr>
            </w:pPr>
            <w:r>
              <w:rPr>
                <w:rFonts w:ascii="Arial" w:cs="Arial" w:eastAsia="Arial" w:hAnsi="Arial"/>
                <w:sz w:val="12"/>
                <w:szCs w:val="12"/>
                <w:color w:val="auto"/>
              </w:rPr>
              <w:t>4,054,054</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4,054,054</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3,972,973</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Research Now Group, Inc. and Survey</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12/20/2024</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7.99%</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L+550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9,974,747</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9,825,738</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9,899,937</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Sampling International LLC </w:t>
            </w:r>
            <w:r>
              <w:rPr>
                <w:rFonts w:ascii="Arial" w:cs="Arial" w:eastAsia="Arial" w:hAnsi="Arial"/>
                <w:sz w:val="9"/>
                <w:szCs w:val="9"/>
                <w:color w:val="auto"/>
              </w:rPr>
              <w:t>(5)</w:t>
            </w:r>
          </w:p>
        </w:tc>
        <w:tc>
          <w:tcPr>
            <w:tcW w:w="94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(5)</w:t>
            </w:r>
          </w:p>
        </w:tc>
        <w:tc>
          <w:tcPr>
            <w:tcW w:w="940" w:type="dxa"/>
            <w:vAlign w:val="bottom"/>
          </w:tcPr>
          <w:p>
            <w:pPr>
              <w:ind w:left="180"/>
              <w:spacing w:after="0"/>
              <w:rPr>
                <w:sz w:val="20"/>
                <w:szCs w:val="20"/>
                <w:color w:val="auto"/>
              </w:rPr>
            </w:pPr>
            <w:r>
              <w:rPr>
                <w:rFonts w:ascii="Arial" w:cs="Arial" w:eastAsia="Arial" w:hAnsi="Arial"/>
                <w:sz w:val="12"/>
                <w:szCs w:val="12"/>
                <w:color w:val="auto"/>
              </w:rPr>
              <w:t>09/01/2022</w:t>
            </w:r>
          </w:p>
        </w:tc>
        <w:tc>
          <w:tcPr>
            <w:tcW w:w="268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Buildings and Real Estate</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9.05%</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tcPr>
          <w:p>
            <w:pPr>
              <w:jc w:val="right"/>
              <w:spacing w:after="0"/>
              <w:rPr>
                <w:sz w:val="20"/>
                <w:szCs w:val="20"/>
                <w:color w:val="auto"/>
              </w:rPr>
            </w:pPr>
            <w:r>
              <w:rPr>
                <w:rFonts w:ascii="Arial" w:cs="Arial" w:eastAsia="Arial" w:hAnsi="Arial"/>
                <w:sz w:val="12"/>
                <w:szCs w:val="12"/>
                <w:color w:val="auto"/>
              </w:rPr>
              <w:t>15,210,333</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15,057,796</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15,210,333</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09/01/2022</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Buildings and Real Estate</w:t>
            </w:r>
          </w:p>
        </w:tc>
        <w:tc>
          <w:tcPr>
            <w:tcW w:w="900" w:type="dxa"/>
            <w:vAlign w:val="bottom"/>
            <w:gridSpan w:val="2"/>
            <w:shd w:val="clear" w:color="auto" w:fill="CCECFF"/>
          </w:tcPr>
          <w:p>
            <w:pPr>
              <w:jc w:val="right"/>
              <w:ind w:right="3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4,881,214</w:t>
            </w:r>
          </w:p>
        </w:tc>
        <w:tc>
          <w:tcPr>
            <w:tcW w:w="2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w:t>
            </w:r>
          </w:p>
        </w:tc>
        <w:tc>
          <w:tcPr>
            <w:tcW w:w="940" w:type="dxa"/>
            <w:vAlign w:val="bottom"/>
          </w:tcPr>
          <w:p>
            <w:pPr>
              <w:ind w:left="180"/>
              <w:spacing w:after="0"/>
              <w:rPr>
                <w:sz w:val="20"/>
                <w:szCs w:val="20"/>
                <w:color w:val="auto"/>
              </w:rPr>
            </w:pPr>
            <w:r>
              <w:rPr>
                <w:rFonts w:ascii="Arial" w:cs="Arial" w:eastAsia="Arial" w:hAnsi="Arial"/>
                <w:sz w:val="12"/>
                <w:szCs w:val="12"/>
                <w:color w:val="auto"/>
              </w:rPr>
              <w:t>09/01/2022</w:t>
            </w:r>
          </w:p>
        </w:tc>
        <w:tc>
          <w:tcPr>
            <w:tcW w:w="268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Buildings and Real Estate</w:t>
            </w:r>
          </w:p>
        </w:tc>
        <w:tc>
          <w:tcPr>
            <w:tcW w:w="90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2,500,000</w:t>
            </w:r>
          </w:p>
        </w:tc>
        <w:tc>
          <w:tcPr>
            <w:tcW w:w="22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Solutionreach, Inc. </w:t>
            </w:r>
            <w:r>
              <w:rPr>
                <w:rFonts w:ascii="Arial" w:cs="Arial" w:eastAsia="Arial" w:hAnsi="Arial"/>
                <w:sz w:val="9"/>
                <w:szCs w:val="9"/>
                <w:color w:val="auto"/>
              </w:rPr>
              <w:t>(5)</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01/17/2024</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9"/>
              </w:rPr>
              <w:t>Communications</w:t>
            </w:r>
          </w:p>
        </w:tc>
        <w:tc>
          <w:tcPr>
            <w:tcW w:w="90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8.23%</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13,320,000</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13,057,944</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13,024,738</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Solutionreach, Inc. (Revolver) </w:t>
            </w:r>
            <w:r>
              <w:rPr>
                <w:rFonts w:ascii="Arial" w:cs="Arial" w:eastAsia="Arial" w:hAnsi="Arial"/>
                <w:sz w:val="9"/>
                <w:szCs w:val="9"/>
                <w:color w:val="auto"/>
              </w:rPr>
              <w:t>(7)</w:t>
            </w:r>
          </w:p>
        </w:tc>
        <w:tc>
          <w:tcPr>
            <w:tcW w:w="940" w:type="dxa"/>
            <w:vAlign w:val="bottom"/>
          </w:tcPr>
          <w:p>
            <w:pPr>
              <w:ind w:left="180"/>
              <w:spacing w:after="0"/>
              <w:rPr>
                <w:sz w:val="20"/>
                <w:szCs w:val="20"/>
                <w:color w:val="auto"/>
              </w:rPr>
            </w:pPr>
            <w:r>
              <w:rPr>
                <w:rFonts w:ascii="Arial" w:cs="Arial" w:eastAsia="Arial" w:hAnsi="Arial"/>
                <w:sz w:val="12"/>
                <w:szCs w:val="12"/>
                <w:color w:val="auto"/>
              </w:rPr>
              <w:t>01/17/2024</w:t>
            </w:r>
          </w:p>
        </w:tc>
        <w:tc>
          <w:tcPr>
            <w:tcW w:w="2680" w:type="dxa"/>
            <w:vAlign w:val="bottom"/>
            <w:gridSpan w:val="2"/>
          </w:tcPr>
          <w:p>
            <w:pPr>
              <w:jc w:val="center"/>
              <w:ind w:right="200"/>
              <w:spacing w:after="0"/>
              <w:rPr>
                <w:sz w:val="20"/>
                <w:szCs w:val="20"/>
                <w:color w:val="auto"/>
              </w:rPr>
            </w:pPr>
            <w:r>
              <w:rPr>
                <w:rFonts w:ascii="Arial" w:cs="Arial" w:eastAsia="Arial" w:hAnsi="Arial"/>
                <w:sz w:val="12"/>
                <w:szCs w:val="12"/>
                <w:color w:val="auto"/>
                <w:w w:val="89"/>
              </w:rPr>
              <w:t>Communications</w:t>
            </w:r>
          </w:p>
        </w:tc>
        <w:tc>
          <w:tcPr>
            <w:tcW w:w="90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1,665,000</w:t>
            </w:r>
          </w:p>
        </w:tc>
        <w:tc>
          <w:tcPr>
            <w:tcW w:w="22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(36,908)</w:t>
            </w: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Triad Manufacturing, Inc.</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12/28/2020</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0"/>
              </w:rPr>
              <w:t>Manufacturing / Basic Industries</w:t>
            </w:r>
          </w:p>
        </w:tc>
        <w:tc>
          <w:tcPr>
            <w:tcW w:w="90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15.75%</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L+1,325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22,099,213</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21,906,927</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21,878,221</w:t>
            </w: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 xml:space="preserve">TVC Enterprises, LLC </w:t>
            </w:r>
            <w:r>
              <w:rPr>
                <w:rFonts w:ascii="Arial" w:cs="Arial" w:eastAsia="Arial" w:hAnsi="Arial"/>
                <w:sz w:val="9"/>
                <w:szCs w:val="9"/>
                <w:color w:val="auto"/>
              </w:rPr>
              <w:t>(5)</w:t>
            </w:r>
          </w:p>
        </w:tc>
        <w:tc>
          <w:tcPr>
            <w:tcW w:w="940" w:type="dxa"/>
            <w:vAlign w:val="bottom"/>
          </w:tcPr>
          <w:p>
            <w:pPr>
              <w:ind w:left="180"/>
              <w:spacing w:after="0"/>
              <w:rPr>
                <w:sz w:val="20"/>
                <w:szCs w:val="20"/>
                <w:color w:val="auto"/>
              </w:rPr>
            </w:pPr>
            <w:r>
              <w:rPr>
                <w:rFonts w:ascii="Arial" w:cs="Arial" w:eastAsia="Arial" w:hAnsi="Arial"/>
                <w:sz w:val="12"/>
                <w:szCs w:val="12"/>
                <w:color w:val="auto"/>
              </w:rPr>
              <w:t>01/18/2024</w:t>
            </w:r>
          </w:p>
        </w:tc>
        <w:tc>
          <w:tcPr>
            <w:tcW w:w="2680" w:type="dxa"/>
            <w:vAlign w:val="bottom"/>
            <w:gridSpan w:val="2"/>
          </w:tcPr>
          <w:p>
            <w:pPr>
              <w:jc w:val="center"/>
              <w:ind w:right="200"/>
              <w:spacing w:after="0"/>
              <w:rPr>
                <w:sz w:val="20"/>
                <w:szCs w:val="20"/>
                <w:color w:val="auto"/>
              </w:rPr>
            </w:pPr>
            <w:r>
              <w:rPr>
                <w:rFonts w:ascii="Arial" w:cs="Arial" w:eastAsia="Arial" w:hAnsi="Arial"/>
                <w:sz w:val="12"/>
                <w:szCs w:val="12"/>
                <w:color w:val="auto"/>
                <w:w w:val="87"/>
              </w:rPr>
              <w:t>Transportation</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7.99%</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L+550</w:t>
            </w:r>
          </w:p>
        </w:tc>
        <w:tc>
          <w:tcPr>
            <w:tcW w:w="660" w:type="dxa"/>
            <w:vAlign w:val="bottom"/>
          </w:tcPr>
          <w:p>
            <w:pPr>
              <w:jc w:val="right"/>
              <w:spacing w:after="0"/>
              <w:rPr>
                <w:sz w:val="20"/>
                <w:szCs w:val="20"/>
                <w:color w:val="auto"/>
              </w:rPr>
            </w:pPr>
            <w:r>
              <w:rPr>
                <w:rFonts w:ascii="Arial" w:cs="Arial" w:eastAsia="Arial" w:hAnsi="Arial"/>
                <w:sz w:val="12"/>
                <w:szCs w:val="12"/>
                <w:color w:val="auto"/>
              </w:rPr>
              <w:t>33,209,443</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32,569,757</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33,209,443</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TVC Enterprises, LLC </w:t>
            </w:r>
            <w:r>
              <w:rPr>
                <w:rFonts w:ascii="Arial" w:cs="Arial" w:eastAsia="Arial" w:hAnsi="Arial"/>
                <w:sz w:val="9"/>
                <w:szCs w:val="9"/>
                <w:color w:val="auto"/>
              </w:rPr>
              <w:t>(7)</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01/18/2024</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7"/>
              </w:rPr>
              <w:t>Transportation</w:t>
            </w:r>
          </w:p>
        </w:tc>
        <w:tc>
          <w:tcPr>
            <w:tcW w:w="900" w:type="dxa"/>
            <w:vAlign w:val="bottom"/>
            <w:gridSpan w:val="2"/>
            <w:shd w:val="clear" w:color="auto" w:fill="CCECFF"/>
          </w:tcPr>
          <w:p>
            <w:pPr>
              <w:jc w:val="right"/>
              <w:ind w:right="3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4,053,227</w:t>
            </w:r>
          </w:p>
        </w:tc>
        <w:tc>
          <w:tcPr>
            <w:tcW w:w="2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TVC Enterprises, LLC (Revolver)</w:t>
            </w:r>
          </w:p>
        </w:tc>
        <w:tc>
          <w:tcPr>
            <w:tcW w:w="940" w:type="dxa"/>
            <w:vAlign w:val="bottom"/>
          </w:tcPr>
          <w:p>
            <w:pPr>
              <w:ind w:left="180"/>
              <w:spacing w:after="0"/>
              <w:rPr>
                <w:sz w:val="20"/>
                <w:szCs w:val="20"/>
                <w:color w:val="auto"/>
              </w:rPr>
            </w:pPr>
            <w:r>
              <w:rPr>
                <w:rFonts w:ascii="Arial" w:cs="Arial" w:eastAsia="Arial" w:hAnsi="Arial"/>
                <w:sz w:val="12"/>
                <w:szCs w:val="12"/>
                <w:color w:val="auto"/>
              </w:rPr>
              <w:t>01/18/2024</w:t>
            </w:r>
          </w:p>
        </w:tc>
        <w:tc>
          <w:tcPr>
            <w:tcW w:w="2680" w:type="dxa"/>
            <w:vAlign w:val="bottom"/>
            <w:gridSpan w:val="2"/>
          </w:tcPr>
          <w:p>
            <w:pPr>
              <w:jc w:val="center"/>
              <w:ind w:right="200"/>
              <w:spacing w:after="0"/>
              <w:rPr>
                <w:sz w:val="20"/>
                <w:szCs w:val="20"/>
                <w:color w:val="auto"/>
              </w:rPr>
            </w:pPr>
            <w:r>
              <w:rPr>
                <w:rFonts w:ascii="Arial" w:cs="Arial" w:eastAsia="Arial" w:hAnsi="Arial"/>
                <w:sz w:val="12"/>
                <w:szCs w:val="12"/>
                <w:color w:val="auto"/>
                <w:w w:val="87"/>
              </w:rPr>
              <w:t>Transportation</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8.15%</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L+550</w:t>
            </w:r>
          </w:p>
        </w:tc>
        <w:tc>
          <w:tcPr>
            <w:tcW w:w="660" w:type="dxa"/>
            <w:vAlign w:val="bottom"/>
          </w:tcPr>
          <w:p>
            <w:pPr>
              <w:jc w:val="right"/>
              <w:spacing w:after="0"/>
              <w:rPr>
                <w:sz w:val="20"/>
                <w:szCs w:val="20"/>
                <w:color w:val="auto"/>
              </w:rPr>
            </w:pPr>
            <w:r>
              <w:rPr>
                <w:rFonts w:ascii="Arial" w:cs="Arial" w:eastAsia="Arial" w:hAnsi="Arial"/>
                <w:sz w:val="12"/>
                <w:szCs w:val="12"/>
                <w:color w:val="auto"/>
              </w:rPr>
              <w:t>337,266</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337,266</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337,266</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TVC Enterprises, LLC (Revolver) </w:t>
            </w:r>
            <w:r>
              <w:rPr>
                <w:rFonts w:ascii="Arial" w:cs="Arial" w:eastAsia="Arial" w:hAnsi="Arial"/>
                <w:sz w:val="9"/>
                <w:szCs w:val="9"/>
                <w:color w:val="auto"/>
              </w:rPr>
              <w:t>(7)</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01/18/2024</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7"/>
              </w:rPr>
              <w:t>Transportation</w:t>
            </w:r>
          </w:p>
        </w:tc>
        <w:tc>
          <w:tcPr>
            <w:tcW w:w="900" w:type="dxa"/>
            <w:vAlign w:val="bottom"/>
            <w:gridSpan w:val="2"/>
            <w:shd w:val="clear" w:color="auto" w:fill="CCECFF"/>
          </w:tcPr>
          <w:p>
            <w:pPr>
              <w:jc w:val="right"/>
              <w:ind w:right="3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2,364,886</w:t>
            </w:r>
          </w:p>
        </w:tc>
        <w:tc>
          <w:tcPr>
            <w:tcW w:w="2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Tyto Athene, LLC</w:t>
            </w:r>
          </w:p>
        </w:tc>
        <w:tc>
          <w:tcPr>
            <w:tcW w:w="940" w:type="dxa"/>
            <w:vAlign w:val="bottom"/>
          </w:tcPr>
          <w:p>
            <w:pPr>
              <w:ind w:left="180"/>
              <w:spacing w:after="0"/>
              <w:rPr>
                <w:sz w:val="20"/>
                <w:szCs w:val="20"/>
                <w:color w:val="auto"/>
              </w:rPr>
            </w:pPr>
            <w:r>
              <w:rPr>
                <w:rFonts w:ascii="Arial" w:cs="Arial" w:eastAsia="Arial" w:hAnsi="Arial"/>
                <w:sz w:val="12"/>
                <w:szCs w:val="12"/>
                <w:color w:val="auto"/>
              </w:rPr>
              <w:t>08/27/2024</w:t>
            </w:r>
          </w:p>
        </w:tc>
        <w:tc>
          <w:tcPr>
            <w:tcW w:w="268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8.25%</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L+575</w:t>
            </w:r>
          </w:p>
        </w:tc>
        <w:tc>
          <w:tcPr>
            <w:tcW w:w="660" w:type="dxa"/>
            <w:vAlign w:val="bottom"/>
          </w:tcPr>
          <w:p>
            <w:pPr>
              <w:jc w:val="right"/>
              <w:spacing w:after="0"/>
              <w:rPr>
                <w:sz w:val="20"/>
                <w:szCs w:val="20"/>
                <w:color w:val="auto"/>
              </w:rPr>
            </w:pPr>
            <w:r>
              <w:rPr>
                <w:rFonts w:ascii="Arial" w:cs="Arial" w:eastAsia="Arial" w:hAnsi="Arial"/>
                <w:sz w:val="12"/>
                <w:szCs w:val="12"/>
                <w:color w:val="auto"/>
              </w:rPr>
              <w:t>6,234,344</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6,205,516</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6,098,283</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UBEO, LLC </w:t>
            </w:r>
            <w:r>
              <w:rPr>
                <w:rFonts w:ascii="Arial" w:cs="Arial" w:eastAsia="Arial" w:hAnsi="Arial"/>
                <w:sz w:val="9"/>
                <w:szCs w:val="9"/>
                <w:color w:val="auto"/>
              </w:rPr>
              <w:t>(5)</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04/03/2024</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9"/>
              </w:rPr>
              <w:t>Printing and Publishing</w:t>
            </w:r>
          </w:p>
        </w:tc>
        <w:tc>
          <w:tcPr>
            <w:tcW w:w="90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6.98%</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L+450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2,312,013</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2,288,893</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2,288,893</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US Dominion, Inc. </w:t>
            </w:r>
            <w:r>
              <w:rPr>
                <w:rFonts w:ascii="Arial" w:cs="Arial" w:eastAsia="Arial" w:hAnsi="Arial"/>
                <w:sz w:val="9"/>
                <w:szCs w:val="9"/>
                <w:color w:val="auto"/>
              </w:rPr>
              <w:t>(5)</w:t>
            </w:r>
          </w:p>
        </w:tc>
        <w:tc>
          <w:tcPr>
            <w:tcW w:w="940" w:type="dxa"/>
            <w:vAlign w:val="bottom"/>
          </w:tcPr>
          <w:p>
            <w:pPr>
              <w:ind w:left="180"/>
              <w:spacing w:after="0"/>
              <w:rPr>
                <w:sz w:val="20"/>
                <w:szCs w:val="20"/>
                <w:color w:val="auto"/>
              </w:rPr>
            </w:pPr>
            <w:r>
              <w:rPr>
                <w:rFonts w:ascii="Arial" w:cs="Arial" w:eastAsia="Arial" w:hAnsi="Arial"/>
                <w:sz w:val="12"/>
                <w:szCs w:val="12"/>
                <w:color w:val="auto"/>
              </w:rPr>
              <w:t>07/15/2024</w:t>
            </w:r>
          </w:p>
        </w:tc>
        <w:tc>
          <w:tcPr>
            <w:tcW w:w="2680" w:type="dxa"/>
            <w:vAlign w:val="bottom"/>
            <w:gridSpan w:val="2"/>
          </w:tcPr>
          <w:p>
            <w:pPr>
              <w:jc w:val="center"/>
              <w:ind w:right="200"/>
              <w:spacing w:after="0"/>
              <w:rPr>
                <w:sz w:val="20"/>
                <w:szCs w:val="20"/>
                <w:color w:val="auto"/>
              </w:rPr>
            </w:pPr>
            <w:r>
              <w:rPr>
                <w:rFonts w:ascii="Arial" w:cs="Arial" w:eastAsia="Arial" w:hAnsi="Arial"/>
                <w:sz w:val="12"/>
                <w:szCs w:val="12"/>
                <w:color w:val="auto"/>
                <w:w w:val="88"/>
              </w:rPr>
              <w:t>Electronics</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9.25%</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L+675</w:t>
            </w:r>
          </w:p>
        </w:tc>
        <w:tc>
          <w:tcPr>
            <w:tcW w:w="660" w:type="dxa"/>
            <w:vAlign w:val="bottom"/>
          </w:tcPr>
          <w:p>
            <w:pPr>
              <w:jc w:val="right"/>
              <w:spacing w:after="0"/>
              <w:rPr>
                <w:sz w:val="20"/>
                <w:szCs w:val="20"/>
                <w:color w:val="auto"/>
              </w:rPr>
            </w:pPr>
            <w:r>
              <w:rPr>
                <w:rFonts w:ascii="Arial" w:cs="Arial" w:eastAsia="Arial" w:hAnsi="Arial"/>
                <w:sz w:val="12"/>
                <w:szCs w:val="12"/>
                <w:color w:val="auto"/>
              </w:rPr>
              <w:t>29,775,000</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29,300,296</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29,775,000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US Dominion, Inc. (Revolver)</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07/15/2024</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8"/>
              </w:rPr>
              <w:t>Electronics</w:t>
            </w:r>
          </w:p>
        </w:tc>
        <w:tc>
          <w:tcPr>
            <w:tcW w:w="90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9.25%</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3,750,000</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3,750,000</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3,750,000</w:t>
            </w: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 xml:space="preserve">US Dominion, Inc. (Revolver) </w:t>
            </w:r>
            <w:r>
              <w:rPr>
                <w:rFonts w:ascii="Arial" w:cs="Arial" w:eastAsia="Arial" w:hAnsi="Arial"/>
                <w:sz w:val="9"/>
                <w:szCs w:val="9"/>
                <w:color w:val="auto"/>
              </w:rPr>
              <w:t>(7)</w:t>
            </w:r>
          </w:p>
        </w:tc>
        <w:tc>
          <w:tcPr>
            <w:tcW w:w="940" w:type="dxa"/>
            <w:vAlign w:val="bottom"/>
          </w:tcPr>
          <w:p>
            <w:pPr>
              <w:ind w:left="180"/>
              <w:spacing w:after="0"/>
              <w:rPr>
                <w:sz w:val="20"/>
                <w:szCs w:val="20"/>
                <w:color w:val="auto"/>
              </w:rPr>
            </w:pPr>
            <w:r>
              <w:rPr>
                <w:rFonts w:ascii="Arial" w:cs="Arial" w:eastAsia="Arial" w:hAnsi="Arial"/>
                <w:sz w:val="12"/>
                <w:szCs w:val="12"/>
                <w:color w:val="auto"/>
              </w:rPr>
              <w:t>07/15/2024</w:t>
            </w:r>
          </w:p>
        </w:tc>
        <w:tc>
          <w:tcPr>
            <w:tcW w:w="2680" w:type="dxa"/>
            <w:vAlign w:val="bottom"/>
            <w:gridSpan w:val="2"/>
          </w:tcPr>
          <w:p>
            <w:pPr>
              <w:jc w:val="center"/>
              <w:ind w:right="200"/>
              <w:spacing w:after="0"/>
              <w:rPr>
                <w:sz w:val="20"/>
                <w:szCs w:val="20"/>
                <w:color w:val="auto"/>
              </w:rPr>
            </w:pPr>
            <w:r>
              <w:rPr>
                <w:rFonts w:ascii="Arial" w:cs="Arial" w:eastAsia="Arial" w:hAnsi="Arial"/>
                <w:sz w:val="12"/>
                <w:szCs w:val="12"/>
                <w:color w:val="auto"/>
                <w:w w:val="88"/>
              </w:rPr>
              <w:t>Electronics</w:t>
            </w:r>
          </w:p>
        </w:tc>
        <w:tc>
          <w:tcPr>
            <w:tcW w:w="90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3,750,000</w:t>
            </w:r>
          </w:p>
        </w:tc>
        <w:tc>
          <w:tcPr>
            <w:tcW w:w="22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US Med Acquisition, Inc.</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08/13/2021</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7"/>
              </w:rPr>
              <w:t>Healthcare, Education and Childcare</w:t>
            </w:r>
          </w:p>
        </w:tc>
        <w:tc>
          <w:tcPr>
            <w:tcW w:w="90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11.60%</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8,432,813</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8,432,816</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8,179,829</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Walker Edison Furniture Company LLC</w:t>
            </w:r>
          </w:p>
        </w:tc>
        <w:tc>
          <w:tcPr>
            <w:tcW w:w="940" w:type="dxa"/>
            <w:vAlign w:val="bottom"/>
          </w:tcPr>
          <w:p>
            <w:pPr>
              <w:ind w:left="180"/>
              <w:spacing w:after="0"/>
              <w:rPr>
                <w:sz w:val="20"/>
                <w:szCs w:val="20"/>
                <w:color w:val="auto"/>
              </w:rPr>
            </w:pPr>
            <w:r>
              <w:rPr>
                <w:rFonts w:ascii="Arial" w:cs="Arial" w:eastAsia="Arial" w:hAnsi="Arial"/>
                <w:sz w:val="12"/>
                <w:szCs w:val="12"/>
                <w:color w:val="auto"/>
              </w:rPr>
              <w:t>09/26/2024</w:t>
            </w:r>
          </w:p>
        </w:tc>
        <w:tc>
          <w:tcPr>
            <w:tcW w:w="2680" w:type="dxa"/>
            <w:vAlign w:val="bottom"/>
            <w:gridSpan w:val="2"/>
          </w:tcPr>
          <w:p>
            <w:pPr>
              <w:jc w:val="center"/>
              <w:ind w:right="200"/>
              <w:spacing w:after="0"/>
              <w:rPr>
                <w:sz w:val="20"/>
                <w:szCs w:val="20"/>
                <w:color w:val="auto"/>
              </w:rPr>
            </w:pPr>
            <w:r>
              <w:rPr>
                <w:rFonts w:ascii="Arial" w:cs="Arial" w:eastAsia="Arial" w:hAnsi="Arial"/>
                <w:sz w:val="12"/>
                <w:szCs w:val="12"/>
                <w:color w:val="auto"/>
                <w:w w:val="90"/>
              </w:rPr>
              <w:t>Home and Office Furnishings</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9.30%</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L+650</w:t>
            </w:r>
          </w:p>
        </w:tc>
        <w:tc>
          <w:tcPr>
            <w:tcW w:w="660" w:type="dxa"/>
            <w:vAlign w:val="bottom"/>
          </w:tcPr>
          <w:p>
            <w:pPr>
              <w:jc w:val="right"/>
              <w:spacing w:after="0"/>
              <w:rPr>
                <w:sz w:val="20"/>
                <w:szCs w:val="20"/>
                <w:color w:val="auto"/>
              </w:rPr>
            </w:pPr>
            <w:r>
              <w:rPr>
                <w:rFonts w:ascii="Arial" w:cs="Arial" w:eastAsia="Arial" w:hAnsi="Arial"/>
                <w:sz w:val="12"/>
                <w:szCs w:val="12"/>
                <w:color w:val="auto"/>
              </w:rPr>
              <w:t>22,359,375</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21,941,906</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22,359,375</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Whitney, Bradley &amp; Brown, Inc. </w:t>
            </w:r>
            <w:r>
              <w:rPr>
                <w:rFonts w:ascii="Arial" w:cs="Arial" w:eastAsia="Arial" w:hAnsi="Arial"/>
                <w:sz w:val="9"/>
                <w:szCs w:val="9"/>
                <w:color w:val="auto"/>
              </w:rPr>
              <w:t>(5)</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10/18/2022</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11.50%</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9,124,782</w:t>
            </w:r>
          </w:p>
        </w:tc>
        <w:tc>
          <w:tcPr>
            <w:tcW w:w="22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8,984,686</w:t>
            </w:r>
          </w:p>
        </w:tc>
        <w:tc>
          <w:tcPr>
            <w:tcW w:w="22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9,124,782</w:t>
            </w:r>
          </w:p>
        </w:tc>
        <w:tc>
          <w:tcPr>
            <w:tcW w:w="100" w:type="dxa"/>
            <w:vAlign w:val="bottom"/>
            <w:shd w:val="clear" w:color="auto" w:fill="CCECFF"/>
          </w:tcPr>
          <w:p>
            <w:pPr>
              <w:spacing w:after="0"/>
              <w:rPr>
                <w:sz w:val="12"/>
                <w:szCs w:val="12"/>
                <w:color w:val="auto"/>
              </w:rPr>
            </w:pPr>
          </w:p>
        </w:tc>
      </w:tr>
      <w:tr>
        <w:trPr>
          <w:trHeight w:val="142"/>
        </w:trPr>
        <w:tc>
          <w:tcPr>
            <w:tcW w:w="29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940" w:type="dxa"/>
            <w:vAlign w:val="bottom"/>
            <w:tcBorders>
              <w:bottom w:val="single" w:sz="8" w:color="CCECFF"/>
            </w:tcBorders>
          </w:tcPr>
          <w:p>
            <w:pPr>
              <w:spacing w:after="0"/>
              <w:rPr>
                <w:sz w:val="12"/>
                <w:szCs w:val="12"/>
                <w:color w:val="auto"/>
              </w:rPr>
            </w:pPr>
          </w:p>
        </w:tc>
        <w:tc>
          <w:tcPr>
            <w:tcW w:w="25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0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584,010,312</w:t>
            </w: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584,113,250</w:t>
            </w:r>
          </w:p>
        </w:tc>
        <w:tc>
          <w:tcPr>
            <w:tcW w:w="100" w:type="dxa"/>
            <w:vAlign w:val="bottom"/>
            <w:tcBorders>
              <w:bottom w:val="single" w:sz="8" w:color="CCECFF"/>
            </w:tcBorders>
          </w:tcPr>
          <w:p>
            <w:pPr>
              <w:spacing w:after="0"/>
              <w:rPr>
                <w:sz w:val="12"/>
                <w:szCs w:val="12"/>
                <w:color w:val="auto"/>
              </w:rPr>
            </w:pPr>
          </w:p>
        </w:tc>
      </w:tr>
      <w:tr>
        <w:trPr>
          <w:trHeight w:val="142"/>
        </w:trPr>
        <w:tc>
          <w:tcPr>
            <w:tcW w:w="29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Debt—59.1%</w:t>
            </w:r>
          </w:p>
        </w:tc>
        <w:tc>
          <w:tcPr>
            <w:tcW w:w="94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Condor Borrower, LLC</w:t>
            </w:r>
          </w:p>
        </w:tc>
        <w:tc>
          <w:tcPr>
            <w:tcW w:w="940" w:type="dxa"/>
            <w:vAlign w:val="bottom"/>
          </w:tcPr>
          <w:p>
            <w:pPr>
              <w:ind w:left="180"/>
              <w:spacing w:after="0"/>
              <w:rPr>
                <w:sz w:val="20"/>
                <w:szCs w:val="20"/>
                <w:color w:val="auto"/>
              </w:rPr>
            </w:pPr>
            <w:r>
              <w:rPr>
                <w:rFonts w:ascii="Arial" w:cs="Arial" w:eastAsia="Arial" w:hAnsi="Arial"/>
                <w:sz w:val="12"/>
                <w:szCs w:val="12"/>
                <w:color w:val="auto"/>
              </w:rPr>
              <w:t>04/25/2025</w:t>
            </w:r>
          </w:p>
        </w:tc>
        <w:tc>
          <w:tcPr>
            <w:tcW w:w="2680" w:type="dxa"/>
            <w:vAlign w:val="bottom"/>
            <w:gridSpan w:val="2"/>
          </w:tcPr>
          <w:p>
            <w:pPr>
              <w:jc w:val="center"/>
              <w:ind w:right="20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11.49%</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L+875</w:t>
            </w:r>
          </w:p>
        </w:tc>
        <w:tc>
          <w:tcPr>
            <w:tcW w:w="660" w:type="dxa"/>
            <w:vAlign w:val="bottom"/>
          </w:tcPr>
          <w:p>
            <w:pPr>
              <w:jc w:val="right"/>
              <w:spacing w:after="0"/>
              <w:rPr>
                <w:sz w:val="20"/>
                <w:szCs w:val="20"/>
                <w:color w:val="auto"/>
              </w:rPr>
            </w:pPr>
            <w:r>
              <w:rPr>
                <w:rFonts w:ascii="Arial" w:cs="Arial" w:eastAsia="Arial" w:hAnsi="Arial"/>
                <w:sz w:val="12"/>
                <w:szCs w:val="12"/>
                <w:color w:val="auto"/>
              </w:rPr>
              <w:t>10,344,828</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10,166,193</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10,344,828</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Confie Seguros Holding Co.</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10/31/2025</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7"/>
              </w:rPr>
              <w:t>Insurance</w:t>
            </w:r>
          </w:p>
        </w:tc>
        <w:tc>
          <w:tcPr>
            <w:tcW w:w="90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11.13%</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14,500,000</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14,224,161</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14,228,125</w:t>
            </w: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DecoPac, Inc.</w:t>
            </w:r>
          </w:p>
        </w:tc>
        <w:tc>
          <w:tcPr>
            <w:tcW w:w="940" w:type="dxa"/>
            <w:vAlign w:val="bottom"/>
          </w:tcPr>
          <w:p>
            <w:pPr>
              <w:ind w:left="180"/>
              <w:spacing w:after="0"/>
              <w:rPr>
                <w:sz w:val="20"/>
                <w:szCs w:val="20"/>
                <w:color w:val="auto"/>
              </w:rPr>
            </w:pPr>
            <w:r>
              <w:rPr>
                <w:rFonts w:ascii="Arial" w:cs="Arial" w:eastAsia="Arial" w:hAnsi="Arial"/>
                <w:sz w:val="12"/>
                <w:szCs w:val="12"/>
                <w:color w:val="auto"/>
              </w:rPr>
              <w:t>03/31/2025</w:t>
            </w:r>
          </w:p>
        </w:tc>
        <w:tc>
          <w:tcPr>
            <w:tcW w:w="2680" w:type="dxa"/>
            <w:vAlign w:val="bottom"/>
            <w:gridSpan w:val="2"/>
          </w:tcPr>
          <w:p>
            <w:pPr>
              <w:jc w:val="center"/>
              <w:ind w:right="20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10.85%</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L+825</w:t>
            </w:r>
          </w:p>
        </w:tc>
        <w:tc>
          <w:tcPr>
            <w:tcW w:w="660" w:type="dxa"/>
            <w:vAlign w:val="bottom"/>
          </w:tcPr>
          <w:p>
            <w:pPr>
              <w:jc w:val="right"/>
              <w:spacing w:after="0"/>
              <w:rPr>
                <w:sz w:val="20"/>
                <w:szCs w:val="20"/>
                <w:color w:val="auto"/>
              </w:rPr>
            </w:pPr>
            <w:r>
              <w:rPr>
                <w:rFonts w:ascii="Arial" w:cs="Arial" w:eastAsia="Arial" w:hAnsi="Arial"/>
                <w:sz w:val="12"/>
                <w:szCs w:val="12"/>
                <w:color w:val="auto"/>
              </w:rPr>
              <w:t>16,285,297</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16,007,205</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16,285,297</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Halo Buyer, Inc.</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07/06/2026</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6"/>
              </w:rPr>
              <w:t>Consumer Products</w:t>
            </w:r>
          </w:p>
        </w:tc>
        <w:tc>
          <w:tcPr>
            <w:tcW w:w="90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10.75%</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32,500,000</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32,025,903</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32,012,500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Infogroup, Inc.</w:t>
            </w:r>
          </w:p>
        </w:tc>
        <w:tc>
          <w:tcPr>
            <w:tcW w:w="940" w:type="dxa"/>
            <w:vAlign w:val="bottom"/>
          </w:tcPr>
          <w:p>
            <w:pPr>
              <w:ind w:left="180"/>
              <w:spacing w:after="0"/>
              <w:rPr>
                <w:sz w:val="20"/>
                <w:szCs w:val="20"/>
                <w:color w:val="auto"/>
              </w:rPr>
            </w:pPr>
            <w:r>
              <w:rPr>
                <w:rFonts w:ascii="Arial" w:cs="Arial" w:eastAsia="Arial" w:hAnsi="Arial"/>
                <w:sz w:val="12"/>
                <w:szCs w:val="12"/>
                <w:color w:val="auto"/>
              </w:rPr>
              <w:t>04/03/2024</w:t>
            </w:r>
          </w:p>
        </w:tc>
        <w:tc>
          <w:tcPr>
            <w:tcW w:w="2680" w:type="dxa"/>
            <w:vAlign w:val="bottom"/>
            <w:gridSpan w:val="2"/>
          </w:tcPr>
          <w:p>
            <w:pPr>
              <w:jc w:val="center"/>
              <w:ind w:right="200"/>
              <w:spacing w:after="0"/>
              <w:rPr>
                <w:sz w:val="20"/>
                <w:szCs w:val="20"/>
                <w:color w:val="auto"/>
              </w:rPr>
            </w:pPr>
            <w:r>
              <w:rPr>
                <w:rFonts w:ascii="Arial" w:cs="Arial" w:eastAsia="Arial" w:hAnsi="Arial"/>
                <w:sz w:val="12"/>
                <w:szCs w:val="12"/>
                <w:color w:val="auto"/>
                <w:w w:val="90"/>
              </w:rPr>
              <w:t>Other Media</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11.85%</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L+925</w:t>
            </w:r>
          </w:p>
        </w:tc>
        <w:tc>
          <w:tcPr>
            <w:tcW w:w="660" w:type="dxa"/>
            <w:vAlign w:val="bottom"/>
          </w:tcPr>
          <w:p>
            <w:pPr>
              <w:jc w:val="right"/>
              <w:spacing w:after="0"/>
              <w:rPr>
                <w:sz w:val="20"/>
                <w:szCs w:val="20"/>
                <w:color w:val="auto"/>
              </w:rPr>
            </w:pPr>
            <w:r>
              <w:rPr>
                <w:rFonts w:ascii="Arial" w:cs="Arial" w:eastAsia="Arial" w:hAnsi="Arial"/>
                <w:sz w:val="12"/>
                <w:szCs w:val="12"/>
                <w:color w:val="auto"/>
              </w:rPr>
              <w:t>20,400,000</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20,079,720</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20,196,000</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Integrity Marketing Partners, LLC</w:t>
            </w:r>
          </w:p>
        </w:tc>
        <w:tc>
          <w:tcPr>
            <w:tcW w:w="940" w:type="dxa"/>
            <w:vAlign w:val="bottom"/>
            <w:shd w:val="clear" w:color="auto" w:fill="CCECFF"/>
          </w:tcPr>
          <w:p>
            <w:pPr>
              <w:ind w:left="180"/>
              <w:spacing w:after="0"/>
              <w:rPr>
                <w:sz w:val="20"/>
                <w:szCs w:val="20"/>
                <w:color w:val="auto"/>
              </w:rPr>
            </w:pPr>
            <w:r>
              <w:rPr>
                <w:rFonts w:ascii="Arial" w:cs="Arial" w:eastAsia="Arial" w:hAnsi="Arial"/>
                <w:sz w:val="12"/>
                <w:szCs w:val="12"/>
                <w:color w:val="auto"/>
              </w:rPr>
              <w:t>11/30/2026</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7"/>
              </w:rPr>
              <w:t>Insurance</w:t>
            </w:r>
          </w:p>
        </w:tc>
        <w:tc>
          <w:tcPr>
            <w:tcW w:w="90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11.02%</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22,217,143</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21,931,972</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21,994,971</w:t>
            </w:r>
          </w:p>
        </w:tc>
        <w:tc>
          <w:tcPr>
            <w:tcW w:w="100" w:type="dxa"/>
            <w:vAlign w:val="bottom"/>
            <w:shd w:val="clear" w:color="auto" w:fill="CCECFF"/>
          </w:tcPr>
          <w:p>
            <w:pPr>
              <w:spacing w:after="0"/>
              <w:rPr>
                <w:sz w:val="12"/>
                <w:szCs w:val="12"/>
                <w:color w:val="auto"/>
              </w:rPr>
            </w:pPr>
          </w:p>
        </w:tc>
      </w:tr>
      <w:tr>
        <w:trPr>
          <w:trHeight w:val="155"/>
        </w:trPr>
        <w:tc>
          <w:tcPr>
            <w:tcW w:w="2960" w:type="dxa"/>
            <w:vAlign w:val="bottom"/>
          </w:tcPr>
          <w:p>
            <w:pPr>
              <w:spacing w:after="0"/>
              <w:rPr>
                <w:sz w:val="20"/>
                <w:szCs w:val="20"/>
                <w:color w:val="auto"/>
              </w:rPr>
            </w:pPr>
            <w:r>
              <w:rPr>
                <w:rFonts w:ascii="Arial" w:cs="Arial" w:eastAsia="Arial" w:hAnsi="Arial"/>
                <w:sz w:val="12"/>
                <w:szCs w:val="12"/>
                <w:color w:val="auto"/>
              </w:rPr>
              <w:t xml:space="preserve">Integrity Marketing Partners, LLC </w:t>
            </w:r>
            <w:r>
              <w:rPr>
                <w:rFonts w:ascii="Arial" w:cs="Arial" w:eastAsia="Arial" w:hAnsi="Arial"/>
                <w:sz w:val="9"/>
                <w:szCs w:val="9"/>
                <w:color w:val="auto"/>
              </w:rPr>
              <w:t>(7)</w:t>
            </w:r>
          </w:p>
        </w:tc>
        <w:tc>
          <w:tcPr>
            <w:tcW w:w="940" w:type="dxa"/>
            <w:vAlign w:val="bottom"/>
          </w:tcPr>
          <w:p>
            <w:pPr>
              <w:ind w:left="180"/>
              <w:spacing w:after="0"/>
              <w:rPr>
                <w:sz w:val="20"/>
                <w:szCs w:val="20"/>
                <w:color w:val="auto"/>
              </w:rPr>
            </w:pPr>
            <w:r>
              <w:rPr>
                <w:rFonts w:ascii="Arial" w:cs="Arial" w:eastAsia="Arial" w:hAnsi="Arial"/>
                <w:sz w:val="12"/>
                <w:szCs w:val="12"/>
                <w:color w:val="auto"/>
              </w:rPr>
              <w:t>11/30/2026</w:t>
            </w:r>
          </w:p>
        </w:tc>
        <w:tc>
          <w:tcPr>
            <w:tcW w:w="268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Insurance</w:t>
            </w:r>
          </w:p>
        </w:tc>
        <w:tc>
          <w:tcPr>
            <w:tcW w:w="90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925,714</w:t>
            </w:r>
          </w:p>
        </w:tc>
        <w:tc>
          <w:tcPr>
            <w:tcW w:w="22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(9,257)</w:t>
            </w:r>
          </w:p>
        </w:tc>
      </w:tr>
    </w:tbl>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Basis Point</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Maturity /</w:t>
            </w: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Current</w:t>
            </w: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6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0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Expiration</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Industry</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Coupon</w:t>
            </w: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66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0" w:type="dxa"/>
            <w:vAlign w:val="bottom"/>
          </w:tcPr>
          <w:p>
            <w:pPr>
              <w:spacing w:after="0"/>
              <w:rPr>
                <w:sz w:val="1"/>
                <w:szCs w:val="1"/>
                <w:color w:val="auto"/>
              </w:rPr>
            </w:pPr>
          </w:p>
        </w:tc>
      </w:tr>
      <w:tr>
        <w:trPr>
          <w:trHeight w:val="20"/>
        </w:trPr>
        <w:tc>
          <w:tcPr>
            <w:tcW w:w="2900" w:type="dxa"/>
            <w:vAlign w:val="bottom"/>
            <w:shd w:val="clear" w:color="auto" w:fill="000000"/>
          </w:tcPr>
          <w:p>
            <w:pPr>
              <w:spacing w:after="0" w:line="20" w:lineRule="exact"/>
              <w:rPr>
                <w:sz w:val="1"/>
                <w:szCs w:val="1"/>
                <w:color w:val="auto"/>
              </w:rPr>
            </w:pPr>
          </w:p>
        </w:tc>
        <w:tc>
          <w:tcPr>
            <w:tcW w:w="120" w:type="dxa"/>
            <w:vAlign w:val="bottom"/>
            <w:tcBorders>
              <w:right w:val="single" w:sz="8" w:color="CCECFF"/>
            </w:tcBorders>
            <w:shd w:val="clear" w:color="auto" w:fill="CCEC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CFF"/>
          </w:tcPr>
          <w:p>
            <w:pPr>
              <w:jc w:val="right"/>
              <w:ind w:right="122"/>
              <w:spacing w:after="0"/>
              <w:rPr>
                <w:sz w:val="20"/>
                <w:szCs w:val="20"/>
                <w:color w:val="auto"/>
              </w:rPr>
            </w:pPr>
            <w:r>
              <w:rPr>
                <w:rFonts w:ascii="Arial" w:cs="Arial" w:eastAsia="Arial" w:hAnsi="Arial"/>
                <w:sz w:val="12"/>
                <w:szCs w:val="12"/>
                <w:color w:val="auto"/>
                <w:w w:val="74"/>
              </w:rPr>
              <w:t>%</w:t>
            </w: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MailSouth, Inc.</w:t>
            </w:r>
          </w:p>
        </w:tc>
        <w:tc>
          <w:tcPr>
            <w:tcW w:w="120" w:type="dxa"/>
            <w:vAlign w:val="bottom"/>
            <w:tcBorders>
              <w:right w:val="single" w:sz="8" w:color="CCECFF"/>
            </w:tcBorders>
            <w:shd w:val="clear" w:color="auto" w:fill="CCECFF"/>
          </w:tcPr>
          <w:p>
            <w:pPr>
              <w:spacing w:after="0"/>
              <w:rPr>
                <w:sz w:val="12"/>
                <w:szCs w:val="12"/>
                <w:color w:val="auto"/>
              </w:rPr>
            </w:pPr>
          </w:p>
        </w:tc>
        <w:tc>
          <w:tcPr>
            <w:tcW w:w="540" w:type="dxa"/>
            <w:vAlign w:val="bottom"/>
            <w:shd w:val="clear" w:color="auto" w:fill="CCECFF"/>
          </w:tcPr>
          <w:p>
            <w:pPr>
              <w:spacing w:after="0"/>
              <w:rPr>
                <w:sz w:val="20"/>
                <w:szCs w:val="20"/>
                <w:color w:val="auto"/>
              </w:rPr>
            </w:pPr>
            <w:r>
              <w:rPr>
                <w:rFonts w:ascii="Arial" w:cs="Arial" w:eastAsia="Arial" w:hAnsi="Arial"/>
                <w:sz w:val="12"/>
                <w:szCs w:val="12"/>
                <w:color w:val="auto"/>
                <w:w w:val="86"/>
              </w:rPr>
              <w:t>10/23/2024</w:t>
            </w:r>
          </w:p>
        </w:tc>
        <w:tc>
          <w:tcPr>
            <w:tcW w:w="220" w:type="dxa"/>
            <w:vAlign w:val="bottom"/>
            <w:shd w:val="clear" w:color="auto" w:fill="CCECFF"/>
          </w:tcPr>
          <w:p>
            <w:pPr>
              <w:spacing w:after="0"/>
              <w:rPr>
                <w:sz w:val="12"/>
                <w:szCs w:val="12"/>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Printing and Publishing</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12.00</w:t>
            </w:r>
          </w:p>
        </w:tc>
        <w:tc>
          <w:tcPr>
            <w:tcW w:w="280" w:type="dxa"/>
            <w:vAlign w:val="bottom"/>
            <w:vMerge w:val="continue"/>
            <w:shd w:val="clear" w:color="auto" w:fill="CCECFF"/>
          </w:tcPr>
          <w:p>
            <w:pPr>
              <w:spacing w:after="0"/>
              <w:rPr>
                <w:sz w:val="12"/>
                <w:szCs w:val="12"/>
                <w:color w:val="auto"/>
              </w:rPr>
            </w:pP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6M L+925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36,828,975</w:t>
            </w:r>
          </w:p>
        </w:tc>
        <w:tc>
          <w:tcPr>
            <w:tcW w:w="3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36,163,575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36,092,396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spacing w:after="0"/>
              <w:rPr>
                <w:sz w:val="20"/>
                <w:szCs w:val="20"/>
                <w:color w:val="auto"/>
              </w:rPr>
            </w:pPr>
            <w:r>
              <w:rPr>
                <w:rFonts w:ascii="Arial" w:cs="Arial" w:eastAsia="Arial" w:hAnsi="Arial"/>
                <w:sz w:val="12"/>
                <w:szCs w:val="12"/>
                <w:color w:val="auto"/>
              </w:rPr>
              <w:t>MBS Holdings, Inc.</w:t>
            </w:r>
          </w:p>
        </w:tc>
        <w:tc>
          <w:tcPr>
            <w:tcW w:w="540" w:type="dxa"/>
            <w:vAlign w:val="bottom"/>
          </w:tcPr>
          <w:p>
            <w:pPr>
              <w:spacing w:after="0"/>
              <w:rPr>
                <w:sz w:val="20"/>
                <w:szCs w:val="20"/>
                <w:color w:val="auto"/>
              </w:rPr>
            </w:pPr>
            <w:r>
              <w:rPr>
                <w:rFonts w:ascii="Arial" w:cs="Arial" w:eastAsia="Arial" w:hAnsi="Arial"/>
                <w:sz w:val="12"/>
                <w:szCs w:val="12"/>
                <w:color w:val="auto"/>
                <w:w w:val="86"/>
              </w:rPr>
              <w:t>01/02/2024</w:t>
            </w:r>
          </w:p>
        </w:tc>
        <w:tc>
          <w:tcPr>
            <w:tcW w:w="220" w:type="dxa"/>
            <w:vAlign w:val="bottom"/>
          </w:tcPr>
          <w:p>
            <w:pPr>
              <w:spacing w:after="0"/>
              <w:rPr>
                <w:sz w:val="12"/>
                <w:szCs w:val="12"/>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40" w:type="dxa"/>
            <w:vAlign w:val="bottom"/>
            <w:gridSpan w:val="2"/>
          </w:tcPr>
          <w:p>
            <w:pPr>
              <w:jc w:val="right"/>
              <w:ind w:right="122"/>
              <w:spacing w:after="0"/>
              <w:rPr>
                <w:sz w:val="20"/>
                <w:szCs w:val="20"/>
                <w:color w:val="auto"/>
              </w:rPr>
            </w:pPr>
            <w:r>
              <w:rPr>
                <w:rFonts w:ascii="Arial" w:cs="Arial" w:eastAsia="Arial" w:hAnsi="Arial"/>
                <w:sz w:val="12"/>
                <w:szCs w:val="12"/>
                <w:color w:val="auto"/>
              </w:rPr>
              <w:t>10.99%</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tcPr>
          <w:p>
            <w:pPr>
              <w:jc w:val="right"/>
              <w:spacing w:after="0"/>
              <w:rPr>
                <w:sz w:val="20"/>
                <w:szCs w:val="20"/>
                <w:color w:val="auto"/>
              </w:rPr>
            </w:pPr>
            <w:r>
              <w:rPr>
                <w:rFonts w:ascii="Arial" w:cs="Arial" w:eastAsia="Arial" w:hAnsi="Arial"/>
                <w:sz w:val="12"/>
                <w:szCs w:val="12"/>
                <w:color w:val="auto"/>
              </w:rPr>
              <w:t>17,236,000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16,922,195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16,891,280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Borders>
              <w:right w:val="single" w:sz="8" w:color="CCECFF"/>
            </w:tcBorders>
            <w:gridSpan w:val="2"/>
            <w:shd w:val="clear" w:color="auto" w:fill="CCECFF"/>
          </w:tcPr>
          <w:p>
            <w:pPr>
              <w:spacing w:after="0"/>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(8), (11)</w:t>
            </w:r>
          </w:p>
        </w:tc>
        <w:tc>
          <w:tcPr>
            <w:tcW w:w="540" w:type="dxa"/>
            <w:vAlign w:val="bottom"/>
            <w:shd w:val="clear" w:color="auto" w:fill="CCECFF"/>
          </w:tcPr>
          <w:p>
            <w:pPr>
              <w:spacing w:after="0"/>
              <w:rPr>
                <w:sz w:val="20"/>
                <w:szCs w:val="20"/>
                <w:color w:val="auto"/>
              </w:rPr>
            </w:pPr>
            <w:r>
              <w:rPr>
                <w:rFonts w:ascii="Arial" w:cs="Arial" w:eastAsia="Arial" w:hAnsi="Arial"/>
                <w:sz w:val="12"/>
                <w:szCs w:val="12"/>
                <w:color w:val="auto"/>
                <w:w w:val="86"/>
              </w:rPr>
              <w:t>12/17/2021</w:t>
            </w:r>
          </w:p>
        </w:tc>
        <w:tc>
          <w:tcPr>
            <w:tcW w:w="220" w:type="dxa"/>
            <w:vAlign w:val="bottom"/>
            <w:shd w:val="clear" w:color="auto" w:fill="CCECFF"/>
          </w:tcPr>
          <w:p>
            <w:pPr>
              <w:spacing w:after="0"/>
              <w:rPr>
                <w:sz w:val="12"/>
                <w:szCs w:val="12"/>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Hotels, Motels, Inns and Gaming</w:t>
            </w:r>
          </w:p>
        </w:tc>
        <w:tc>
          <w:tcPr>
            <w:tcW w:w="940" w:type="dxa"/>
            <w:vAlign w:val="bottom"/>
            <w:gridSpan w:val="2"/>
            <w:shd w:val="clear" w:color="auto" w:fill="CCECFF"/>
          </w:tcPr>
          <w:p>
            <w:pPr>
              <w:jc w:val="right"/>
              <w:ind w:right="122"/>
              <w:spacing w:after="0"/>
              <w:rPr>
                <w:sz w:val="20"/>
                <w:szCs w:val="20"/>
                <w:color w:val="auto"/>
              </w:rPr>
            </w:pPr>
            <w:r>
              <w:rPr>
                <w:rFonts w:ascii="Arial" w:cs="Arial" w:eastAsia="Arial" w:hAnsi="Arial"/>
                <w:sz w:val="12"/>
                <w:szCs w:val="12"/>
                <w:color w:val="auto"/>
              </w:rPr>
              <w:t>14.60%</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L+1,200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76,500,000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76,500,000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76,500,000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20" w:type="dxa"/>
            <w:vAlign w:val="bottom"/>
            <w:gridSpan w:val="2"/>
          </w:tcPr>
          <w:p>
            <w:pPr>
              <w:spacing w:after="0"/>
              <w:rPr>
                <w:sz w:val="20"/>
                <w:szCs w:val="20"/>
                <w:color w:val="auto"/>
              </w:rPr>
            </w:pPr>
            <w:r>
              <w:rPr>
                <w:rFonts w:ascii="Arial" w:cs="Arial" w:eastAsia="Arial" w:hAnsi="Arial"/>
                <w:sz w:val="12"/>
                <w:szCs w:val="12"/>
                <w:color w:val="auto"/>
              </w:rPr>
              <w:t>PT Network, LLC</w:t>
            </w:r>
          </w:p>
        </w:tc>
        <w:tc>
          <w:tcPr>
            <w:tcW w:w="540" w:type="dxa"/>
            <w:vAlign w:val="bottom"/>
          </w:tcPr>
          <w:p>
            <w:pPr>
              <w:spacing w:after="0"/>
              <w:rPr>
                <w:sz w:val="20"/>
                <w:szCs w:val="20"/>
                <w:color w:val="auto"/>
              </w:rPr>
            </w:pPr>
            <w:r>
              <w:rPr>
                <w:rFonts w:ascii="Arial" w:cs="Arial" w:eastAsia="Arial" w:hAnsi="Arial"/>
                <w:sz w:val="12"/>
                <w:szCs w:val="12"/>
                <w:color w:val="auto"/>
                <w:w w:val="86"/>
              </w:rPr>
              <w:t>04/12/2023</w:t>
            </w:r>
          </w:p>
        </w:tc>
        <w:tc>
          <w:tcPr>
            <w:tcW w:w="220" w:type="dxa"/>
            <w:vAlign w:val="bottom"/>
          </w:tcPr>
          <w:p>
            <w:pPr>
              <w:spacing w:after="0"/>
              <w:rPr>
                <w:sz w:val="13"/>
                <w:szCs w:val="13"/>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22"/>
              <w:spacing w:after="0"/>
              <w:rPr>
                <w:sz w:val="20"/>
                <w:szCs w:val="20"/>
                <w:color w:val="auto"/>
              </w:rPr>
            </w:pPr>
            <w:r>
              <w:rPr>
                <w:rFonts w:ascii="Arial" w:cs="Arial" w:eastAsia="Arial" w:hAnsi="Arial"/>
                <w:sz w:val="12"/>
                <w:szCs w:val="12"/>
                <w:color w:val="auto"/>
              </w:rPr>
              <w:t>12.43%</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L+1,000</w:t>
            </w:r>
          </w:p>
        </w:tc>
        <w:tc>
          <w:tcPr>
            <w:tcW w:w="660" w:type="dxa"/>
            <w:vAlign w:val="bottom"/>
          </w:tcPr>
          <w:p>
            <w:pPr>
              <w:jc w:val="right"/>
              <w:spacing w:after="0"/>
              <w:rPr>
                <w:sz w:val="20"/>
                <w:szCs w:val="20"/>
                <w:color w:val="auto"/>
              </w:rPr>
            </w:pPr>
            <w:r>
              <w:rPr>
                <w:rFonts w:ascii="Arial" w:cs="Arial" w:eastAsia="Arial" w:hAnsi="Arial"/>
                <w:sz w:val="12"/>
                <w:szCs w:val="12"/>
                <w:color w:val="auto"/>
              </w:rPr>
              <w:t>43,183,509</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42,537,122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41,585,719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color w:val="auto"/>
              </w:rPr>
              <w:t>(PIK 12.43%)</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tcBorders>
              <w:right w:val="single" w:sz="8" w:color="CCECFF"/>
            </w:tcBorders>
            <w:gridSpan w:val="2"/>
            <w:shd w:val="clear" w:color="auto" w:fill="CCECFF"/>
          </w:tcPr>
          <w:p>
            <w:pPr>
              <w:spacing w:after="0"/>
              <w:rPr>
                <w:sz w:val="20"/>
                <w:szCs w:val="20"/>
                <w:color w:val="auto"/>
              </w:rPr>
            </w:pPr>
            <w:r>
              <w:rPr>
                <w:rFonts w:ascii="Arial" w:cs="Arial" w:eastAsia="Arial" w:hAnsi="Arial"/>
                <w:sz w:val="12"/>
                <w:szCs w:val="12"/>
                <w:color w:val="auto"/>
              </w:rPr>
              <w:t>Shift4 Payments, LLC</w:t>
            </w:r>
          </w:p>
        </w:tc>
        <w:tc>
          <w:tcPr>
            <w:tcW w:w="540" w:type="dxa"/>
            <w:vAlign w:val="bottom"/>
            <w:shd w:val="clear" w:color="auto" w:fill="CCECFF"/>
          </w:tcPr>
          <w:p>
            <w:pPr>
              <w:spacing w:after="0"/>
              <w:rPr>
                <w:sz w:val="20"/>
                <w:szCs w:val="20"/>
                <w:color w:val="auto"/>
              </w:rPr>
            </w:pPr>
            <w:r>
              <w:rPr>
                <w:rFonts w:ascii="Arial" w:cs="Arial" w:eastAsia="Arial" w:hAnsi="Arial"/>
                <w:sz w:val="12"/>
                <w:szCs w:val="12"/>
                <w:color w:val="auto"/>
                <w:w w:val="86"/>
              </w:rPr>
              <w:t>11/28/2025</w:t>
            </w:r>
          </w:p>
        </w:tc>
        <w:tc>
          <w:tcPr>
            <w:tcW w:w="220" w:type="dxa"/>
            <w:vAlign w:val="bottom"/>
            <w:shd w:val="clear" w:color="auto" w:fill="CCECFF"/>
          </w:tcPr>
          <w:p>
            <w:pPr>
              <w:spacing w:after="0"/>
              <w:rPr>
                <w:sz w:val="12"/>
                <w:szCs w:val="12"/>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122"/>
              <w:spacing w:after="0"/>
              <w:rPr>
                <w:sz w:val="20"/>
                <w:szCs w:val="20"/>
                <w:color w:val="auto"/>
              </w:rPr>
            </w:pPr>
            <w:r>
              <w:rPr>
                <w:rFonts w:ascii="Arial" w:cs="Arial" w:eastAsia="Arial" w:hAnsi="Arial"/>
                <w:sz w:val="12"/>
                <w:szCs w:val="12"/>
                <w:color w:val="auto"/>
              </w:rPr>
              <w:t>11.24%</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27,000,000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26,936,495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26,392,500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spacing w:after="0"/>
              <w:rPr>
                <w:sz w:val="20"/>
                <w:szCs w:val="20"/>
                <w:color w:val="auto"/>
              </w:rPr>
            </w:pPr>
            <w:r>
              <w:rPr>
                <w:rFonts w:ascii="Arial" w:cs="Arial" w:eastAsia="Arial" w:hAnsi="Arial"/>
                <w:sz w:val="12"/>
                <w:szCs w:val="12"/>
                <w:color w:val="auto"/>
              </w:rPr>
              <w:t>VT Topco, Inc.</w:t>
            </w:r>
          </w:p>
        </w:tc>
        <w:tc>
          <w:tcPr>
            <w:tcW w:w="540" w:type="dxa"/>
            <w:vAlign w:val="bottom"/>
          </w:tcPr>
          <w:p>
            <w:pPr>
              <w:spacing w:after="0"/>
              <w:rPr>
                <w:sz w:val="20"/>
                <w:szCs w:val="20"/>
                <w:color w:val="auto"/>
              </w:rPr>
            </w:pPr>
            <w:r>
              <w:rPr>
                <w:rFonts w:ascii="Arial" w:cs="Arial" w:eastAsia="Arial" w:hAnsi="Arial"/>
                <w:sz w:val="12"/>
                <w:szCs w:val="12"/>
                <w:color w:val="auto"/>
                <w:w w:val="86"/>
              </w:rPr>
              <w:t>08/24/2026</w:t>
            </w:r>
          </w:p>
        </w:tc>
        <w:tc>
          <w:tcPr>
            <w:tcW w:w="220" w:type="dxa"/>
            <w:vAlign w:val="bottom"/>
          </w:tcPr>
          <w:p>
            <w:pPr>
              <w:spacing w:after="0"/>
              <w:rPr>
                <w:sz w:val="12"/>
                <w:szCs w:val="12"/>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22"/>
              <w:spacing w:after="0"/>
              <w:rPr>
                <w:sz w:val="20"/>
                <w:szCs w:val="20"/>
                <w:color w:val="auto"/>
              </w:rPr>
            </w:pPr>
            <w:r>
              <w:rPr>
                <w:rFonts w:ascii="Arial" w:cs="Arial" w:eastAsia="Arial" w:hAnsi="Arial"/>
                <w:sz w:val="12"/>
                <w:szCs w:val="12"/>
                <w:color w:val="auto"/>
              </w:rPr>
              <w:t>9.60%</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L+700</w:t>
            </w:r>
          </w:p>
        </w:tc>
        <w:tc>
          <w:tcPr>
            <w:tcW w:w="660" w:type="dxa"/>
            <w:vAlign w:val="bottom"/>
          </w:tcPr>
          <w:p>
            <w:pPr>
              <w:jc w:val="right"/>
              <w:spacing w:after="0"/>
              <w:rPr>
                <w:sz w:val="20"/>
                <w:szCs w:val="20"/>
                <w:color w:val="auto"/>
              </w:rPr>
            </w:pPr>
            <w:r>
              <w:rPr>
                <w:rFonts w:ascii="Arial" w:cs="Arial" w:eastAsia="Arial" w:hAnsi="Arial"/>
                <w:sz w:val="12"/>
                <w:szCs w:val="12"/>
                <w:color w:val="auto"/>
              </w:rPr>
              <w:t>10,000,000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9,951,055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9,925,000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Borders>
              <w:right w:val="single" w:sz="8" w:color="CCECFF"/>
            </w:tcBorders>
            <w:gridSpan w:val="2"/>
            <w:shd w:val="clear" w:color="auto" w:fill="CCECFF"/>
          </w:tcPr>
          <w:p>
            <w:pPr>
              <w:spacing w:after="0"/>
              <w:rPr>
                <w:sz w:val="20"/>
                <w:szCs w:val="20"/>
                <w:color w:val="auto"/>
              </w:rPr>
            </w:pPr>
            <w:r>
              <w:rPr>
                <w:rFonts w:ascii="Arial" w:cs="Arial" w:eastAsia="Arial" w:hAnsi="Arial"/>
                <w:sz w:val="12"/>
                <w:szCs w:val="12"/>
                <w:color w:val="auto"/>
              </w:rPr>
              <w:t>Winter Park Intermediate, Inc.</w:t>
            </w:r>
          </w:p>
        </w:tc>
        <w:tc>
          <w:tcPr>
            <w:tcW w:w="540" w:type="dxa"/>
            <w:vAlign w:val="bottom"/>
            <w:shd w:val="clear" w:color="auto" w:fill="CCECFF"/>
          </w:tcPr>
          <w:p>
            <w:pPr>
              <w:spacing w:after="0"/>
              <w:rPr>
                <w:sz w:val="20"/>
                <w:szCs w:val="20"/>
                <w:color w:val="auto"/>
              </w:rPr>
            </w:pPr>
            <w:r>
              <w:rPr>
                <w:rFonts w:ascii="Arial" w:cs="Arial" w:eastAsia="Arial" w:hAnsi="Arial"/>
                <w:sz w:val="12"/>
                <w:szCs w:val="12"/>
                <w:color w:val="auto"/>
                <w:w w:val="86"/>
              </w:rPr>
              <w:t>04/06/2026</w:t>
            </w:r>
          </w:p>
        </w:tc>
        <w:tc>
          <w:tcPr>
            <w:tcW w:w="220" w:type="dxa"/>
            <w:vAlign w:val="bottom"/>
            <w:shd w:val="clear" w:color="auto" w:fill="CCECFF"/>
          </w:tcPr>
          <w:p>
            <w:pPr>
              <w:spacing w:after="0"/>
              <w:rPr>
                <w:sz w:val="12"/>
                <w:szCs w:val="12"/>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Auto Sector</w:t>
            </w:r>
          </w:p>
        </w:tc>
        <w:tc>
          <w:tcPr>
            <w:tcW w:w="940" w:type="dxa"/>
            <w:vAlign w:val="bottom"/>
            <w:gridSpan w:val="2"/>
            <w:shd w:val="clear" w:color="auto" w:fill="CCECFF"/>
          </w:tcPr>
          <w:p>
            <w:pPr>
              <w:jc w:val="right"/>
              <w:ind w:right="122"/>
              <w:spacing w:after="0"/>
              <w:rPr>
                <w:sz w:val="20"/>
                <w:szCs w:val="20"/>
                <w:color w:val="auto"/>
              </w:rPr>
            </w:pPr>
            <w:r>
              <w:rPr>
                <w:rFonts w:ascii="Arial" w:cs="Arial" w:eastAsia="Arial" w:hAnsi="Arial"/>
                <w:sz w:val="12"/>
                <w:szCs w:val="12"/>
                <w:color w:val="auto"/>
              </w:rPr>
              <w:t>11.00%</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27,800,000</w:t>
            </w: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27,292,982</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27,522,000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20" w:type="dxa"/>
            <w:vAlign w:val="bottom"/>
            <w:gridSpan w:val="2"/>
          </w:tcPr>
          <w:p>
            <w:pPr>
              <w:spacing w:after="0"/>
              <w:rPr>
                <w:sz w:val="20"/>
                <w:szCs w:val="20"/>
                <w:color w:val="auto"/>
              </w:rPr>
            </w:pPr>
            <w:r>
              <w:rPr>
                <w:rFonts w:ascii="Arial" w:cs="Arial" w:eastAsia="Arial" w:hAnsi="Arial"/>
                <w:sz w:val="12"/>
                <w:szCs w:val="12"/>
                <w:b w:val="1"/>
                <w:bCs w:val="1"/>
                <w:color w:val="auto"/>
              </w:rPr>
              <w:t>Total Second Lien Secured Debt</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89"/>
              </w:rPr>
              <w:t>350,738,578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349,961,359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20" w:type="dxa"/>
            <w:vAlign w:val="bottom"/>
            <w:tcBorders>
              <w:top w:val="single" w:sz="8" w:color="CCECFF"/>
              <w:right w:val="single" w:sz="8" w:color="CCECFF"/>
            </w:tcBorders>
            <w:gridSpan w:val="2"/>
            <w:shd w:val="clear" w:color="auto" w:fill="CCECFF"/>
          </w:tcPr>
          <w:p>
            <w:pPr>
              <w:spacing w:after="0"/>
              <w:rPr>
                <w:sz w:val="20"/>
                <w:szCs w:val="20"/>
                <w:color w:val="auto"/>
              </w:rPr>
            </w:pPr>
            <w:r>
              <w:rPr>
                <w:rFonts w:ascii="Arial" w:cs="Arial" w:eastAsia="Arial" w:hAnsi="Arial"/>
                <w:sz w:val="12"/>
                <w:szCs w:val="12"/>
                <w:b w:val="1"/>
                <w:bCs w:val="1"/>
                <w:color w:val="auto"/>
              </w:rPr>
              <w:t>Subordinated Debt/Corporate Notes—8.4%</w:t>
            </w:r>
          </w:p>
        </w:tc>
        <w:tc>
          <w:tcPr>
            <w:tcW w:w="54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256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88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20" w:type="dxa"/>
            <w:vAlign w:val="bottom"/>
            <w:gridSpan w:val="2"/>
          </w:tcPr>
          <w:p>
            <w:pPr>
              <w:spacing w:after="0"/>
              <w:rPr>
                <w:sz w:val="20"/>
                <w:szCs w:val="20"/>
                <w:color w:val="auto"/>
              </w:rPr>
            </w:pPr>
            <w:r>
              <w:rPr>
                <w:rFonts w:ascii="Arial" w:cs="Arial" w:eastAsia="Arial" w:hAnsi="Arial"/>
                <w:sz w:val="12"/>
                <w:szCs w:val="12"/>
                <w:color w:val="auto"/>
              </w:rPr>
              <w:t>Blackhawk Industrial Distribution, Inc.</w:t>
            </w:r>
          </w:p>
        </w:tc>
        <w:tc>
          <w:tcPr>
            <w:tcW w:w="540" w:type="dxa"/>
            <w:vAlign w:val="bottom"/>
          </w:tcPr>
          <w:p>
            <w:pPr>
              <w:spacing w:after="0"/>
              <w:rPr>
                <w:sz w:val="20"/>
                <w:szCs w:val="20"/>
                <w:color w:val="auto"/>
              </w:rPr>
            </w:pPr>
            <w:r>
              <w:rPr>
                <w:rFonts w:ascii="Arial" w:cs="Arial" w:eastAsia="Arial" w:hAnsi="Arial"/>
                <w:sz w:val="12"/>
                <w:szCs w:val="12"/>
                <w:color w:val="auto"/>
                <w:w w:val="86"/>
              </w:rPr>
              <w:t>03/17/2025</w:t>
            </w:r>
          </w:p>
        </w:tc>
        <w:tc>
          <w:tcPr>
            <w:tcW w:w="220" w:type="dxa"/>
            <w:vAlign w:val="bottom"/>
          </w:tcPr>
          <w:p>
            <w:pPr>
              <w:spacing w:after="0"/>
              <w:rPr>
                <w:sz w:val="13"/>
                <w:szCs w:val="13"/>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93"/>
              </w:rPr>
              <w:t>Distribution</w:t>
            </w:r>
          </w:p>
        </w:tc>
        <w:tc>
          <w:tcPr>
            <w:tcW w:w="940" w:type="dxa"/>
            <w:vAlign w:val="bottom"/>
            <w:gridSpan w:val="2"/>
          </w:tcPr>
          <w:p>
            <w:pPr>
              <w:jc w:val="right"/>
              <w:ind w:right="122"/>
              <w:spacing w:after="0"/>
              <w:rPr>
                <w:sz w:val="20"/>
                <w:szCs w:val="20"/>
                <w:color w:val="auto"/>
              </w:rPr>
            </w:pPr>
            <w:r>
              <w:rPr>
                <w:rFonts w:ascii="Arial" w:cs="Arial" w:eastAsia="Arial" w:hAnsi="Arial"/>
                <w:sz w:val="12"/>
                <w:szCs w:val="12"/>
                <w:color w:val="auto"/>
              </w:rPr>
              <w:t>12.00%</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13,634,965</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13,379,431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13,634,965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82"/>
              <w:spacing w:after="0"/>
              <w:rPr>
                <w:sz w:val="20"/>
                <w:szCs w:val="20"/>
                <w:color w:val="auto"/>
              </w:rPr>
            </w:pPr>
            <w:r>
              <w:rPr>
                <w:rFonts w:ascii="Arial" w:cs="Arial" w:eastAsia="Arial" w:hAnsi="Arial"/>
                <w:sz w:val="12"/>
                <w:szCs w:val="12"/>
                <w:color w:val="auto"/>
              </w:rPr>
              <w:t>(PIK 2.00%)</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Cascade Environmental LLC</w:t>
            </w:r>
          </w:p>
        </w:tc>
        <w:tc>
          <w:tcPr>
            <w:tcW w:w="120" w:type="dxa"/>
            <w:vAlign w:val="bottom"/>
            <w:tcBorders>
              <w:right w:val="single" w:sz="8" w:color="CCECFF"/>
            </w:tcBorders>
            <w:shd w:val="clear" w:color="auto" w:fill="CCECFF"/>
          </w:tcPr>
          <w:p>
            <w:pPr>
              <w:spacing w:after="0"/>
              <w:rPr>
                <w:sz w:val="12"/>
                <w:szCs w:val="12"/>
                <w:color w:val="auto"/>
              </w:rPr>
            </w:pPr>
          </w:p>
        </w:tc>
        <w:tc>
          <w:tcPr>
            <w:tcW w:w="540" w:type="dxa"/>
            <w:vAlign w:val="bottom"/>
            <w:shd w:val="clear" w:color="auto" w:fill="CCECFF"/>
          </w:tcPr>
          <w:p>
            <w:pPr>
              <w:spacing w:after="0"/>
              <w:rPr>
                <w:sz w:val="20"/>
                <w:szCs w:val="20"/>
                <w:color w:val="auto"/>
              </w:rPr>
            </w:pPr>
            <w:r>
              <w:rPr>
                <w:rFonts w:ascii="Arial" w:cs="Arial" w:eastAsia="Arial" w:hAnsi="Arial"/>
                <w:sz w:val="12"/>
                <w:szCs w:val="12"/>
                <w:color w:val="auto"/>
                <w:w w:val="86"/>
              </w:rPr>
              <w:t>08/20/2021</w:t>
            </w:r>
          </w:p>
        </w:tc>
        <w:tc>
          <w:tcPr>
            <w:tcW w:w="220" w:type="dxa"/>
            <w:vAlign w:val="bottom"/>
            <w:shd w:val="clear" w:color="auto" w:fill="CCECFF"/>
          </w:tcPr>
          <w:p>
            <w:pPr>
              <w:spacing w:after="0"/>
              <w:rPr>
                <w:sz w:val="12"/>
                <w:szCs w:val="12"/>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Environmental Services</w:t>
            </w:r>
          </w:p>
        </w:tc>
        <w:tc>
          <w:tcPr>
            <w:tcW w:w="940" w:type="dxa"/>
            <w:vAlign w:val="bottom"/>
            <w:gridSpan w:val="2"/>
            <w:shd w:val="clear" w:color="auto" w:fill="CCECFF"/>
          </w:tcPr>
          <w:p>
            <w:pPr>
              <w:jc w:val="right"/>
              <w:ind w:right="122"/>
              <w:spacing w:after="0"/>
              <w:rPr>
                <w:sz w:val="20"/>
                <w:szCs w:val="20"/>
                <w:color w:val="auto"/>
              </w:rPr>
            </w:pPr>
            <w:r>
              <w:rPr>
                <w:rFonts w:ascii="Arial" w:cs="Arial" w:eastAsia="Arial" w:hAnsi="Arial"/>
                <w:sz w:val="12"/>
                <w:szCs w:val="12"/>
                <w:color w:val="auto"/>
              </w:rPr>
              <w:t>15.00%</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38,156,708</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37,813,950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36,248,873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spacing w:after="0"/>
              <w:rPr>
                <w:sz w:val="12"/>
                <w:szCs w:val="12"/>
                <w:color w:val="auto"/>
              </w:rPr>
            </w:pPr>
          </w:p>
        </w:tc>
        <w:tc>
          <w:tcPr>
            <w:tcW w:w="120" w:type="dxa"/>
            <w:vAlign w:val="bottom"/>
            <w:tcBorders>
              <w:right w:val="single" w:sz="8" w:color="CCECFF"/>
            </w:tcBorders>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ind w:left="120"/>
              <w:spacing w:after="0"/>
              <w:rPr>
                <w:sz w:val="20"/>
                <w:szCs w:val="20"/>
                <w:color w:val="auto"/>
              </w:rPr>
            </w:pPr>
            <w:r>
              <w:rPr>
                <w:rFonts w:ascii="Arial" w:cs="Arial" w:eastAsia="Arial" w:hAnsi="Arial"/>
                <w:sz w:val="12"/>
                <w:szCs w:val="12"/>
                <w:color w:val="auto"/>
              </w:rPr>
              <w:t>(PIK 13.00%)</w:t>
            </w: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20" w:type="dxa"/>
            <w:vAlign w:val="bottom"/>
            <w:gridSpan w:val="2"/>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51,193,381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49,883,838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20" w:type="dxa"/>
            <w:vAlign w:val="bottom"/>
            <w:tcBorders>
              <w:top w:val="single" w:sz="8" w:color="CCECFF"/>
              <w:right w:val="single" w:sz="8" w:color="CCECFF"/>
            </w:tcBorders>
            <w:gridSpan w:val="2"/>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Equity/Partnership Interests—0.2% </w:t>
            </w:r>
            <w:r>
              <w:rPr>
                <w:rFonts w:ascii="Arial" w:cs="Arial" w:eastAsia="Arial" w:hAnsi="Arial"/>
                <w:sz w:val="9"/>
                <w:szCs w:val="9"/>
                <w:b w:val="1"/>
                <w:bCs w:val="1"/>
                <w:color w:val="auto"/>
              </w:rPr>
              <w:t>(6)</w:t>
            </w:r>
          </w:p>
        </w:tc>
        <w:tc>
          <w:tcPr>
            <w:tcW w:w="54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256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88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spacing w:after="0"/>
              <w:rPr>
                <w:sz w:val="20"/>
                <w:szCs w:val="20"/>
                <w:color w:val="auto"/>
              </w:rPr>
            </w:pPr>
            <w:r>
              <w:rPr>
                <w:rFonts w:ascii="Arial" w:cs="Arial" w:eastAsia="Arial" w:hAnsi="Arial"/>
                <w:sz w:val="12"/>
                <w:szCs w:val="12"/>
                <w:color w:val="auto"/>
              </w:rPr>
              <w:t>AH Holdings, Inc.</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22"/>
              <w:spacing w:after="0"/>
              <w:rPr>
                <w:sz w:val="20"/>
                <w:szCs w:val="20"/>
                <w:color w:val="auto"/>
              </w:rPr>
            </w:pPr>
            <w:r>
              <w:rPr>
                <w:rFonts w:ascii="Arial" w:cs="Arial" w:eastAsia="Arial" w:hAnsi="Arial"/>
                <w:sz w:val="12"/>
                <w:szCs w:val="12"/>
                <w:color w:val="auto"/>
              </w:rPr>
              <w:t>6.00%</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211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500,000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404,042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CI (PTN) Investment Holdings II, LLC</w:t>
            </w:r>
          </w:p>
        </w:tc>
        <w:tc>
          <w:tcPr>
            <w:tcW w:w="120" w:type="dxa"/>
            <w:vAlign w:val="bottom"/>
            <w:tcBorders>
              <w:right w:val="single" w:sz="8" w:color="CCECFF"/>
            </w:tcBorders>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36,450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546,750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20,141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(9)</w:t>
            </w:r>
          </w:p>
        </w:tc>
        <w:tc>
          <w:tcPr>
            <w:tcW w:w="120" w:type="dxa"/>
            <w:vAlign w:val="bottom"/>
            <w:tcBorders>
              <w:right w:val="single" w:sz="8" w:color="CCECFF"/>
            </w:tcBorders>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spacing w:after="0"/>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(8), (11)</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556,000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64,277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73,698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Borders>
              <w:right w:val="single" w:sz="8" w:color="CCECFF"/>
            </w:tcBorders>
            <w:gridSpan w:val="2"/>
            <w:shd w:val="clear" w:color="auto" w:fill="CCECFF"/>
          </w:tcPr>
          <w:p>
            <w:pPr>
              <w:spacing w:after="0"/>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(8), (11)</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556,000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491,723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563,788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color w:val="auto"/>
              </w:rPr>
              <w:t>NXOF Holdings, Inc. (Tyto Athene, LLC)</w:t>
            </w:r>
          </w:p>
        </w:tc>
        <w:tc>
          <w:tcPr>
            <w:tcW w:w="760" w:type="dxa"/>
            <w:vAlign w:val="bottom"/>
            <w:tcBorders>
              <w:bottom w:val="single" w:sz="8" w:color="CCECFF"/>
            </w:tcBorders>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40" w:type="dxa"/>
            <w:vAlign w:val="bottom"/>
            <w:tcBorders>
              <w:bottom w:val="single" w:sz="8" w:color="CCECFF"/>
            </w:tcBorders>
            <w:gridSpan w:val="2"/>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107</w:t>
            </w: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106,822</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97,479</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20" w:type="dxa"/>
            <w:vAlign w:val="bottom"/>
            <w:tcBorders>
              <w:right w:val="single" w:sz="8" w:color="CCECFF"/>
            </w:tcBorders>
            <w:gridSpan w:val="2"/>
            <w:shd w:val="clear" w:color="auto" w:fill="CCECFF"/>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1,709,572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1,159,148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20" w:type="dxa"/>
            <w:vAlign w:val="bottom"/>
            <w:gridSpan w:val="2"/>
          </w:tcPr>
          <w:p>
            <w:pPr>
              <w:spacing w:after="0"/>
              <w:rPr>
                <w:sz w:val="20"/>
                <w:szCs w:val="20"/>
                <w:color w:val="auto"/>
              </w:rPr>
            </w:pPr>
            <w:r>
              <w:rPr>
                <w:rFonts w:ascii="Arial" w:cs="Arial" w:eastAsia="Arial" w:hAnsi="Arial"/>
                <w:sz w:val="12"/>
                <w:szCs w:val="12"/>
                <w:b w:val="1"/>
                <w:bCs w:val="1"/>
                <w:color w:val="auto"/>
                <w:w w:val="91"/>
              </w:rPr>
              <w:t xml:space="preserve">Common Equity/Partnership Interests/Warrants—9.4% </w:t>
            </w:r>
            <w:r>
              <w:rPr>
                <w:rFonts w:ascii="Arial" w:cs="Arial" w:eastAsia="Arial" w:hAnsi="Arial"/>
                <w:sz w:val="9"/>
                <w:szCs w:val="9"/>
                <w:b w:val="1"/>
                <w:bCs w:val="1"/>
                <w:color w:val="auto"/>
                <w:w w:val="91"/>
              </w:rPr>
              <w:t>(6)</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Borders>
              <w:right w:val="single" w:sz="8" w:color="CCECFF"/>
            </w:tcBorders>
            <w:gridSpan w:val="2"/>
            <w:shd w:val="clear" w:color="auto" w:fill="CCECFF"/>
          </w:tcPr>
          <w:p>
            <w:pPr>
              <w:spacing w:after="0"/>
              <w:rPr>
                <w:sz w:val="20"/>
                <w:szCs w:val="20"/>
                <w:color w:val="auto"/>
              </w:rPr>
            </w:pPr>
            <w:r>
              <w:rPr>
                <w:rFonts w:ascii="Arial" w:cs="Arial" w:eastAsia="Arial" w:hAnsi="Arial"/>
                <w:sz w:val="12"/>
                <w:szCs w:val="12"/>
                <w:color w:val="auto"/>
              </w:rPr>
              <w:t xml:space="preserve">AG Investco LP </w:t>
            </w:r>
            <w:r>
              <w:rPr>
                <w:rFonts w:ascii="Arial" w:cs="Arial" w:eastAsia="Arial" w:hAnsi="Arial"/>
                <w:sz w:val="9"/>
                <w:szCs w:val="9"/>
                <w:color w:val="auto"/>
              </w:rPr>
              <w:t>(9)</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650,000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650,000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spacing w:after="0"/>
              <w:rPr>
                <w:sz w:val="20"/>
                <w:szCs w:val="20"/>
                <w:color w:val="auto"/>
              </w:rPr>
            </w:pPr>
            <w:r>
              <w:rPr>
                <w:rFonts w:ascii="Arial" w:cs="Arial" w:eastAsia="Arial" w:hAnsi="Arial"/>
                <w:sz w:val="12"/>
                <w:szCs w:val="12"/>
                <w:color w:val="auto"/>
              </w:rPr>
              <w:t xml:space="preserve">AG Investco LP </w:t>
            </w:r>
            <w:r>
              <w:rPr>
                <w:rFonts w:ascii="Arial" w:cs="Arial" w:eastAsia="Arial" w:hAnsi="Arial"/>
                <w:sz w:val="9"/>
                <w:szCs w:val="9"/>
                <w:color w:val="auto"/>
              </w:rPr>
              <w:t>(7), (9)</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350,000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020" w:type="dxa"/>
            <w:vAlign w:val="bottom"/>
            <w:tcBorders>
              <w:right w:val="single" w:sz="8" w:color="CCECFF"/>
            </w:tcBorders>
            <w:gridSpan w:val="2"/>
            <w:shd w:val="clear" w:color="auto" w:fill="CCECFF"/>
          </w:tcPr>
          <w:p>
            <w:pPr>
              <w:spacing w:after="0"/>
              <w:rPr>
                <w:sz w:val="20"/>
                <w:szCs w:val="20"/>
                <w:color w:val="auto"/>
              </w:rPr>
            </w:pPr>
            <w:r>
              <w:rPr>
                <w:rFonts w:ascii="Arial" w:cs="Arial" w:eastAsia="Arial" w:hAnsi="Arial"/>
                <w:sz w:val="12"/>
                <w:szCs w:val="12"/>
                <w:color w:val="auto"/>
              </w:rPr>
              <w:t>AH Holdings, Inc. (Warrants)</w:t>
            </w:r>
          </w:p>
        </w:tc>
        <w:tc>
          <w:tcPr>
            <w:tcW w:w="540" w:type="dxa"/>
            <w:vAlign w:val="bottom"/>
            <w:shd w:val="clear" w:color="auto" w:fill="CCECFF"/>
          </w:tcPr>
          <w:p>
            <w:pPr>
              <w:spacing w:after="0"/>
              <w:rPr>
                <w:sz w:val="20"/>
                <w:szCs w:val="20"/>
                <w:color w:val="auto"/>
              </w:rPr>
            </w:pPr>
            <w:r>
              <w:rPr>
                <w:rFonts w:ascii="Arial" w:cs="Arial" w:eastAsia="Arial" w:hAnsi="Arial"/>
                <w:sz w:val="12"/>
                <w:szCs w:val="12"/>
                <w:color w:val="auto"/>
                <w:w w:val="86"/>
              </w:rPr>
              <w:t>03/23/2021</w:t>
            </w:r>
          </w:p>
        </w:tc>
        <w:tc>
          <w:tcPr>
            <w:tcW w:w="220" w:type="dxa"/>
            <w:vAlign w:val="bottom"/>
            <w:shd w:val="clear" w:color="auto" w:fill="CCECFF"/>
          </w:tcPr>
          <w:p>
            <w:pPr>
              <w:spacing w:after="0"/>
              <w:rPr>
                <w:sz w:val="12"/>
                <w:szCs w:val="12"/>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753</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020" w:type="dxa"/>
            <w:vAlign w:val="bottom"/>
            <w:gridSpan w:val="2"/>
          </w:tcPr>
          <w:p>
            <w:pPr>
              <w:spacing w:after="0"/>
              <w:rPr>
                <w:sz w:val="20"/>
                <w:szCs w:val="20"/>
                <w:color w:val="auto"/>
              </w:rPr>
            </w:pPr>
            <w:r>
              <w:rPr>
                <w:rFonts w:ascii="Arial" w:cs="Arial" w:eastAsia="Arial" w:hAnsi="Arial"/>
                <w:sz w:val="12"/>
                <w:szCs w:val="12"/>
                <w:color w:val="auto"/>
              </w:rPr>
              <w:t>ASP LCG Holdings, Inc. (Warrants)</w:t>
            </w:r>
          </w:p>
        </w:tc>
        <w:tc>
          <w:tcPr>
            <w:tcW w:w="540" w:type="dxa"/>
            <w:vAlign w:val="bottom"/>
          </w:tcPr>
          <w:p>
            <w:pPr>
              <w:spacing w:after="0"/>
              <w:rPr>
                <w:sz w:val="20"/>
                <w:szCs w:val="20"/>
                <w:color w:val="auto"/>
              </w:rPr>
            </w:pPr>
            <w:r>
              <w:rPr>
                <w:rFonts w:ascii="Arial" w:cs="Arial" w:eastAsia="Arial" w:hAnsi="Arial"/>
                <w:sz w:val="12"/>
                <w:szCs w:val="12"/>
                <w:color w:val="auto"/>
                <w:w w:val="86"/>
              </w:rPr>
              <w:t>05/05/2026</w:t>
            </w:r>
          </w:p>
        </w:tc>
        <w:tc>
          <w:tcPr>
            <w:tcW w:w="220" w:type="dxa"/>
            <w:vAlign w:val="bottom"/>
          </w:tcPr>
          <w:p>
            <w:pPr>
              <w:spacing w:after="0"/>
              <w:rPr>
                <w:sz w:val="12"/>
                <w:szCs w:val="12"/>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Education</w:t>
            </w:r>
          </w:p>
        </w:tc>
        <w:tc>
          <w:tcPr>
            <w:tcW w:w="94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933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586,975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2,114,937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Borders>
              <w:right w:val="single" w:sz="8" w:color="CCECFF"/>
            </w:tcBorders>
            <w:gridSpan w:val="2"/>
            <w:shd w:val="clear" w:color="auto" w:fill="CCECFF"/>
          </w:tcPr>
          <w:p>
            <w:pPr>
              <w:spacing w:after="0"/>
              <w:rPr>
                <w:sz w:val="20"/>
                <w:szCs w:val="20"/>
                <w:color w:val="auto"/>
              </w:rPr>
            </w:pPr>
            <w:r>
              <w:rPr>
                <w:rFonts w:ascii="Arial" w:cs="Arial" w:eastAsia="Arial" w:hAnsi="Arial"/>
                <w:sz w:val="12"/>
                <w:szCs w:val="12"/>
                <w:color w:val="auto"/>
              </w:rPr>
              <w:t>Autumn Games, LLC</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Broadcasting and Entertainment</w:t>
            </w:r>
          </w:p>
        </w:tc>
        <w:tc>
          <w:tcPr>
            <w:tcW w:w="94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1,333,330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020" w:type="dxa"/>
            <w:vAlign w:val="bottom"/>
            <w:gridSpan w:val="2"/>
          </w:tcPr>
          <w:p>
            <w:pPr>
              <w:spacing w:after="0"/>
              <w:rPr>
                <w:sz w:val="20"/>
                <w:szCs w:val="20"/>
                <w:color w:val="auto"/>
              </w:rPr>
            </w:pPr>
            <w:r>
              <w:rPr>
                <w:rFonts w:ascii="Arial" w:cs="Arial" w:eastAsia="Arial" w:hAnsi="Arial"/>
                <w:sz w:val="12"/>
                <w:szCs w:val="12"/>
                <w:color w:val="auto"/>
              </w:rPr>
              <w:t xml:space="preserve">Cardinal Logistics Holdings LLC </w:t>
            </w:r>
            <w:r>
              <w:rPr>
                <w:rFonts w:ascii="Arial" w:cs="Arial" w:eastAsia="Arial" w:hAnsi="Arial"/>
                <w:sz w:val="9"/>
                <w:szCs w:val="9"/>
                <w:color w:val="auto"/>
              </w:rPr>
              <w:t>(9)</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Cargo Transport</w:t>
            </w:r>
          </w:p>
        </w:tc>
        <w:tc>
          <w:tcPr>
            <w:tcW w:w="94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0"/>
                <w:szCs w:val="10"/>
                <w:color w:val="auto"/>
              </w:rPr>
              <w:t>(13)</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5,411,024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4,088,129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Borders>
              <w:right w:val="single" w:sz="8" w:color="CCECFF"/>
            </w:tcBorders>
            <w:gridSpan w:val="2"/>
            <w:shd w:val="clear" w:color="auto" w:fill="CCECFF"/>
          </w:tcPr>
          <w:p>
            <w:pPr>
              <w:spacing w:after="0"/>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(9)</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Environmental Services</w:t>
            </w:r>
          </w:p>
        </w:tc>
        <w:tc>
          <w:tcPr>
            <w:tcW w:w="94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33,901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2,852,080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520,736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20" w:type="dxa"/>
            <w:vAlign w:val="bottom"/>
            <w:gridSpan w:val="2"/>
          </w:tcPr>
          <w:p>
            <w:pPr>
              <w:spacing w:after="0"/>
              <w:rPr>
                <w:sz w:val="20"/>
                <w:szCs w:val="20"/>
                <w:color w:val="auto"/>
              </w:rPr>
            </w:pPr>
            <w:r>
              <w:rPr>
                <w:rFonts w:ascii="Arial" w:cs="Arial" w:eastAsia="Arial" w:hAnsi="Arial"/>
                <w:sz w:val="12"/>
                <w:szCs w:val="12"/>
                <w:color w:val="auto"/>
              </w:rPr>
              <w:t>CI (Allied) Investment Holdings, LLC</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120,962</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1,243,217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1,287,059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020" w:type="dxa"/>
            <w:vAlign w:val="bottom"/>
            <w:gridSpan w:val="2"/>
          </w:tcPr>
          <w:p>
            <w:pPr>
              <w:ind w:left="140"/>
              <w:spacing w:after="0"/>
              <w:rPr>
                <w:sz w:val="20"/>
                <w:szCs w:val="20"/>
                <w:color w:val="auto"/>
              </w:rPr>
            </w:pPr>
            <w:r>
              <w:rPr>
                <w:rFonts w:ascii="Arial" w:cs="Arial" w:eastAsia="Arial" w:hAnsi="Arial"/>
                <w:sz w:val="12"/>
                <w:szCs w:val="12"/>
                <w:color w:val="auto"/>
              </w:rPr>
              <w:t xml:space="preserve">(PRA Events, Inc.) </w:t>
            </w:r>
            <w:r>
              <w:rPr>
                <w:rFonts w:ascii="Arial" w:cs="Arial" w:eastAsia="Arial" w:hAnsi="Arial"/>
                <w:sz w:val="9"/>
                <w:szCs w:val="9"/>
                <w:color w:val="auto"/>
              </w:rPr>
              <w:t>(9)</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CI (PTN) Investment Holdings II, LLC</w:t>
            </w:r>
          </w:p>
        </w:tc>
        <w:tc>
          <w:tcPr>
            <w:tcW w:w="120" w:type="dxa"/>
            <w:vAlign w:val="bottom"/>
            <w:tcBorders>
              <w:right w:val="single" w:sz="8" w:color="CCECFF"/>
            </w:tcBorders>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333,333</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(9)</w:t>
            </w:r>
          </w:p>
        </w:tc>
        <w:tc>
          <w:tcPr>
            <w:tcW w:w="120" w:type="dxa"/>
            <w:vAlign w:val="bottom"/>
            <w:tcBorders>
              <w:right w:val="single" w:sz="8" w:color="CCECFF"/>
            </w:tcBorders>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20" w:type="dxa"/>
            <w:vAlign w:val="bottom"/>
            <w:gridSpan w:val="2"/>
          </w:tcPr>
          <w:p>
            <w:pPr>
              <w:spacing w:after="0"/>
              <w:rPr>
                <w:sz w:val="20"/>
                <w:szCs w:val="20"/>
                <w:color w:val="auto"/>
              </w:rPr>
            </w:pPr>
            <w:r>
              <w:rPr>
                <w:rFonts w:ascii="Arial" w:cs="Arial" w:eastAsia="Arial" w:hAnsi="Arial"/>
                <w:sz w:val="12"/>
                <w:szCs w:val="12"/>
                <w:color w:val="auto"/>
              </w:rPr>
              <w:t>CI (Summit) Investment Holdings LLC</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Buildings and Real Estate</w:t>
            </w:r>
          </w:p>
        </w:tc>
        <w:tc>
          <w:tcPr>
            <w:tcW w:w="94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100,000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1,000,000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1,210,717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020" w:type="dxa"/>
            <w:vAlign w:val="bottom"/>
            <w:gridSpan w:val="2"/>
          </w:tcPr>
          <w:p>
            <w:pPr>
              <w:ind w:left="140"/>
              <w:spacing w:after="0"/>
              <w:rPr>
                <w:sz w:val="20"/>
                <w:szCs w:val="20"/>
                <w:color w:val="auto"/>
              </w:rPr>
            </w:pPr>
            <w:r>
              <w:rPr>
                <w:rFonts w:ascii="Arial" w:cs="Arial" w:eastAsia="Arial" w:hAnsi="Arial"/>
                <w:sz w:val="12"/>
                <w:szCs w:val="12"/>
                <w:color w:val="auto"/>
              </w:rPr>
              <w:t>(SFP Holdings, Inc.)</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Cowboy Parent LLC</w:t>
            </w:r>
          </w:p>
        </w:tc>
        <w:tc>
          <w:tcPr>
            <w:tcW w:w="120" w:type="dxa"/>
            <w:vAlign w:val="bottom"/>
            <w:tcBorders>
              <w:right w:val="single" w:sz="8" w:color="CCECFF"/>
            </w:tcBorders>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3"/>
              </w:rPr>
              <w:t>Distribution</w:t>
            </w:r>
          </w:p>
        </w:tc>
        <w:tc>
          <w:tcPr>
            <w:tcW w:w="94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22,500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2,250,000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2,765,377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(Blackhawk Industrial Distribution, Inc.)</w:t>
            </w:r>
          </w:p>
        </w:tc>
        <w:tc>
          <w:tcPr>
            <w:tcW w:w="120" w:type="dxa"/>
            <w:vAlign w:val="bottom"/>
            <w:tcBorders>
              <w:right w:val="single" w:sz="8" w:color="CCECFF"/>
            </w:tcBorders>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spacing w:after="0"/>
              <w:rPr>
                <w:sz w:val="20"/>
                <w:szCs w:val="20"/>
                <w:color w:val="auto"/>
              </w:rPr>
            </w:pPr>
            <w:r>
              <w:rPr>
                <w:rFonts w:ascii="Arial" w:cs="Arial" w:eastAsia="Arial" w:hAnsi="Arial"/>
                <w:sz w:val="12"/>
                <w:szCs w:val="12"/>
                <w:color w:val="auto"/>
              </w:rPr>
              <w:t>DecoPac Holdings Inc.</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3,449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3,448,658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5,516,858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Borders>
              <w:right w:val="single" w:sz="8" w:color="CCECFF"/>
            </w:tcBorders>
            <w:gridSpan w:val="2"/>
            <w:shd w:val="clear" w:color="auto" w:fill="CCECFF"/>
          </w:tcPr>
          <w:p>
            <w:pPr>
              <w:spacing w:after="0"/>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(11)</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1,004,625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1,119,137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gridSpan w:val="2"/>
          </w:tcPr>
          <w:p>
            <w:pPr>
              <w:spacing w:after="0"/>
              <w:rPr>
                <w:sz w:val="20"/>
                <w:szCs w:val="20"/>
                <w:color w:val="auto"/>
              </w:rPr>
            </w:pPr>
            <w:r>
              <w:rPr>
                <w:rFonts w:ascii="Arial" w:cs="Arial" w:eastAsia="Arial" w:hAnsi="Arial"/>
                <w:sz w:val="12"/>
                <w:szCs w:val="12"/>
                <w:color w:val="auto"/>
              </w:rPr>
              <w:t>Faraday Holdings, LLC</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4,277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217,635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1,272,723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Gauge TVC Coinvest, LLC</w:t>
            </w:r>
          </w:p>
        </w:tc>
        <w:tc>
          <w:tcPr>
            <w:tcW w:w="120" w:type="dxa"/>
            <w:vAlign w:val="bottom"/>
            <w:tcBorders>
              <w:right w:val="single" w:sz="8" w:color="CCECFF"/>
            </w:tcBorders>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Transportation</w:t>
            </w:r>
          </w:p>
        </w:tc>
        <w:tc>
          <w:tcPr>
            <w:tcW w:w="94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810,645</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810,645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810,645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(TVC Enterprises, LLC)</w:t>
            </w:r>
          </w:p>
        </w:tc>
        <w:tc>
          <w:tcPr>
            <w:tcW w:w="120" w:type="dxa"/>
            <w:vAlign w:val="bottom"/>
            <w:tcBorders>
              <w:right w:val="single" w:sz="8" w:color="CCECFF"/>
            </w:tcBorders>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20" w:type="dxa"/>
            <w:vAlign w:val="bottom"/>
            <w:gridSpan w:val="2"/>
          </w:tcPr>
          <w:p>
            <w:pPr>
              <w:spacing w:after="0"/>
              <w:rPr>
                <w:sz w:val="20"/>
                <w:szCs w:val="20"/>
                <w:color w:val="auto"/>
              </w:rPr>
            </w:pPr>
            <w:r>
              <w:rPr>
                <w:rFonts w:ascii="Arial" w:cs="Arial" w:eastAsia="Arial" w:hAnsi="Arial"/>
                <w:sz w:val="12"/>
                <w:szCs w:val="12"/>
                <w:color w:val="auto"/>
              </w:rPr>
              <w:t>Go Dawgs Capital III, LP</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675,325</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675,325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675,325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020" w:type="dxa"/>
            <w:vAlign w:val="bottom"/>
            <w:gridSpan w:val="2"/>
          </w:tcPr>
          <w:p>
            <w:pPr>
              <w:ind w:left="140"/>
              <w:spacing w:after="0"/>
              <w:rPr>
                <w:sz w:val="20"/>
                <w:szCs w:val="20"/>
                <w:color w:val="auto"/>
              </w:rPr>
            </w:pPr>
            <w:r>
              <w:rPr>
                <w:rFonts w:ascii="Arial" w:cs="Arial" w:eastAsia="Arial" w:hAnsi="Arial"/>
                <w:sz w:val="12"/>
                <w:szCs w:val="12"/>
                <w:color w:val="auto"/>
              </w:rPr>
              <w:t xml:space="preserve">(American Insulated Glass, LLC) </w:t>
            </w:r>
            <w:r>
              <w:rPr>
                <w:rFonts w:ascii="Arial" w:cs="Arial" w:eastAsia="Arial" w:hAnsi="Arial"/>
                <w:sz w:val="9"/>
                <w:szCs w:val="9"/>
                <w:color w:val="auto"/>
              </w:rPr>
              <w:t>(9)</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Green Veracity Holdings, LP - Class A</w:t>
            </w:r>
          </w:p>
        </w:tc>
        <w:tc>
          <w:tcPr>
            <w:tcW w:w="120" w:type="dxa"/>
            <w:vAlign w:val="bottom"/>
            <w:tcBorders>
              <w:right w:val="single" w:sz="8" w:color="CCECFF"/>
            </w:tcBorders>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1,635,727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(VT Topco, Inc.)</w:t>
            </w:r>
          </w:p>
        </w:tc>
        <w:tc>
          <w:tcPr>
            <w:tcW w:w="120" w:type="dxa"/>
            <w:vAlign w:val="bottom"/>
            <w:tcBorders>
              <w:right w:val="single" w:sz="8" w:color="CCECFF"/>
            </w:tcBorders>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spacing w:after="0"/>
              <w:rPr>
                <w:sz w:val="20"/>
                <w:szCs w:val="20"/>
                <w:color w:val="auto"/>
              </w:rPr>
            </w:pPr>
            <w:r>
              <w:rPr>
                <w:rFonts w:ascii="Arial" w:cs="Arial" w:eastAsia="Arial" w:hAnsi="Arial"/>
                <w:sz w:val="12"/>
                <w:szCs w:val="12"/>
                <w:color w:val="auto"/>
              </w:rPr>
              <w:t>Infogroup Parent Holdings, Inc.</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Other Media</w:t>
            </w:r>
          </w:p>
        </w:tc>
        <w:tc>
          <w:tcPr>
            <w:tcW w:w="94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181,495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2,040,000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2,008,408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tcBorders>
              <w:right w:val="single" w:sz="8" w:color="CCECFF"/>
            </w:tcBorders>
            <w:gridSpan w:val="2"/>
            <w:shd w:val="clear" w:color="auto" w:fill="CCECFF"/>
          </w:tcPr>
          <w:p>
            <w:pPr>
              <w:spacing w:after="0"/>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(9)</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223,861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2,427,375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4,363,613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spacing w:after="0"/>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(7), (9)</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28,315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(14,370)</w:t>
            </w: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JWC-WE Holdings, L.P.</w:t>
            </w:r>
          </w:p>
        </w:tc>
        <w:tc>
          <w:tcPr>
            <w:tcW w:w="120" w:type="dxa"/>
            <w:vAlign w:val="bottom"/>
            <w:tcBorders>
              <w:right w:val="single" w:sz="8" w:color="CCECFF"/>
            </w:tcBorders>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Home and Office Furnishings</w:t>
            </w:r>
          </w:p>
        </w:tc>
        <w:tc>
          <w:tcPr>
            <w:tcW w:w="94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1,906,433</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1,906,433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3,090,216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(Walker Edison Furniture Company LLC)</w:t>
            </w:r>
          </w:p>
        </w:tc>
        <w:tc>
          <w:tcPr>
            <w:tcW w:w="120" w:type="dxa"/>
            <w:vAlign w:val="bottom"/>
            <w:tcBorders>
              <w:right w:val="single" w:sz="8" w:color="CCECFF"/>
            </w:tcBorders>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spacing w:after="0"/>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(12)</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252,014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2,265,639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665,317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tcBorders>
              <w:right w:val="single" w:sz="8" w:color="CCECFF"/>
            </w:tcBorders>
            <w:gridSpan w:val="2"/>
            <w:shd w:val="clear" w:color="auto" w:fill="CCECFF"/>
          </w:tcPr>
          <w:p>
            <w:pPr>
              <w:spacing w:after="0"/>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(9)</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3"/>
              </w:rPr>
              <w:t>Distribution</w:t>
            </w:r>
          </w:p>
        </w:tc>
        <w:tc>
          <w:tcPr>
            <w:tcW w:w="94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493,280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1,164,203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spacing w:after="0"/>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(9)</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Environmental Services</w:t>
            </w:r>
          </w:p>
        </w:tc>
        <w:tc>
          <w:tcPr>
            <w:tcW w:w="94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495,249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495,249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541,198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NXOF Holdings, Inc.</w:t>
            </w:r>
          </w:p>
        </w:tc>
        <w:tc>
          <w:tcPr>
            <w:tcW w:w="120" w:type="dxa"/>
            <w:vAlign w:val="bottom"/>
            <w:tcBorders>
              <w:right w:val="single" w:sz="8" w:color="CCECFF"/>
            </w:tcBorders>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2,180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2,180</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(Tyto Athene, LLC)</w:t>
            </w:r>
          </w:p>
        </w:tc>
        <w:tc>
          <w:tcPr>
            <w:tcW w:w="120" w:type="dxa"/>
            <w:vAlign w:val="bottom"/>
            <w:tcBorders>
              <w:right w:val="single" w:sz="8" w:color="CCECFF"/>
            </w:tcBorders>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20" w:type="dxa"/>
            <w:vAlign w:val="bottom"/>
            <w:gridSpan w:val="2"/>
          </w:tcPr>
          <w:p>
            <w:pPr>
              <w:spacing w:after="0"/>
              <w:rPr>
                <w:sz w:val="20"/>
                <w:szCs w:val="20"/>
                <w:color w:val="auto"/>
              </w:rPr>
            </w:pPr>
            <w:r>
              <w:rPr>
                <w:rFonts w:ascii="Arial" w:cs="Arial" w:eastAsia="Arial" w:hAnsi="Arial"/>
                <w:sz w:val="12"/>
                <w:szCs w:val="12"/>
                <w:color w:val="auto"/>
              </w:rPr>
              <w:t>SSC Dominion Holdings, LLC</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Electronics</w:t>
            </w:r>
          </w:p>
        </w:tc>
        <w:tc>
          <w:tcPr>
            <w:tcW w:w="94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1,500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1,500,000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1,500,000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20" w:type="dxa"/>
            <w:vAlign w:val="bottom"/>
            <w:gridSpan w:val="2"/>
          </w:tcPr>
          <w:p>
            <w:pPr>
              <w:ind w:left="140"/>
              <w:spacing w:after="0"/>
              <w:rPr>
                <w:sz w:val="20"/>
                <w:szCs w:val="20"/>
                <w:color w:val="auto"/>
              </w:rPr>
            </w:pPr>
            <w:r>
              <w:rPr>
                <w:rFonts w:ascii="Arial" w:cs="Arial" w:eastAsia="Arial" w:hAnsi="Arial"/>
                <w:sz w:val="12"/>
                <w:szCs w:val="12"/>
                <w:color w:val="auto"/>
              </w:rPr>
              <w:t>Class A (US Dominion, Inc.)</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spacing w:after="0"/>
              <w:rPr>
                <w:sz w:val="20"/>
                <w:szCs w:val="20"/>
                <w:color w:val="auto"/>
              </w:rPr>
            </w:pPr>
            <w:r>
              <w:rPr>
                <w:rFonts w:ascii="Arial" w:cs="Arial" w:eastAsia="Arial" w:hAnsi="Arial"/>
                <w:sz w:val="12"/>
                <w:szCs w:val="12"/>
                <w:color w:val="auto"/>
              </w:rPr>
              <w:t>SSC Dominion Holdings, LLC</w:t>
            </w:r>
          </w:p>
        </w:tc>
        <w:tc>
          <w:tcPr>
            <w:tcW w:w="120" w:type="dxa"/>
            <w:vAlign w:val="bottom"/>
            <w:tcBorders>
              <w:right w:val="single" w:sz="8" w:color="CCECFF"/>
            </w:tcBorders>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Electronics</w:t>
            </w:r>
          </w:p>
        </w:tc>
        <w:tc>
          <w:tcPr>
            <w:tcW w:w="94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170,320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Class B (US Dominion, Inc.)</w:t>
            </w:r>
          </w:p>
        </w:tc>
        <w:tc>
          <w:tcPr>
            <w:tcW w:w="120" w:type="dxa"/>
            <w:vAlign w:val="bottom"/>
            <w:tcBorders>
              <w:right w:val="single" w:sz="8" w:color="CCECFF"/>
            </w:tcBorders>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Maturity /</w:t>
            </w:r>
          </w:p>
        </w:tc>
        <w:tc>
          <w:tcPr>
            <w:tcW w:w="2440" w:type="dxa"/>
            <w:vAlign w:val="bottom"/>
          </w:tcPr>
          <w:p>
            <w:pPr>
              <w:spacing w:after="0"/>
              <w:rPr>
                <w:sz w:val="11"/>
                <w:szCs w:val="11"/>
                <w:color w:val="auto"/>
              </w:rPr>
            </w:pPr>
          </w:p>
        </w:tc>
        <w:tc>
          <w:tcPr>
            <w:tcW w:w="980" w:type="dxa"/>
            <w:vAlign w:val="bottom"/>
            <w:gridSpan w:val="2"/>
          </w:tcPr>
          <w:p>
            <w:pPr>
              <w:jc w:val="right"/>
              <w:ind w:right="30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5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8"/>
              </w:rPr>
              <w:t>Expiration</w:t>
            </w:r>
          </w:p>
        </w:tc>
        <w:tc>
          <w:tcPr>
            <w:tcW w:w="10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tcPr>
          <w:p>
            <w:pPr>
              <w:jc w:val="center"/>
              <w:ind w:right="62"/>
              <w:spacing w:after="0"/>
              <w:rPr>
                <w:sz w:val="20"/>
                <w:szCs w:val="20"/>
                <w:color w:val="auto"/>
              </w:rPr>
            </w:pPr>
            <w:r>
              <w:rPr>
                <w:rFonts w:ascii="Arial" w:cs="Arial" w:eastAsia="Arial" w:hAnsi="Arial"/>
                <w:sz w:val="12"/>
                <w:szCs w:val="12"/>
                <w:b w:val="1"/>
                <w:bCs w:val="1"/>
                <w:color w:val="auto"/>
                <w:w w:val="92"/>
              </w:rPr>
              <w:t>Industry</w:t>
            </w:r>
          </w:p>
        </w:tc>
        <w:tc>
          <w:tcPr>
            <w:tcW w:w="8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auto"/>
            </w:tcBorders>
          </w:tcPr>
          <w:p>
            <w:pPr>
              <w:jc w:val="center"/>
              <w:ind w:left="4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w w:val="94"/>
              </w:rPr>
              <w:t>Shares</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 xml:space="preserve">U.S. Well Services, Inc. - Class A </w:t>
            </w:r>
            <w:r>
              <w:rPr>
                <w:rFonts w:ascii="Arial" w:cs="Arial" w:eastAsia="Arial" w:hAnsi="Arial"/>
                <w:sz w:val="9"/>
                <w:szCs w:val="9"/>
                <w:color w:val="auto"/>
              </w:rPr>
              <w:t>(11), (12)</w:t>
            </w:r>
          </w:p>
        </w:tc>
        <w:tc>
          <w:tcPr>
            <w:tcW w:w="900" w:type="dxa"/>
            <w:vAlign w:val="bottom"/>
            <w:gridSpan w:val="3"/>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4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88"/>
              </w:rPr>
              <w:t>Oil and Gas</w:t>
            </w:r>
          </w:p>
        </w:tc>
        <w:tc>
          <w:tcPr>
            <w:tcW w:w="98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72,833</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728,330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581,207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gridSpan w:val="2"/>
          </w:tcPr>
          <w:p>
            <w:pPr>
              <w:spacing w:after="0"/>
              <w:rPr>
                <w:sz w:val="20"/>
                <w:szCs w:val="20"/>
                <w:color w:val="auto"/>
              </w:rPr>
            </w:pPr>
            <w:r>
              <w:rPr>
                <w:rFonts w:ascii="Arial" w:cs="Arial" w:eastAsia="Arial" w:hAnsi="Arial"/>
                <w:sz w:val="12"/>
                <w:szCs w:val="12"/>
                <w:color w:val="auto"/>
              </w:rPr>
              <w:t xml:space="preserve">USWS Holdings, LLC </w:t>
            </w:r>
            <w:r>
              <w:rPr>
                <w:rFonts w:ascii="Arial" w:cs="Arial" w:eastAsia="Arial" w:hAnsi="Arial"/>
                <w:sz w:val="9"/>
                <w:szCs w:val="9"/>
                <w:color w:val="auto"/>
              </w:rPr>
              <w:t>(9), (11)</w:t>
            </w:r>
          </w:p>
        </w:tc>
        <w:tc>
          <w:tcPr>
            <w:tcW w:w="900" w:type="dxa"/>
            <w:vAlign w:val="bottom"/>
            <w:gridSpan w:val="3"/>
          </w:tcPr>
          <w:p>
            <w:pPr>
              <w:ind w:left="260"/>
              <w:spacing w:after="0"/>
              <w:rPr>
                <w:sz w:val="20"/>
                <w:szCs w:val="20"/>
                <w:color w:val="auto"/>
              </w:rPr>
            </w:pPr>
            <w:r>
              <w:rPr>
                <w:rFonts w:ascii="Arial" w:cs="Arial" w:eastAsia="Arial" w:hAnsi="Arial"/>
                <w:sz w:val="12"/>
                <w:szCs w:val="12"/>
                <w:color w:val="auto"/>
              </w:rPr>
              <w:t>—</w:t>
            </w:r>
          </w:p>
        </w:tc>
        <w:tc>
          <w:tcPr>
            <w:tcW w:w="2440" w:type="dxa"/>
            <w:vAlign w:val="bottom"/>
          </w:tcPr>
          <w:p>
            <w:pPr>
              <w:jc w:val="center"/>
              <w:ind w:right="62"/>
              <w:spacing w:after="0"/>
              <w:rPr>
                <w:sz w:val="20"/>
                <w:szCs w:val="20"/>
                <w:color w:val="auto"/>
              </w:rPr>
            </w:pPr>
            <w:r>
              <w:rPr>
                <w:rFonts w:ascii="Arial" w:cs="Arial" w:eastAsia="Arial" w:hAnsi="Arial"/>
                <w:sz w:val="12"/>
                <w:szCs w:val="12"/>
                <w:color w:val="auto"/>
                <w:w w:val="88"/>
              </w:rPr>
              <w:t>Oil and Gas</w:t>
            </w: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1,188,368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11,883,680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8,534,862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WBB Equity, LLC</w:t>
            </w:r>
          </w:p>
        </w:tc>
        <w:tc>
          <w:tcPr>
            <w:tcW w:w="120" w:type="dxa"/>
            <w:vAlign w:val="bottom"/>
            <w:shd w:val="clear" w:color="auto" w:fill="CCECFF"/>
          </w:tcPr>
          <w:p>
            <w:pPr>
              <w:spacing w:after="0"/>
              <w:rPr>
                <w:sz w:val="12"/>
                <w:szCs w:val="12"/>
                <w:color w:val="auto"/>
              </w:rPr>
            </w:pPr>
          </w:p>
        </w:tc>
        <w:tc>
          <w:tcPr>
            <w:tcW w:w="900" w:type="dxa"/>
            <w:vAlign w:val="bottom"/>
            <w:gridSpan w:val="3"/>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40" w:type="dxa"/>
            <w:vAlign w:val="bottom"/>
            <w:shd w:val="clear" w:color="auto" w:fill="CCECFF"/>
          </w:tcPr>
          <w:p>
            <w:pPr>
              <w:jc w:val="center"/>
              <w:ind w:right="82"/>
              <w:spacing w:after="0"/>
              <w:rPr>
                <w:sz w:val="20"/>
                <w:szCs w:val="20"/>
                <w:color w:val="auto"/>
              </w:rPr>
            </w:pPr>
            <w:r>
              <w:rPr>
                <w:rFonts w:ascii="Arial" w:cs="Arial" w:eastAsia="Arial" w:hAnsi="Arial"/>
                <w:sz w:val="12"/>
                <w:szCs w:val="12"/>
                <w:color w:val="auto"/>
                <w:w w:val="85"/>
              </w:rPr>
              <w:t>Aerospace and Defense</w:t>
            </w:r>
          </w:p>
        </w:tc>
        <w:tc>
          <w:tcPr>
            <w:tcW w:w="98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628,571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628,571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1,452,000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(Whitney, Bradley &amp; Brown, Inc.) </w:t>
            </w:r>
            <w:r>
              <w:rPr>
                <w:rFonts w:ascii="Arial" w:cs="Arial" w:eastAsia="Arial" w:hAnsi="Arial"/>
                <w:sz w:val="9"/>
                <w:szCs w:val="9"/>
                <w:color w:val="auto"/>
              </w:rPr>
              <w:t>(9)</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4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60" w:type="dxa"/>
            <w:vAlign w:val="bottom"/>
            <w:gridSpan w:val="2"/>
          </w:tcPr>
          <w:p>
            <w:pPr>
              <w:spacing w:after="0"/>
              <w:rPr>
                <w:sz w:val="20"/>
                <w:szCs w:val="20"/>
                <w:color w:val="auto"/>
              </w:rPr>
            </w:pPr>
            <w:r>
              <w:rPr>
                <w:rFonts w:ascii="Arial" w:cs="Arial" w:eastAsia="Arial" w:hAnsi="Arial"/>
                <w:sz w:val="12"/>
                <w:szCs w:val="12"/>
                <w:color w:val="auto"/>
              </w:rPr>
              <w:t>Wheel Pros Holdings, L.P.</w:t>
            </w:r>
          </w:p>
        </w:tc>
        <w:tc>
          <w:tcPr>
            <w:tcW w:w="900" w:type="dxa"/>
            <w:vAlign w:val="bottom"/>
            <w:gridSpan w:val="3"/>
          </w:tcPr>
          <w:p>
            <w:pPr>
              <w:ind w:left="260"/>
              <w:spacing w:after="0"/>
              <w:rPr>
                <w:sz w:val="20"/>
                <w:szCs w:val="20"/>
                <w:color w:val="auto"/>
              </w:rPr>
            </w:pPr>
            <w:r>
              <w:rPr>
                <w:rFonts w:ascii="Arial" w:cs="Arial" w:eastAsia="Arial" w:hAnsi="Arial"/>
                <w:sz w:val="12"/>
                <w:szCs w:val="12"/>
                <w:color w:val="auto"/>
              </w:rPr>
              <w:t>—</w:t>
            </w:r>
          </w:p>
        </w:tc>
        <w:tc>
          <w:tcPr>
            <w:tcW w:w="2440" w:type="dxa"/>
            <w:vAlign w:val="bottom"/>
          </w:tcPr>
          <w:p>
            <w:pPr>
              <w:jc w:val="center"/>
              <w:ind w:right="62"/>
              <w:spacing w:after="0"/>
              <w:rPr>
                <w:sz w:val="20"/>
                <w:szCs w:val="20"/>
                <w:color w:val="auto"/>
              </w:rPr>
            </w:pPr>
            <w:r>
              <w:rPr>
                <w:rFonts w:ascii="Arial" w:cs="Arial" w:eastAsia="Arial" w:hAnsi="Arial"/>
                <w:sz w:val="12"/>
                <w:szCs w:val="12"/>
                <w:color w:val="auto"/>
                <w:w w:val="89"/>
              </w:rPr>
              <w:t>Auto Sector</w:t>
            </w: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3,200,000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3,200,000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6,690,173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060" w:type="dxa"/>
            <w:vAlign w:val="bottom"/>
            <w:gridSpan w:val="2"/>
          </w:tcPr>
          <w:p>
            <w:pPr>
              <w:ind w:left="140"/>
              <w:spacing w:after="0"/>
              <w:rPr>
                <w:sz w:val="20"/>
                <w:szCs w:val="20"/>
                <w:color w:val="auto"/>
              </w:rPr>
            </w:pPr>
            <w:r>
              <w:rPr>
                <w:rFonts w:ascii="Arial" w:cs="Arial" w:eastAsia="Arial" w:hAnsi="Arial"/>
                <w:sz w:val="12"/>
                <w:szCs w:val="12"/>
                <w:color w:val="auto"/>
              </w:rPr>
              <w:t>(Winter Park Intermediate, Inc.)</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ZS Juniper L.P.</w:t>
            </w:r>
          </w:p>
        </w:tc>
        <w:tc>
          <w:tcPr>
            <w:tcW w:w="120" w:type="dxa"/>
            <w:vAlign w:val="bottom"/>
            <w:shd w:val="clear" w:color="auto" w:fill="CCECFF"/>
          </w:tcPr>
          <w:p>
            <w:pPr>
              <w:spacing w:after="0"/>
              <w:rPr>
                <w:sz w:val="12"/>
                <w:szCs w:val="12"/>
                <w:color w:val="auto"/>
              </w:rPr>
            </w:pPr>
          </w:p>
        </w:tc>
        <w:tc>
          <w:tcPr>
            <w:tcW w:w="900" w:type="dxa"/>
            <w:vAlign w:val="bottom"/>
            <w:gridSpan w:val="3"/>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4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87"/>
              </w:rPr>
              <w:t>Personal, Food and Miscellaneous Services</w:t>
            </w:r>
          </w:p>
        </w:tc>
        <w:tc>
          <w:tcPr>
            <w:tcW w:w="98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856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855,515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1,031,308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(Juniper Landscaping of Florida, LLC) </w:t>
            </w:r>
            <w:r>
              <w:rPr>
                <w:rFonts w:ascii="Arial" w:cs="Arial" w:eastAsia="Arial" w:hAnsi="Arial"/>
                <w:sz w:val="9"/>
                <w:szCs w:val="9"/>
                <w:color w:val="auto"/>
              </w:rPr>
              <w:t>(9)</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4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6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5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60" w:type="dxa"/>
            <w:vAlign w:val="bottom"/>
            <w:tcBorders>
              <w:bottom w:val="single" w:sz="8" w:color="CCECFF"/>
            </w:tcBorders>
          </w:tcPr>
          <w:p>
            <w:pPr>
              <w:spacing w:after="0"/>
              <w:rPr>
                <w:sz w:val="12"/>
                <w:szCs w:val="12"/>
                <w:color w:val="auto"/>
              </w:rPr>
            </w:pPr>
          </w:p>
        </w:tc>
        <w:tc>
          <w:tcPr>
            <w:tcW w:w="2440" w:type="dxa"/>
            <w:vAlign w:val="bottom"/>
            <w:tcBorders>
              <w:bottom w:val="single" w:sz="8" w:color="CCECFF"/>
            </w:tcBorders>
          </w:tcPr>
          <w:p>
            <w:pPr>
              <w:spacing w:after="0"/>
              <w:rPr>
                <w:sz w:val="12"/>
                <w:szCs w:val="12"/>
                <w:color w:val="auto"/>
              </w:rPr>
            </w:pPr>
          </w:p>
        </w:tc>
        <w:tc>
          <w:tcPr>
            <w:tcW w:w="82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58,076,436</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55,445,825</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gridSpan w:val="5"/>
            <w:shd w:val="clear" w:color="auto" w:fill="CCECFF"/>
          </w:tcPr>
          <w:p>
            <w:pPr>
              <w:spacing w:after="0"/>
              <w:rPr>
                <w:sz w:val="20"/>
                <w:szCs w:val="20"/>
                <w:color w:val="auto"/>
              </w:rPr>
            </w:pPr>
            <w:r>
              <w:rPr>
                <w:rFonts w:ascii="Arial" w:cs="Arial" w:eastAsia="Arial" w:hAnsi="Arial"/>
                <w:sz w:val="12"/>
                <w:szCs w:val="12"/>
                <w:b w:val="1"/>
                <w:bCs w:val="1"/>
                <w:color w:val="auto"/>
                <w:w w:val="95"/>
              </w:rPr>
              <w:t>Total Investments in Non-Controlled, Non-Affiliated Portfolio Companies</w:t>
            </w:r>
          </w:p>
        </w:tc>
        <w:tc>
          <w:tcPr>
            <w:tcW w:w="24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8"/>
              </w:rPr>
              <w:t>1,045,728,279</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8"/>
              </w:rPr>
              <w:t>1,040,563,420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gridSpan w:val="5"/>
          </w:tcPr>
          <w:p>
            <w:pPr>
              <w:spacing w:after="0"/>
              <w:rPr>
                <w:sz w:val="20"/>
                <w:szCs w:val="20"/>
                <w:color w:val="auto"/>
              </w:rPr>
            </w:pPr>
            <w:r>
              <w:rPr>
                <w:rFonts w:ascii="Arial" w:cs="Arial" w:eastAsia="Arial" w:hAnsi="Arial"/>
                <w:sz w:val="12"/>
                <w:szCs w:val="12"/>
                <w:b w:val="1"/>
                <w:bCs w:val="1"/>
                <w:color w:val="auto"/>
                <w:w w:val="93"/>
              </w:rPr>
              <w:t xml:space="preserve">Investments in Non-Controlled, Affiliated Portfolio Companies—6.0% </w:t>
            </w:r>
            <w:r>
              <w:rPr>
                <w:rFonts w:ascii="Arial" w:cs="Arial" w:eastAsia="Arial" w:hAnsi="Arial"/>
                <w:sz w:val="9"/>
                <w:szCs w:val="9"/>
                <w:b w:val="1"/>
                <w:bCs w:val="1"/>
                <w:color w:val="auto"/>
                <w:w w:val="93"/>
              </w:rPr>
              <w:t>(1), (2)</w:t>
            </w:r>
          </w:p>
        </w:tc>
        <w:tc>
          <w:tcPr>
            <w:tcW w:w="2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Equity—1.6% </w:t>
            </w:r>
            <w:r>
              <w:rPr>
                <w:rFonts w:ascii="Arial" w:cs="Arial" w:eastAsia="Arial" w:hAnsi="Arial"/>
                <w:sz w:val="9"/>
                <w:szCs w:val="9"/>
                <w:b w:val="1"/>
                <w:bCs w:val="1"/>
                <w:color w:val="auto"/>
              </w:rPr>
              <w:t>(6)</w:t>
            </w:r>
          </w:p>
        </w:tc>
        <w:tc>
          <w:tcPr>
            <w:tcW w:w="5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4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(9)</w:t>
            </w:r>
          </w:p>
        </w:tc>
        <w:tc>
          <w:tcPr>
            <w:tcW w:w="900" w:type="dxa"/>
            <w:vAlign w:val="bottom"/>
            <w:tcBorders>
              <w:bottom w:val="single" w:sz="8" w:color="CCECFF"/>
            </w:tcBorders>
            <w:gridSpan w:val="3"/>
          </w:tcPr>
          <w:p>
            <w:pPr>
              <w:ind w:left="260"/>
              <w:spacing w:after="0"/>
              <w:rPr>
                <w:sz w:val="20"/>
                <w:szCs w:val="20"/>
                <w:color w:val="auto"/>
              </w:rPr>
            </w:pPr>
            <w:r>
              <w:rPr>
                <w:rFonts w:ascii="Arial" w:cs="Arial" w:eastAsia="Arial" w:hAnsi="Arial"/>
                <w:sz w:val="12"/>
                <w:szCs w:val="12"/>
                <w:color w:val="auto"/>
              </w:rPr>
              <w:t>—</w:t>
            </w:r>
          </w:p>
        </w:tc>
        <w:tc>
          <w:tcPr>
            <w:tcW w:w="2440" w:type="dxa"/>
            <w:vAlign w:val="bottom"/>
            <w:tcBorders>
              <w:bottom w:val="single" w:sz="8" w:color="CCECFF"/>
            </w:tcBorders>
          </w:tcPr>
          <w:p>
            <w:pPr>
              <w:jc w:val="center"/>
              <w:ind w:right="62"/>
              <w:spacing w:after="0"/>
              <w:rPr>
                <w:sz w:val="20"/>
                <w:szCs w:val="20"/>
                <w:color w:val="auto"/>
              </w:rPr>
            </w:pPr>
            <w:r>
              <w:rPr>
                <w:rFonts w:ascii="Arial" w:cs="Arial" w:eastAsia="Arial" w:hAnsi="Arial"/>
                <w:sz w:val="12"/>
                <w:szCs w:val="12"/>
                <w:color w:val="auto"/>
                <w:w w:val="88"/>
              </w:rPr>
              <w:t>Oil and Gas</w:t>
            </w:r>
          </w:p>
        </w:tc>
        <w:tc>
          <w:tcPr>
            <w:tcW w:w="98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CCECFF"/>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23,269</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2,326,900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9,307,600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6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Preferred Equity</w:t>
            </w:r>
          </w:p>
        </w:tc>
        <w:tc>
          <w:tcPr>
            <w:tcW w:w="5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4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2,326,900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9,307,600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60" w:type="dxa"/>
            <w:vAlign w:val="bottom"/>
            <w:gridSpan w:val="2"/>
          </w:tcPr>
          <w:p>
            <w:pPr>
              <w:spacing w:after="0"/>
              <w:rPr>
                <w:sz w:val="20"/>
                <w:szCs w:val="20"/>
                <w:color w:val="auto"/>
              </w:rPr>
            </w:pPr>
            <w:r>
              <w:rPr>
                <w:rFonts w:ascii="Arial" w:cs="Arial" w:eastAsia="Arial" w:hAnsi="Arial"/>
                <w:sz w:val="12"/>
                <w:szCs w:val="12"/>
                <w:b w:val="1"/>
                <w:bCs w:val="1"/>
                <w:color w:val="auto"/>
                <w:w w:val="93"/>
              </w:rPr>
              <w:t xml:space="preserve">Common Equity/Partnership Interests/Warrants—4.4% </w:t>
            </w:r>
            <w:r>
              <w:rPr>
                <w:rFonts w:ascii="Arial" w:cs="Arial" w:eastAsia="Arial" w:hAnsi="Arial"/>
                <w:sz w:val="9"/>
                <w:szCs w:val="9"/>
                <w:b w:val="1"/>
                <w:bCs w:val="1"/>
                <w:color w:val="auto"/>
                <w:w w:val="93"/>
              </w:rPr>
              <w:t>(6)</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Affinion Group Holdings, Inc.</w:t>
            </w:r>
          </w:p>
        </w:tc>
        <w:tc>
          <w:tcPr>
            <w:tcW w:w="900" w:type="dxa"/>
            <w:vAlign w:val="bottom"/>
            <w:gridSpan w:val="3"/>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4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86"/>
              </w:rPr>
              <w:t>Consumer Products</w:t>
            </w:r>
          </w:p>
        </w:tc>
        <w:tc>
          <w:tcPr>
            <w:tcW w:w="98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859,496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30,503,493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2,126,399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gridSpan w:val="2"/>
          </w:tcPr>
          <w:p>
            <w:pPr>
              <w:spacing w:after="0"/>
              <w:rPr>
                <w:sz w:val="20"/>
                <w:szCs w:val="20"/>
                <w:color w:val="auto"/>
              </w:rPr>
            </w:pPr>
            <w:r>
              <w:rPr>
                <w:rFonts w:ascii="Arial" w:cs="Arial" w:eastAsia="Arial" w:hAnsi="Arial"/>
                <w:sz w:val="12"/>
                <w:szCs w:val="12"/>
                <w:color w:val="auto"/>
              </w:rPr>
              <w:t>Affinion Group Holdings, Inc., Series C and Series D</w:t>
            </w:r>
          </w:p>
        </w:tc>
        <w:tc>
          <w:tcPr>
            <w:tcW w:w="900" w:type="dxa"/>
            <w:vAlign w:val="bottom"/>
            <w:gridSpan w:val="3"/>
          </w:tcPr>
          <w:p>
            <w:pPr>
              <w:ind w:left="260"/>
              <w:spacing w:after="0"/>
              <w:rPr>
                <w:sz w:val="20"/>
                <w:szCs w:val="20"/>
                <w:color w:val="auto"/>
              </w:rPr>
            </w:pPr>
            <w:r>
              <w:rPr>
                <w:rFonts w:ascii="Arial" w:cs="Arial" w:eastAsia="Arial" w:hAnsi="Arial"/>
                <w:sz w:val="12"/>
                <w:szCs w:val="12"/>
                <w:color w:val="auto"/>
              </w:rPr>
              <w:t>—</w:t>
            </w:r>
          </w:p>
        </w:tc>
        <w:tc>
          <w:tcPr>
            <w:tcW w:w="2440" w:type="dxa"/>
            <w:vAlign w:val="bottom"/>
          </w:tcPr>
          <w:p>
            <w:pPr>
              <w:jc w:val="center"/>
              <w:ind w:right="62"/>
              <w:spacing w:after="0"/>
              <w:rPr>
                <w:sz w:val="20"/>
                <w:szCs w:val="20"/>
                <w:color w:val="auto"/>
              </w:rPr>
            </w:pPr>
            <w:r>
              <w:rPr>
                <w:rFonts w:ascii="Arial" w:cs="Arial" w:eastAsia="Arial" w:hAnsi="Arial"/>
                <w:sz w:val="12"/>
                <w:szCs w:val="12"/>
                <w:color w:val="auto"/>
                <w:w w:val="86"/>
              </w:rPr>
              <w:t>Consumer Products</w:t>
            </w: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37,181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10,265,973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(9)</w:t>
            </w:r>
          </w:p>
        </w:tc>
        <w:tc>
          <w:tcPr>
            <w:tcW w:w="900" w:type="dxa"/>
            <w:vAlign w:val="bottom"/>
            <w:gridSpan w:val="3"/>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4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88"/>
              </w:rPr>
              <w:t>Oil and Gas</w:t>
            </w:r>
          </w:p>
        </w:tc>
        <w:tc>
          <w:tcPr>
            <w:tcW w:w="98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1,658,389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29,711,576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22,662,292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color w:val="auto"/>
              </w:rPr>
              <w:t>ETX Energy Management Company, LLC</w:t>
            </w:r>
          </w:p>
        </w:tc>
        <w:tc>
          <w:tcPr>
            <w:tcW w:w="900" w:type="dxa"/>
            <w:vAlign w:val="bottom"/>
            <w:tcBorders>
              <w:bottom w:val="single" w:sz="8" w:color="CCECFF"/>
            </w:tcBorders>
            <w:gridSpan w:val="3"/>
          </w:tcPr>
          <w:p>
            <w:pPr>
              <w:ind w:left="260"/>
              <w:spacing w:after="0"/>
              <w:rPr>
                <w:sz w:val="20"/>
                <w:szCs w:val="20"/>
                <w:color w:val="auto"/>
              </w:rPr>
            </w:pPr>
            <w:r>
              <w:rPr>
                <w:rFonts w:ascii="Arial" w:cs="Arial" w:eastAsia="Arial" w:hAnsi="Arial"/>
                <w:sz w:val="12"/>
                <w:szCs w:val="12"/>
                <w:color w:val="auto"/>
              </w:rPr>
              <w:t>—</w:t>
            </w:r>
          </w:p>
        </w:tc>
        <w:tc>
          <w:tcPr>
            <w:tcW w:w="2440" w:type="dxa"/>
            <w:vAlign w:val="bottom"/>
            <w:tcBorders>
              <w:bottom w:val="single" w:sz="8" w:color="CCECFF"/>
            </w:tcBorders>
          </w:tcPr>
          <w:p>
            <w:pPr>
              <w:jc w:val="center"/>
              <w:ind w:right="62"/>
              <w:spacing w:after="0"/>
              <w:rPr>
                <w:sz w:val="20"/>
                <w:szCs w:val="20"/>
                <w:color w:val="auto"/>
              </w:rPr>
            </w:pPr>
            <w:r>
              <w:rPr>
                <w:rFonts w:ascii="Arial" w:cs="Arial" w:eastAsia="Arial" w:hAnsi="Arial"/>
                <w:sz w:val="12"/>
                <w:szCs w:val="12"/>
                <w:color w:val="auto"/>
                <w:w w:val="88"/>
              </w:rPr>
              <w:t>Oil and Gas</w:t>
            </w:r>
          </w:p>
        </w:tc>
        <w:tc>
          <w:tcPr>
            <w:tcW w:w="98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CCECFF"/>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1,754,104</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1,562,020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1,207,922</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6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5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4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72,043,062</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25,996,985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CCECFF"/>
            </w:tcBorders>
            <w:gridSpan w:val="5"/>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440" w:type="dxa"/>
            <w:vAlign w:val="bottom"/>
            <w:tcBorders>
              <w:bottom w:val="single" w:sz="8" w:color="CCECFF"/>
            </w:tcBorders>
          </w:tcPr>
          <w:p>
            <w:pPr>
              <w:spacing w:after="0"/>
              <w:rPr>
                <w:sz w:val="12"/>
                <w:szCs w:val="12"/>
                <w:color w:val="auto"/>
              </w:rPr>
            </w:pPr>
          </w:p>
        </w:tc>
        <w:tc>
          <w:tcPr>
            <w:tcW w:w="82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74,369,962</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35,304,585</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gridSpan w:val="5"/>
            <w:shd w:val="clear" w:color="auto" w:fill="CCECFF"/>
          </w:tcPr>
          <w:p>
            <w:pPr>
              <w:spacing w:after="0"/>
              <w:rPr>
                <w:sz w:val="20"/>
                <w:szCs w:val="20"/>
                <w:color w:val="auto"/>
              </w:rPr>
            </w:pPr>
            <w:r>
              <w:rPr>
                <w:rFonts w:ascii="Arial" w:cs="Arial" w:eastAsia="Arial" w:hAnsi="Arial"/>
                <w:sz w:val="12"/>
                <w:szCs w:val="12"/>
                <w:b w:val="1"/>
                <w:bCs w:val="1"/>
                <w:color w:val="auto"/>
                <w:w w:val="97"/>
              </w:rPr>
              <w:t xml:space="preserve">Investments in Controlled, Affiliated Portfolio Companies—28.5% </w:t>
            </w:r>
            <w:r>
              <w:rPr>
                <w:rFonts w:ascii="Arial" w:cs="Arial" w:eastAsia="Arial" w:hAnsi="Arial"/>
                <w:sz w:val="9"/>
                <w:szCs w:val="9"/>
                <w:b w:val="1"/>
                <w:bCs w:val="1"/>
                <w:color w:val="auto"/>
                <w:w w:val="97"/>
              </w:rPr>
              <w:t>(1), (2)</w:t>
            </w:r>
          </w:p>
        </w:tc>
        <w:tc>
          <w:tcPr>
            <w:tcW w:w="24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gridSpan w:val="2"/>
          </w:tcPr>
          <w:p>
            <w:pPr>
              <w:spacing w:after="0"/>
              <w:rPr>
                <w:sz w:val="20"/>
                <w:szCs w:val="20"/>
                <w:color w:val="auto"/>
              </w:rPr>
            </w:pPr>
            <w:r>
              <w:rPr>
                <w:rFonts w:ascii="Arial" w:cs="Arial" w:eastAsia="Arial" w:hAnsi="Arial"/>
                <w:sz w:val="12"/>
                <w:szCs w:val="12"/>
                <w:b w:val="1"/>
                <w:bCs w:val="1"/>
                <w:color w:val="auto"/>
              </w:rPr>
              <w:t>First Lien Secured Debt—17.3%</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540" w:type="dxa"/>
            <w:vAlign w:val="bottom"/>
            <w:shd w:val="clear" w:color="auto" w:fill="CCECFF"/>
          </w:tcPr>
          <w:p>
            <w:pPr>
              <w:spacing w:after="0"/>
              <w:rPr>
                <w:sz w:val="20"/>
                <w:szCs w:val="20"/>
                <w:color w:val="auto"/>
              </w:rPr>
            </w:pPr>
            <w:r>
              <w:rPr>
                <w:rFonts w:ascii="Arial" w:cs="Arial" w:eastAsia="Arial" w:hAnsi="Arial"/>
                <w:sz w:val="12"/>
                <w:szCs w:val="12"/>
                <w:color w:val="auto"/>
                <w:w w:val="86"/>
              </w:rPr>
              <w:t>03/13/2024</w:t>
            </w:r>
          </w:p>
        </w:tc>
        <w:tc>
          <w:tcPr>
            <w:tcW w:w="1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44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87"/>
              </w:rPr>
              <w:t>Healthcare, Education and Childcare</w:t>
            </w:r>
          </w:p>
        </w:tc>
        <w:tc>
          <w:tcPr>
            <w:tcW w:w="98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6.65%</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3M L+575</w:t>
            </w:r>
          </w:p>
        </w:tc>
        <w:tc>
          <w:tcPr>
            <w:tcW w:w="2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28,000,000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39,051,600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36,485,400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gridSpan w:val="2"/>
          </w:tcPr>
          <w:p>
            <w:pPr>
              <w:spacing w:after="0"/>
              <w:rPr>
                <w:sz w:val="20"/>
                <w:szCs w:val="20"/>
                <w:color w:val="auto"/>
              </w:rPr>
            </w:pPr>
            <w:r>
              <w:rPr>
                <w:rFonts w:ascii="Arial" w:cs="Arial" w:eastAsia="Arial" w:hAnsi="Arial"/>
                <w:sz w:val="12"/>
                <w:szCs w:val="12"/>
                <w:color w:val="auto"/>
              </w:rPr>
              <w:t>RAM Energy LLC</w:t>
            </w:r>
          </w:p>
        </w:tc>
        <w:tc>
          <w:tcPr>
            <w:tcW w:w="540" w:type="dxa"/>
            <w:vAlign w:val="bottom"/>
          </w:tcPr>
          <w:p>
            <w:pPr>
              <w:spacing w:after="0"/>
              <w:rPr>
                <w:sz w:val="20"/>
                <w:szCs w:val="20"/>
                <w:color w:val="auto"/>
              </w:rPr>
            </w:pPr>
            <w:r>
              <w:rPr>
                <w:rFonts w:ascii="Arial" w:cs="Arial" w:eastAsia="Arial" w:hAnsi="Arial"/>
                <w:sz w:val="12"/>
                <w:szCs w:val="12"/>
                <w:color w:val="auto"/>
                <w:w w:val="86"/>
              </w:rPr>
              <w:t>07/01/2022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40" w:type="dxa"/>
            <w:vAlign w:val="bottom"/>
          </w:tcPr>
          <w:p>
            <w:pPr>
              <w:jc w:val="center"/>
              <w:ind w:right="82"/>
              <w:spacing w:after="0"/>
              <w:rPr>
                <w:sz w:val="20"/>
                <w:szCs w:val="20"/>
                <w:color w:val="auto"/>
              </w:rPr>
            </w:pPr>
            <w:r>
              <w:rPr>
                <w:rFonts w:ascii="Arial" w:cs="Arial" w:eastAsia="Arial" w:hAnsi="Arial"/>
                <w:sz w:val="12"/>
                <w:szCs w:val="12"/>
                <w:color w:val="auto"/>
                <w:w w:val="90"/>
              </w:rPr>
              <w:t>Energy and Utilities</w:t>
            </w: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8.00%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35,000,000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35,000,000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RAM Energy LLC (Revolver)</w:t>
            </w:r>
          </w:p>
        </w:tc>
        <w:tc>
          <w:tcPr>
            <w:tcW w:w="540" w:type="dxa"/>
            <w:vAlign w:val="bottom"/>
            <w:shd w:val="clear" w:color="auto" w:fill="CCECFF"/>
          </w:tcPr>
          <w:p>
            <w:pPr>
              <w:spacing w:after="0"/>
              <w:rPr>
                <w:sz w:val="20"/>
                <w:szCs w:val="20"/>
                <w:color w:val="auto"/>
              </w:rPr>
            </w:pPr>
            <w:r>
              <w:rPr>
                <w:rFonts w:ascii="Arial" w:cs="Arial" w:eastAsia="Arial" w:hAnsi="Arial"/>
                <w:sz w:val="12"/>
                <w:szCs w:val="12"/>
                <w:color w:val="auto"/>
                <w:w w:val="86"/>
              </w:rPr>
              <w:t>07/01/2022</w:t>
            </w:r>
          </w:p>
        </w:tc>
        <w:tc>
          <w:tcPr>
            <w:tcW w:w="1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440" w:type="dxa"/>
            <w:vAlign w:val="bottom"/>
            <w:shd w:val="clear" w:color="auto" w:fill="CCECFF"/>
          </w:tcPr>
          <w:p>
            <w:pPr>
              <w:jc w:val="center"/>
              <w:ind w:right="82"/>
              <w:spacing w:after="0"/>
              <w:rPr>
                <w:sz w:val="20"/>
                <w:szCs w:val="20"/>
                <w:color w:val="auto"/>
              </w:rPr>
            </w:pPr>
            <w:r>
              <w:rPr>
                <w:rFonts w:ascii="Arial" w:cs="Arial" w:eastAsia="Arial" w:hAnsi="Arial"/>
                <w:sz w:val="12"/>
                <w:szCs w:val="12"/>
                <w:color w:val="auto"/>
                <w:w w:val="90"/>
              </w:rPr>
              <w:t>Energy and Utilities</w:t>
            </w:r>
          </w:p>
        </w:tc>
        <w:tc>
          <w:tcPr>
            <w:tcW w:w="98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8.00%</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30,000,000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gridSpan w:val="2"/>
          </w:tcPr>
          <w:p>
            <w:pPr>
              <w:spacing w:after="0"/>
              <w:rPr>
                <w:sz w:val="20"/>
                <w:szCs w:val="20"/>
                <w:color w:val="auto"/>
              </w:rPr>
            </w:pPr>
            <w:r>
              <w:rPr>
                <w:rFonts w:ascii="Arial" w:cs="Arial" w:eastAsia="Arial" w:hAnsi="Arial"/>
                <w:sz w:val="12"/>
                <w:szCs w:val="12"/>
                <w:color w:val="auto"/>
              </w:rPr>
              <w:t xml:space="preserve">RAM Energy LLC (Revolver) </w:t>
            </w:r>
            <w:r>
              <w:rPr>
                <w:rFonts w:ascii="Arial" w:cs="Arial" w:eastAsia="Arial" w:hAnsi="Arial"/>
                <w:sz w:val="9"/>
                <w:szCs w:val="9"/>
                <w:color w:val="auto"/>
              </w:rPr>
              <w:t>(7)</w:t>
            </w:r>
          </w:p>
        </w:tc>
        <w:tc>
          <w:tcPr>
            <w:tcW w:w="540" w:type="dxa"/>
            <w:vAlign w:val="bottom"/>
          </w:tcPr>
          <w:p>
            <w:pPr>
              <w:spacing w:after="0"/>
              <w:rPr>
                <w:sz w:val="20"/>
                <w:szCs w:val="20"/>
                <w:color w:val="auto"/>
              </w:rPr>
            </w:pPr>
            <w:r>
              <w:rPr>
                <w:rFonts w:ascii="Arial" w:cs="Arial" w:eastAsia="Arial" w:hAnsi="Arial"/>
                <w:sz w:val="12"/>
                <w:szCs w:val="12"/>
                <w:color w:val="auto"/>
                <w:w w:val="86"/>
              </w:rPr>
              <w:t>07/01/2022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40" w:type="dxa"/>
            <w:vAlign w:val="bottom"/>
          </w:tcPr>
          <w:p>
            <w:pPr>
              <w:jc w:val="center"/>
              <w:ind w:right="82"/>
              <w:spacing w:after="0"/>
              <w:rPr>
                <w:sz w:val="20"/>
                <w:szCs w:val="20"/>
                <w:color w:val="auto"/>
              </w:rPr>
            </w:pPr>
            <w:r>
              <w:rPr>
                <w:rFonts w:ascii="Arial" w:cs="Arial" w:eastAsia="Arial" w:hAnsi="Arial"/>
                <w:sz w:val="12"/>
                <w:szCs w:val="12"/>
                <w:color w:val="auto"/>
                <w:w w:val="90"/>
              </w:rPr>
              <w:t>Energy and Utilities</w:t>
            </w: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LLC</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20"/>
                <w:szCs w:val="20"/>
                <w:color w:val="auto"/>
              </w:rPr>
            </w:pPr>
            <w:r>
              <w:rPr>
                <w:rFonts w:ascii="Arial" w:cs="Arial" w:eastAsia="Arial" w:hAnsi="Arial"/>
                <w:sz w:val="12"/>
                <w:szCs w:val="12"/>
                <w:color w:val="auto"/>
                <w:w w:val="86"/>
              </w:rPr>
              <w:t>12/31/2019</w:t>
            </w:r>
          </w:p>
        </w:tc>
        <w:tc>
          <w:tcPr>
            <w:tcW w:w="1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440" w:type="dxa"/>
            <w:vAlign w:val="bottom"/>
            <w:shd w:val="clear" w:color="auto" w:fill="CCECFF"/>
          </w:tcPr>
          <w:p>
            <w:pPr>
              <w:jc w:val="center"/>
              <w:ind w:right="82"/>
              <w:spacing w:after="0"/>
              <w:rPr>
                <w:sz w:val="20"/>
                <w:szCs w:val="20"/>
                <w:color w:val="auto"/>
              </w:rPr>
            </w:pPr>
            <w:r>
              <w:rPr>
                <w:rFonts w:ascii="Arial" w:cs="Arial" w:eastAsia="Arial" w:hAnsi="Arial"/>
                <w:sz w:val="12"/>
                <w:szCs w:val="12"/>
                <w:color w:val="auto"/>
                <w:w w:val="91"/>
              </w:rPr>
              <w:t>Media</w:t>
            </w:r>
          </w:p>
        </w:tc>
        <w:tc>
          <w:tcPr>
            <w:tcW w:w="98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3.00%</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1,004,351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970,934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44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(PIK 3.00%)</w:t>
            </w: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6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5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60" w:type="dxa"/>
            <w:vAlign w:val="bottom"/>
            <w:tcBorders>
              <w:bottom w:val="single" w:sz="8" w:color="CCECFF"/>
            </w:tcBorders>
          </w:tcPr>
          <w:p>
            <w:pPr>
              <w:spacing w:after="0"/>
              <w:rPr>
                <w:sz w:val="12"/>
                <w:szCs w:val="12"/>
                <w:color w:val="auto"/>
              </w:rPr>
            </w:pPr>
          </w:p>
        </w:tc>
        <w:tc>
          <w:tcPr>
            <w:tcW w:w="2440" w:type="dxa"/>
            <w:vAlign w:val="bottom"/>
            <w:tcBorders>
              <w:bottom w:val="single" w:sz="8" w:color="CCECFF"/>
            </w:tcBorders>
          </w:tcPr>
          <w:p>
            <w:pPr>
              <w:spacing w:after="0"/>
              <w:rPr>
                <w:sz w:val="12"/>
                <w:szCs w:val="12"/>
                <w:color w:val="auto"/>
              </w:rPr>
            </w:pPr>
          </w:p>
        </w:tc>
        <w:tc>
          <w:tcPr>
            <w:tcW w:w="82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105,022,534</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102,485,400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6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Equity—2.5% </w:t>
            </w:r>
            <w:r>
              <w:rPr>
                <w:rFonts w:ascii="Arial" w:cs="Arial" w:eastAsia="Arial" w:hAnsi="Arial"/>
                <w:sz w:val="9"/>
                <w:szCs w:val="9"/>
                <w:b w:val="1"/>
                <w:bCs w:val="1"/>
                <w:color w:val="auto"/>
              </w:rPr>
              <w:t>(6)</w:t>
            </w:r>
          </w:p>
        </w:tc>
        <w:tc>
          <w:tcPr>
            <w:tcW w:w="5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4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gridSpan w:val="2"/>
          </w:tcPr>
          <w:p>
            <w:pPr>
              <w:spacing w:after="0"/>
              <w:rPr>
                <w:sz w:val="20"/>
                <w:szCs w:val="20"/>
                <w:color w:val="auto"/>
              </w:rPr>
            </w:pPr>
            <w:r>
              <w:rPr>
                <w:rFonts w:ascii="Arial" w:cs="Arial" w:eastAsia="Arial" w:hAnsi="Arial"/>
                <w:sz w:val="12"/>
                <w:szCs w:val="12"/>
                <w:color w:val="auto"/>
              </w:rPr>
              <w:t>MidOcean JF Holdings Corp.</w:t>
            </w:r>
          </w:p>
        </w:tc>
        <w:tc>
          <w:tcPr>
            <w:tcW w:w="900" w:type="dxa"/>
            <w:vAlign w:val="bottom"/>
            <w:gridSpan w:val="3"/>
          </w:tcPr>
          <w:p>
            <w:pPr>
              <w:ind w:left="260"/>
              <w:spacing w:after="0"/>
              <w:rPr>
                <w:sz w:val="20"/>
                <w:szCs w:val="20"/>
                <w:color w:val="auto"/>
              </w:rPr>
            </w:pPr>
            <w:r>
              <w:rPr>
                <w:rFonts w:ascii="Arial" w:cs="Arial" w:eastAsia="Arial" w:hAnsi="Arial"/>
                <w:sz w:val="12"/>
                <w:szCs w:val="12"/>
                <w:color w:val="auto"/>
              </w:rPr>
              <w:t>—</w:t>
            </w:r>
          </w:p>
        </w:tc>
        <w:tc>
          <w:tcPr>
            <w:tcW w:w="2440" w:type="dxa"/>
            <w:vAlign w:val="bottom"/>
          </w:tcPr>
          <w:p>
            <w:pPr>
              <w:jc w:val="center"/>
              <w:ind w:right="62"/>
              <w:spacing w:after="0"/>
              <w:rPr>
                <w:sz w:val="20"/>
                <w:szCs w:val="20"/>
                <w:color w:val="auto"/>
              </w:rPr>
            </w:pPr>
            <w:r>
              <w:rPr>
                <w:rFonts w:ascii="Arial" w:cs="Arial" w:eastAsia="Arial" w:hAnsi="Arial"/>
                <w:sz w:val="12"/>
                <w:szCs w:val="12"/>
                <w:color w:val="auto"/>
                <w:w w:val="93"/>
              </w:rPr>
              <w:t>Distribution</w:t>
            </w: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153,922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15,392,189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14,770,731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Superior Digital Displays Holdings, Inc.</w:t>
            </w:r>
          </w:p>
        </w:tc>
        <w:tc>
          <w:tcPr>
            <w:tcW w:w="900" w:type="dxa"/>
            <w:vAlign w:val="bottom"/>
            <w:gridSpan w:val="3"/>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40" w:type="dxa"/>
            <w:vAlign w:val="bottom"/>
            <w:shd w:val="clear" w:color="auto" w:fill="CCECFF"/>
          </w:tcPr>
          <w:p>
            <w:pPr>
              <w:jc w:val="center"/>
              <w:ind w:right="82"/>
              <w:spacing w:after="0"/>
              <w:rPr>
                <w:sz w:val="20"/>
                <w:szCs w:val="20"/>
                <w:color w:val="auto"/>
              </w:rPr>
            </w:pPr>
            <w:r>
              <w:rPr>
                <w:rFonts w:ascii="Arial" w:cs="Arial" w:eastAsia="Arial" w:hAnsi="Arial"/>
                <w:sz w:val="12"/>
                <w:szCs w:val="12"/>
                <w:color w:val="auto"/>
                <w:w w:val="91"/>
              </w:rPr>
              <w:t>Media</w:t>
            </w:r>
          </w:p>
        </w:tc>
        <w:tc>
          <w:tcPr>
            <w:tcW w:w="98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15.00%</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1,644,503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53,077,112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306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rPr>
              <w:t>Total Preferred Equity</w:t>
            </w:r>
          </w:p>
        </w:tc>
        <w:tc>
          <w:tcPr>
            <w:tcW w:w="5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60" w:type="dxa"/>
            <w:vAlign w:val="bottom"/>
            <w:tcBorders>
              <w:bottom w:val="single" w:sz="8" w:color="CCECFF"/>
            </w:tcBorders>
          </w:tcPr>
          <w:p>
            <w:pPr>
              <w:spacing w:after="0"/>
              <w:rPr>
                <w:sz w:val="12"/>
                <w:szCs w:val="12"/>
                <w:color w:val="auto"/>
              </w:rPr>
            </w:pPr>
          </w:p>
        </w:tc>
        <w:tc>
          <w:tcPr>
            <w:tcW w:w="2440" w:type="dxa"/>
            <w:vAlign w:val="bottom"/>
            <w:tcBorders>
              <w:bottom w:val="single" w:sz="8" w:color="CCECFF"/>
            </w:tcBorders>
          </w:tcPr>
          <w:p>
            <w:pPr>
              <w:spacing w:after="0"/>
              <w:rPr>
                <w:sz w:val="12"/>
                <w:szCs w:val="12"/>
                <w:color w:val="auto"/>
              </w:rPr>
            </w:pPr>
          </w:p>
        </w:tc>
        <w:tc>
          <w:tcPr>
            <w:tcW w:w="82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68,469,301</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14,770,731</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6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 xml:space="preserve">Common Equity—8.7% </w:t>
            </w:r>
            <w:r>
              <w:rPr>
                <w:rFonts w:ascii="Arial" w:cs="Arial" w:eastAsia="Arial" w:hAnsi="Arial"/>
                <w:sz w:val="9"/>
                <w:szCs w:val="9"/>
                <w:b w:val="1"/>
                <w:bCs w:val="1"/>
                <w:color w:val="auto"/>
              </w:rPr>
              <w:t>(6)</w:t>
            </w:r>
          </w:p>
        </w:tc>
        <w:tc>
          <w:tcPr>
            <w:tcW w:w="5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4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gridSpan w:val="2"/>
          </w:tcPr>
          <w:p>
            <w:pPr>
              <w:spacing w:after="0"/>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900" w:type="dxa"/>
            <w:vAlign w:val="bottom"/>
            <w:gridSpan w:val="3"/>
          </w:tcPr>
          <w:p>
            <w:pPr>
              <w:ind w:left="260"/>
              <w:spacing w:after="0"/>
              <w:rPr>
                <w:sz w:val="20"/>
                <w:szCs w:val="20"/>
                <w:color w:val="auto"/>
              </w:rPr>
            </w:pPr>
            <w:r>
              <w:rPr>
                <w:rFonts w:ascii="Arial" w:cs="Arial" w:eastAsia="Arial" w:hAnsi="Arial"/>
                <w:sz w:val="12"/>
                <w:szCs w:val="12"/>
                <w:color w:val="auto"/>
              </w:rPr>
              <w:t>—</w:t>
            </w:r>
          </w:p>
        </w:tc>
        <w:tc>
          <w:tcPr>
            <w:tcW w:w="2440" w:type="dxa"/>
            <w:vAlign w:val="bottom"/>
          </w:tcPr>
          <w:p>
            <w:pPr>
              <w:jc w:val="center"/>
              <w:ind w:right="62"/>
              <w:spacing w:after="0"/>
              <w:rPr>
                <w:sz w:val="20"/>
                <w:szCs w:val="20"/>
                <w:color w:val="auto"/>
              </w:rPr>
            </w:pPr>
            <w:r>
              <w:rPr>
                <w:rFonts w:ascii="Arial" w:cs="Arial" w:eastAsia="Arial" w:hAnsi="Arial"/>
                <w:sz w:val="12"/>
                <w:szCs w:val="12"/>
                <w:color w:val="auto"/>
                <w:w w:val="87"/>
              </w:rPr>
              <w:t>Healthcare, Education and Childcare</w:t>
            </w: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950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132,497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5,215,327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MidOcean JF Holdings Corp.</w:t>
            </w:r>
          </w:p>
        </w:tc>
        <w:tc>
          <w:tcPr>
            <w:tcW w:w="900" w:type="dxa"/>
            <w:vAlign w:val="bottom"/>
            <w:gridSpan w:val="3"/>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40" w:type="dxa"/>
            <w:vAlign w:val="bottom"/>
            <w:shd w:val="clear" w:color="auto" w:fill="CCECFF"/>
          </w:tcPr>
          <w:p>
            <w:pPr>
              <w:jc w:val="center"/>
              <w:ind w:right="62"/>
              <w:spacing w:after="0"/>
              <w:rPr>
                <w:sz w:val="20"/>
                <w:szCs w:val="20"/>
                <w:color w:val="auto"/>
              </w:rPr>
            </w:pPr>
            <w:r>
              <w:rPr>
                <w:rFonts w:ascii="Arial" w:cs="Arial" w:eastAsia="Arial" w:hAnsi="Arial"/>
                <w:sz w:val="12"/>
                <w:szCs w:val="12"/>
                <w:color w:val="auto"/>
                <w:w w:val="93"/>
              </w:rPr>
              <w:t>Distribution</w:t>
            </w:r>
          </w:p>
        </w:tc>
        <w:tc>
          <w:tcPr>
            <w:tcW w:w="98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65,933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24,761,831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060" w:type="dxa"/>
            <w:vAlign w:val="bottom"/>
            <w:gridSpan w:val="2"/>
          </w:tcPr>
          <w:p>
            <w:pPr>
              <w:spacing w:after="0"/>
              <w:rPr>
                <w:sz w:val="20"/>
                <w:szCs w:val="20"/>
                <w:color w:val="auto"/>
              </w:rPr>
            </w:pPr>
            <w:r>
              <w:rPr>
                <w:rFonts w:ascii="Arial" w:cs="Arial" w:eastAsia="Arial" w:hAnsi="Arial"/>
                <w:sz w:val="12"/>
                <w:szCs w:val="12"/>
                <w:color w:val="auto"/>
              </w:rPr>
              <w:t>RAM Energy Holdings LLC</w:t>
            </w:r>
          </w:p>
        </w:tc>
        <w:tc>
          <w:tcPr>
            <w:tcW w:w="900" w:type="dxa"/>
            <w:vAlign w:val="bottom"/>
            <w:gridSpan w:val="3"/>
          </w:tcPr>
          <w:p>
            <w:pPr>
              <w:ind w:left="260"/>
              <w:spacing w:after="0"/>
              <w:rPr>
                <w:sz w:val="20"/>
                <w:szCs w:val="20"/>
                <w:color w:val="auto"/>
              </w:rPr>
            </w:pPr>
            <w:r>
              <w:rPr>
                <w:rFonts w:ascii="Arial" w:cs="Arial" w:eastAsia="Arial" w:hAnsi="Arial"/>
                <w:sz w:val="12"/>
                <w:szCs w:val="12"/>
                <w:color w:val="auto"/>
              </w:rPr>
              <w:t>—</w:t>
            </w:r>
          </w:p>
        </w:tc>
        <w:tc>
          <w:tcPr>
            <w:tcW w:w="2440" w:type="dxa"/>
            <w:vAlign w:val="bottom"/>
          </w:tcPr>
          <w:p>
            <w:pPr>
              <w:jc w:val="center"/>
              <w:ind w:right="82"/>
              <w:spacing w:after="0"/>
              <w:rPr>
                <w:sz w:val="20"/>
                <w:szCs w:val="20"/>
                <w:color w:val="auto"/>
              </w:rPr>
            </w:pPr>
            <w:r>
              <w:rPr>
                <w:rFonts w:ascii="Arial" w:cs="Arial" w:eastAsia="Arial" w:hAnsi="Arial"/>
                <w:sz w:val="12"/>
                <w:szCs w:val="12"/>
                <w:color w:val="auto"/>
                <w:w w:val="90"/>
              </w:rPr>
              <w:t>Energy and Utilities</w:t>
            </w: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84,747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76,264,738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46,332,750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Superior Digital Displays Holdings, Inc.</w:t>
            </w:r>
          </w:p>
        </w:tc>
        <w:tc>
          <w:tcPr>
            <w:tcW w:w="900" w:type="dxa"/>
            <w:vAlign w:val="bottom"/>
            <w:gridSpan w:val="3"/>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40" w:type="dxa"/>
            <w:vAlign w:val="bottom"/>
            <w:shd w:val="clear" w:color="auto" w:fill="CCECFF"/>
          </w:tcPr>
          <w:p>
            <w:pPr>
              <w:jc w:val="center"/>
              <w:ind w:right="82"/>
              <w:spacing w:after="0"/>
              <w:rPr>
                <w:sz w:val="20"/>
                <w:szCs w:val="20"/>
                <w:color w:val="auto"/>
              </w:rPr>
            </w:pPr>
            <w:r>
              <w:rPr>
                <w:rFonts w:ascii="Arial" w:cs="Arial" w:eastAsia="Arial" w:hAnsi="Arial"/>
                <w:sz w:val="12"/>
                <w:szCs w:val="12"/>
                <w:color w:val="auto"/>
                <w:w w:val="91"/>
              </w:rPr>
              <w:t>Media</w:t>
            </w:r>
          </w:p>
        </w:tc>
        <w:tc>
          <w:tcPr>
            <w:tcW w:w="98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11,100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2,211,000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306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rPr>
              <w:t>Total Common Equity</w:t>
            </w:r>
          </w:p>
        </w:tc>
        <w:tc>
          <w:tcPr>
            <w:tcW w:w="5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60" w:type="dxa"/>
            <w:vAlign w:val="bottom"/>
            <w:tcBorders>
              <w:bottom w:val="single" w:sz="8" w:color="CCECFF"/>
            </w:tcBorders>
          </w:tcPr>
          <w:p>
            <w:pPr>
              <w:spacing w:after="0"/>
              <w:rPr>
                <w:sz w:val="12"/>
                <w:szCs w:val="12"/>
                <w:color w:val="auto"/>
              </w:rPr>
            </w:pPr>
          </w:p>
        </w:tc>
        <w:tc>
          <w:tcPr>
            <w:tcW w:w="2440" w:type="dxa"/>
            <w:vAlign w:val="bottom"/>
            <w:tcBorders>
              <w:bottom w:val="single" w:sz="8" w:color="CCECFF"/>
            </w:tcBorders>
          </w:tcPr>
          <w:p>
            <w:pPr>
              <w:spacing w:after="0"/>
              <w:rPr>
                <w:sz w:val="12"/>
                <w:szCs w:val="12"/>
                <w:color w:val="auto"/>
              </w:rPr>
            </w:pPr>
          </w:p>
        </w:tc>
        <w:tc>
          <w:tcPr>
            <w:tcW w:w="82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103,370,066</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51,548,077</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gridSpan w:val="5"/>
            <w:shd w:val="clear" w:color="auto" w:fill="CCECFF"/>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4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276,861,901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168,804,208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6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rPr>
              <w:t>Total Investments—210.2%</w:t>
            </w:r>
          </w:p>
        </w:tc>
        <w:tc>
          <w:tcPr>
            <w:tcW w:w="5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60" w:type="dxa"/>
            <w:vAlign w:val="bottom"/>
            <w:tcBorders>
              <w:bottom w:val="single" w:sz="8" w:color="CCECFF"/>
            </w:tcBorders>
          </w:tcPr>
          <w:p>
            <w:pPr>
              <w:spacing w:after="0"/>
              <w:rPr>
                <w:sz w:val="12"/>
                <w:szCs w:val="12"/>
                <w:color w:val="auto"/>
              </w:rPr>
            </w:pPr>
          </w:p>
        </w:tc>
        <w:tc>
          <w:tcPr>
            <w:tcW w:w="2440" w:type="dxa"/>
            <w:vAlign w:val="bottom"/>
            <w:tcBorders>
              <w:bottom w:val="single" w:sz="8" w:color="CCECFF"/>
            </w:tcBorders>
          </w:tcPr>
          <w:p>
            <w:pPr>
              <w:spacing w:after="0"/>
              <w:rPr>
                <w:sz w:val="12"/>
                <w:szCs w:val="12"/>
                <w:color w:val="auto"/>
              </w:rPr>
            </w:pPr>
          </w:p>
        </w:tc>
        <w:tc>
          <w:tcPr>
            <w:tcW w:w="82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1,396,960,142</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1,244,672,213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6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Equivalents—5.1%</w:t>
            </w:r>
          </w:p>
        </w:tc>
        <w:tc>
          <w:tcPr>
            <w:tcW w:w="5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4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gridSpan w:val="2"/>
          </w:tcPr>
          <w:p>
            <w:pPr>
              <w:spacing w:after="0"/>
              <w:rPr>
                <w:sz w:val="20"/>
                <w:szCs w:val="20"/>
                <w:color w:val="auto"/>
              </w:rPr>
            </w:pPr>
            <w:r>
              <w:rPr>
                <w:rFonts w:ascii="Arial" w:cs="Arial" w:eastAsia="Arial" w:hAnsi="Arial"/>
                <w:sz w:val="12"/>
                <w:szCs w:val="12"/>
                <w:color w:val="auto"/>
              </w:rPr>
              <w:t>BlackRock Federal FD Institutional 30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5,954,381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5,954,381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BNY Mellon Cash Reserve and Cash</w:t>
            </w:r>
          </w:p>
        </w:tc>
        <w:tc>
          <w:tcPr>
            <w:tcW w:w="5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4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24,358,654</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24,352,648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6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rPr>
              <w:t>Total Cash and Cash Equivalents</w:t>
            </w:r>
          </w:p>
        </w:tc>
        <w:tc>
          <w:tcPr>
            <w:tcW w:w="5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60" w:type="dxa"/>
            <w:vAlign w:val="bottom"/>
            <w:tcBorders>
              <w:bottom w:val="single" w:sz="8" w:color="CCECFF"/>
            </w:tcBorders>
          </w:tcPr>
          <w:p>
            <w:pPr>
              <w:spacing w:after="0"/>
              <w:rPr>
                <w:sz w:val="12"/>
                <w:szCs w:val="12"/>
                <w:color w:val="auto"/>
              </w:rPr>
            </w:pPr>
          </w:p>
        </w:tc>
        <w:tc>
          <w:tcPr>
            <w:tcW w:w="2440" w:type="dxa"/>
            <w:vAlign w:val="bottom"/>
            <w:tcBorders>
              <w:bottom w:val="single" w:sz="8" w:color="CCECFF"/>
            </w:tcBorders>
          </w:tcPr>
          <w:p>
            <w:pPr>
              <w:spacing w:after="0"/>
              <w:rPr>
                <w:sz w:val="12"/>
                <w:szCs w:val="12"/>
                <w:color w:val="auto"/>
              </w:rPr>
            </w:pPr>
          </w:p>
        </w:tc>
        <w:tc>
          <w:tcPr>
            <w:tcW w:w="82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30,313,035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30,307,029</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6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Equivalents—215.3%</w:t>
            </w:r>
          </w:p>
        </w:tc>
        <w:tc>
          <w:tcPr>
            <w:tcW w:w="5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4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1,427,273,177</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1,274,979,242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CFF"/>
              <w:bottom w:val="single" w:sz="8" w:color="CCECFF"/>
            </w:tcBorders>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Assets—(115.3%)</w:t>
            </w:r>
          </w:p>
        </w:tc>
        <w:tc>
          <w:tcPr>
            <w:tcW w:w="54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2440" w:type="dxa"/>
            <w:vAlign w:val="bottom"/>
            <w:tcBorders>
              <w:top w:val="single" w:sz="8" w:color="CCECFF"/>
            </w:tcBorders>
          </w:tcPr>
          <w:p>
            <w:pPr>
              <w:spacing w:after="0" w:line="20" w:lineRule="exact"/>
              <w:rPr>
                <w:sz w:val="1"/>
                <w:szCs w:val="1"/>
                <w:color w:val="auto"/>
              </w:rPr>
            </w:pPr>
          </w:p>
        </w:tc>
        <w:tc>
          <w:tcPr>
            <w:tcW w:w="82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5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6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8"/>
              </w:rPr>
              <w:t>(682,830,451)</w:t>
            </w:r>
          </w:p>
        </w:tc>
        <w:tc>
          <w:tcPr>
            <w:tcW w:w="0" w:type="dxa"/>
            <w:vAlign w:val="bottom"/>
          </w:tcPr>
          <w:p>
            <w:pPr>
              <w:spacing w:after="0"/>
              <w:rPr>
                <w:sz w:val="1"/>
                <w:szCs w:val="1"/>
                <w:color w:val="auto"/>
              </w:rPr>
            </w:pPr>
          </w:p>
        </w:tc>
      </w:tr>
      <w:tr>
        <w:trPr>
          <w:trHeight w:val="148"/>
        </w:trPr>
        <w:tc>
          <w:tcPr>
            <w:tcW w:w="306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Net Assets—100.0%</w:t>
            </w:r>
          </w:p>
        </w:tc>
        <w:tc>
          <w:tcPr>
            <w:tcW w:w="5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4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592,148,791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54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2440" w:type="dxa"/>
            <w:vAlign w:val="bottom"/>
            <w:tcBorders>
              <w:top w:val="single" w:sz="8" w:color="CCECFF"/>
            </w:tcBorders>
          </w:tcPr>
          <w:p>
            <w:pPr>
              <w:spacing w:after="0" w:line="20" w:lineRule="exact"/>
              <w:rPr>
                <w:sz w:val="1"/>
                <w:szCs w:val="1"/>
                <w:color w:val="auto"/>
              </w:rPr>
            </w:pPr>
          </w:p>
        </w:tc>
        <w:tc>
          <w:tcPr>
            <w:tcW w:w="82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5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455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30" w:lineRule="exact"/>
        <w:rPr>
          <w:sz w:val="20"/>
          <w:szCs w:val="20"/>
          <w:color w:val="auto"/>
        </w:rPr>
      </w:pPr>
    </w:p>
    <w:p>
      <w:pPr>
        <w:ind w:left="380" w:hanging="372"/>
        <w:spacing w:after="0" w:line="243"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80" w:hanging="372"/>
        <w:spacing w:after="0" w:line="313" w:lineRule="auto"/>
        <w:tabs>
          <w:tab w:leader="none" w:pos="380" w:val="left"/>
        </w:tabs>
        <w:numPr>
          <w:ilvl w:val="0"/>
          <w:numId w:val="3"/>
        </w:numPr>
        <w:rPr>
          <w:rFonts w:ascii="Arial" w:cs="Arial" w:eastAsia="Arial" w:hAnsi="Arial"/>
          <w:sz w:val="9"/>
          <w:szCs w:val="9"/>
          <w:color w:val="auto"/>
        </w:rPr>
      </w:pPr>
      <w:r>
        <w:rPr>
          <w:rFonts w:ascii="Arial" w:cs="Arial" w:eastAsia="Arial" w:hAnsi="Arial"/>
          <w:sz w:val="9"/>
          <w:szCs w:val="9"/>
          <w:color w:val="auto"/>
        </w:rPr>
        <w:t>Represents floating rate instruments that accrue interest at a predetermined spread relative to an index, typically the applicable London Interbank Offered Rate, or LIBOR or “L”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at the borrower’s option. All securities are subject to a LIBOR or Prime rate floor where a spread is provided, unless noted. The spread includes payment-in-kind, or PIK, interest and other fee rates, if any.</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securities, or a portion thereof, are pledged as collateral under the BNP Credit Facility and held through Funding I.</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80" w:hanging="372"/>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as denoted.</w:t>
      </w:r>
    </w:p>
    <w:p>
      <w:pPr>
        <w:ind w:left="380" w:right="20" w:hanging="372"/>
        <w:spacing w:after="0" w:line="256" w:lineRule="auto"/>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March 31, 2019, qualifying assets represent 90% of the Company’s total assets and non-qualifying assets represent 10% of the Company’s total assets.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Basis Point</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Maturity /</w:t>
            </w: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Current</w:t>
            </w: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6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29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Expiration</w:t>
            </w: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Coupon</w:t>
            </w:r>
          </w:p>
        </w:tc>
        <w:tc>
          <w:tcPr>
            <w:tcW w:w="280" w:type="dxa"/>
            <w:vAlign w:val="bottom"/>
            <w:tcBorders>
              <w:bottom w:val="single" w:sz="8" w:color="CCECFF"/>
            </w:tcBorders>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22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100" w:type="dxa"/>
            <w:vAlign w:val="bottom"/>
            <w:tcBorders>
              <w:bottom w:val="single" w:sz="8" w:color="CCECFF"/>
            </w:tcBorders>
          </w:tcPr>
          <w:p>
            <w:pPr>
              <w:spacing w:after="0"/>
              <w:rPr>
                <w:sz w:val="12"/>
                <w:szCs w:val="12"/>
                <w:color w:val="auto"/>
              </w:rPr>
            </w:pPr>
          </w:p>
        </w:tc>
      </w:tr>
      <w:tr>
        <w:trPr>
          <w:trHeight w:val="142"/>
        </w:trPr>
        <w:tc>
          <w:tcPr>
            <w:tcW w:w="660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rPr>
              <w:t xml:space="preserve">Investments in Non-Controlled, Non-Affiliated Portfolio Companies—144.0% </w:t>
            </w:r>
            <w:r>
              <w:rPr>
                <w:rFonts w:ascii="Arial" w:cs="Arial" w:eastAsia="Arial" w:hAnsi="Arial"/>
                <w:sz w:val="9"/>
                <w:szCs w:val="9"/>
                <w:b w:val="1"/>
                <w:bCs w:val="1"/>
                <w:color w:val="auto"/>
              </w:rPr>
              <w:t>(1), (2)</w:t>
            </w: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b w:val="1"/>
                <w:bCs w:val="1"/>
                <w:color w:val="auto"/>
              </w:rPr>
              <w:t>First Lien Secured Debt—66.9%</w:t>
            </w:r>
          </w:p>
        </w:tc>
        <w:tc>
          <w:tcPr>
            <w:tcW w:w="9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Allied America,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08/08/2022</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9.39%</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L+700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21,435,548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21,116,138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21,478,419</w:t>
            </w: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 xml:space="preserve">Allied America, Inc. (Revolver)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08/08/2022</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2,000,000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Bazaarvoice,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02/01/2024</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1"/>
              </w:rPr>
              <w:t>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10.24%</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14,925,000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14,783,825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14,925,000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Bottom Line Systems, LLC</w:t>
            </w:r>
          </w:p>
        </w:tc>
        <w:tc>
          <w:tcPr>
            <w:tcW w:w="900" w:type="dxa"/>
            <w:vAlign w:val="bottom"/>
          </w:tcPr>
          <w:p>
            <w:pPr>
              <w:ind w:left="120"/>
              <w:spacing w:after="0"/>
              <w:rPr>
                <w:sz w:val="20"/>
                <w:szCs w:val="20"/>
                <w:color w:val="auto"/>
              </w:rPr>
            </w:pPr>
            <w:r>
              <w:rPr>
                <w:rFonts w:ascii="Arial" w:cs="Arial" w:eastAsia="Arial" w:hAnsi="Arial"/>
                <w:sz w:val="12"/>
                <w:szCs w:val="12"/>
                <w:color w:val="auto"/>
              </w:rPr>
              <w:t>02/13/2023</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9.74%</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1M L+750</w:t>
            </w:r>
          </w:p>
        </w:tc>
        <w:tc>
          <w:tcPr>
            <w:tcW w:w="660" w:type="dxa"/>
            <w:vAlign w:val="bottom"/>
          </w:tcPr>
          <w:p>
            <w:pPr>
              <w:jc w:val="right"/>
              <w:spacing w:after="0"/>
              <w:rPr>
                <w:sz w:val="20"/>
                <w:szCs w:val="20"/>
                <w:color w:val="auto"/>
              </w:rPr>
            </w:pPr>
            <w:r>
              <w:rPr>
                <w:rFonts w:ascii="Arial" w:cs="Arial" w:eastAsia="Arial" w:hAnsi="Arial"/>
                <w:sz w:val="12"/>
                <w:szCs w:val="12"/>
                <w:color w:val="auto"/>
              </w:rPr>
              <w:t>19,583,330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19,345,650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19,583,330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Broder Bros., Co.</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12/02/2022</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10.33%</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31,676,768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31,678,078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31,676,768</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Cano Health, LLC</w:t>
            </w:r>
          </w:p>
        </w:tc>
        <w:tc>
          <w:tcPr>
            <w:tcW w:w="900" w:type="dxa"/>
            <w:vAlign w:val="bottom"/>
          </w:tcPr>
          <w:p>
            <w:pPr>
              <w:ind w:left="120"/>
              <w:spacing w:after="0"/>
              <w:rPr>
                <w:sz w:val="20"/>
                <w:szCs w:val="20"/>
                <w:color w:val="auto"/>
              </w:rPr>
            </w:pPr>
            <w:r>
              <w:rPr>
                <w:rFonts w:ascii="Arial" w:cs="Arial" w:eastAsia="Arial" w:hAnsi="Arial"/>
                <w:sz w:val="12"/>
                <w:szCs w:val="12"/>
                <w:color w:val="auto"/>
              </w:rPr>
              <w:t>12/23/2021</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10.61%</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tcPr>
          <w:p>
            <w:pPr>
              <w:jc w:val="right"/>
              <w:spacing w:after="0"/>
              <w:rPr>
                <w:sz w:val="20"/>
                <w:szCs w:val="20"/>
                <w:color w:val="auto"/>
              </w:rPr>
            </w:pPr>
            <w:r>
              <w:rPr>
                <w:rFonts w:ascii="Arial" w:cs="Arial" w:eastAsia="Arial" w:hAnsi="Arial"/>
                <w:sz w:val="12"/>
                <w:szCs w:val="12"/>
                <w:color w:val="auto"/>
              </w:rPr>
              <w:t>32,813,941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32,240,776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32,813,941</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Cano Health, LLC (Revolver)</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11/05/2018</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10.68%</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3,150,000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3,150,000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3,150,000</w:t>
            </w: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DermaRite Industries LLC</w:t>
            </w:r>
          </w:p>
        </w:tc>
        <w:tc>
          <w:tcPr>
            <w:tcW w:w="900" w:type="dxa"/>
            <w:vAlign w:val="bottom"/>
          </w:tcPr>
          <w:p>
            <w:pPr>
              <w:ind w:left="120"/>
              <w:spacing w:after="0"/>
              <w:rPr>
                <w:sz w:val="20"/>
                <w:szCs w:val="20"/>
                <w:color w:val="auto"/>
              </w:rPr>
            </w:pPr>
            <w:r>
              <w:rPr>
                <w:rFonts w:ascii="Arial" w:cs="Arial" w:eastAsia="Arial" w:hAnsi="Arial"/>
                <w:sz w:val="12"/>
                <w:szCs w:val="12"/>
                <w:color w:val="auto"/>
              </w:rPr>
              <w:t>03/03/2022</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Manufacturing / Basic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9.24%</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1M L+700</w:t>
            </w:r>
          </w:p>
        </w:tc>
        <w:tc>
          <w:tcPr>
            <w:tcW w:w="660" w:type="dxa"/>
            <w:vAlign w:val="bottom"/>
          </w:tcPr>
          <w:p>
            <w:pPr>
              <w:jc w:val="right"/>
              <w:spacing w:after="0"/>
              <w:rPr>
                <w:sz w:val="20"/>
                <w:szCs w:val="20"/>
                <w:color w:val="auto"/>
              </w:rPr>
            </w:pPr>
            <w:r>
              <w:rPr>
                <w:rFonts w:ascii="Arial" w:cs="Arial" w:eastAsia="Arial" w:hAnsi="Arial"/>
                <w:sz w:val="12"/>
                <w:szCs w:val="12"/>
                <w:color w:val="auto"/>
              </w:rPr>
              <w:t>9,850,000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9,738,431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9,683,465</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Deva Holdings,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10/31/2023</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7.74%</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4,962,500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4,877,212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4,962,500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Deva Holdings, Inc.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10/31/2022</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385,000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(11)</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08/29/2022</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9.74%</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L+750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19,800,000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19,475,599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19,800,000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(7), (11)</w:t>
            </w:r>
          </w:p>
        </w:tc>
        <w:tc>
          <w:tcPr>
            <w:tcW w:w="900" w:type="dxa"/>
            <w:vAlign w:val="bottom"/>
          </w:tcPr>
          <w:p>
            <w:pPr>
              <w:ind w:left="120"/>
              <w:spacing w:after="0"/>
              <w:rPr>
                <w:sz w:val="20"/>
                <w:szCs w:val="20"/>
                <w:color w:val="auto"/>
              </w:rPr>
            </w:pPr>
            <w:r>
              <w:rPr>
                <w:rFonts w:ascii="Arial" w:cs="Arial" w:eastAsia="Arial" w:hAnsi="Arial"/>
                <w:sz w:val="12"/>
                <w:szCs w:val="12"/>
                <w:color w:val="auto"/>
              </w:rPr>
              <w:t>08/29/2022</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eCommission Financial Services, Inc. (Revolver) </w:t>
            </w:r>
            <w:r>
              <w:rPr>
                <w:rFonts w:ascii="Arial" w:cs="Arial" w:eastAsia="Arial" w:hAnsi="Arial"/>
                <w:sz w:val="9"/>
                <w:szCs w:val="9"/>
                <w:color w:val="auto"/>
              </w:rPr>
              <w:t>(7), (11)</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08/29/2022</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900" w:type="dxa"/>
            <w:vAlign w:val="bottom"/>
          </w:tcPr>
          <w:p>
            <w:pPr>
              <w:ind w:left="120"/>
              <w:spacing w:after="0"/>
              <w:rPr>
                <w:sz w:val="20"/>
                <w:szCs w:val="20"/>
                <w:color w:val="auto"/>
              </w:rPr>
            </w:pPr>
            <w:r>
              <w:rPr>
                <w:rFonts w:ascii="Arial" w:cs="Arial" w:eastAsia="Arial" w:hAnsi="Arial"/>
                <w:sz w:val="12"/>
                <w:szCs w:val="12"/>
                <w:color w:val="auto"/>
              </w:rPr>
              <w:t>06/09/2023</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10.39%</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3M L+800</w:t>
            </w:r>
          </w:p>
        </w:tc>
        <w:tc>
          <w:tcPr>
            <w:tcW w:w="660" w:type="dxa"/>
            <w:vAlign w:val="bottom"/>
          </w:tcPr>
          <w:p>
            <w:pPr>
              <w:jc w:val="right"/>
              <w:spacing w:after="0"/>
              <w:rPr>
                <w:sz w:val="20"/>
                <w:szCs w:val="20"/>
                <w:color w:val="auto"/>
              </w:rPr>
            </w:pPr>
            <w:r>
              <w:rPr>
                <w:rFonts w:ascii="Arial" w:cs="Arial" w:eastAsia="Arial" w:hAnsi="Arial"/>
                <w:sz w:val="12"/>
                <w:szCs w:val="12"/>
                <w:color w:val="auto"/>
              </w:rPr>
              <w:t>19,713,838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19,386,443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19,516,699</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Impact Group,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06/27/2023</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Personal, Food and Miscellaneous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8.64%</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22,457,923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22,225,155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22,345,634</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Impact Group, LLC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06/27/2023</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Personal, Food and Miscellaneous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12,491,009</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(62,455)</w:t>
            </w: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Juniper Landscaping of Florida,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12/22/2021</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Personal, Food and Miscellaneous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11.61%</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L+950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14,350,500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14,140,360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14,350,500</w:t>
            </w: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K2 Pure Solutions NoCal, L.P.</w:t>
            </w:r>
          </w:p>
        </w:tc>
        <w:tc>
          <w:tcPr>
            <w:tcW w:w="900" w:type="dxa"/>
            <w:vAlign w:val="bottom"/>
          </w:tcPr>
          <w:p>
            <w:pPr>
              <w:ind w:left="120"/>
              <w:spacing w:after="0"/>
              <w:rPr>
                <w:sz w:val="20"/>
                <w:szCs w:val="20"/>
                <w:color w:val="auto"/>
              </w:rPr>
            </w:pPr>
            <w:r>
              <w:rPr>
                <w:rFonts w:ascii="Arial" w:cs="Arial" w:eastAsia="Arial" w:hAnsi="Arial"/>
                <w:sz w:val="12"/>
                <w:szCs w:val="12"/>
                <w:color w:val="auto"/>
              </w:rPr>
              <w:t>02/19/2021</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11.24%</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tcPr>
          <w:p>
            <w:pPr>
              <w:jc w:val="right"/>
              <w:spacing w:after="0"/>
              <w:rPr>
                <w:sz w:val="20"/>
                <w:szCs w:val="20"/>
                <w:color w:val="auto"/>
              </w:rPr>
            </w:pPr>
            <w:r>
              <w:rPr>
                <w:rFonts w:ascii="Arial" w:cs="Arial" w:eastAsia="Arial" w:hAnsi="Arial"/>
                <w:sz w:val="12"/>
                <w:szCs w:val="12"/>
                <w:color w:val="auto"/>
              </w:rPr>
              <w:t>14,243,249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14,033,015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14,243,249</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Ox Two,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02/27/2023</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8.49%</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22,218,750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21,819,701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22,218,750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Ox Two, LLC (Revolver)</w:t>
            </w:r>
          </w:p>
        </w:tc>
        <w:tc>
          <w:tcPr>
            <w:tcW w:w="900" w:type="dxa"/>
            <w:vAlign w:val="bottom"/>
          </w:tcPr>
          <w:p>
            <w:pPr>
              <w:ind w:left="120"/>
              <w:spacing w:after="0"/>
              <w:rPr>
                <w:sz w:val="20"/>
                <w:szCs w:val="20"/>
                <w:color w:val="auto"/>
              </w:rPr>
            </w:pPr>
            <w:r>
              <w:rPr>
                <w:rFonts w:ascii="Arial" w:cs="Arial" w:eastAsia="Arial" w:hAnsi="Arial"/>
                <w:sz w:val="12"/>
                <w:szCs w:val="12"/>
                <w:color w:val="auto"/>
              </w:rPr>
              <w:t>02/27/2023</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12.50%</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P+725</w:t>
            </w:r>
          </w:p>
        </w:tc>
        <w:tc>
          <w:tcPr>
            <w:tcW w:w="660" w:type="dxa"/>
            <w:vAlign w:val="bottom"/>
          </w:tcPr>
          <w:p>
            <w:pPr>
              <w:jc w:val="right"/>
              <w:spacing w:after="0"/>
              <w:rPr>
                <w:sz w:val="20"/>
                <w:szCs w:val="20"/>
                <w:color w:val="auto"/>
              </w:rPr>
            </w:pPr>
            <w:r>
              <w:rPr>
                <w:rFonts w:ascii="Arial" w:cs="Arial" w:eastAsia="Arial" w:hAnsi="Arial"/>
                <w:sz w:val="12"/>
                <w:szCs w:val="12"/>
                <w:color w:val="auto"/>
              </w:rPr>
              <w:t>750,000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750,000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750,000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02/27/2023</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1,750,000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Questex, LLC</w:t>
            </w:r>
          </w:p>
        </w:tc>
        <w:tc>
          <w:tcPr>
            <w:tcW w:w="900" w:type="dxa"/>
            <w:vAlign w:val="bottom"/>
          </w:tcPr>
          <w:p>
            <w:pPr>
              <w:ind w:left="120"/>
              <w:spacing w:after="0"/>
              <w:rPr>
                <w:sz w:val="20"/>
                <w:szCs w:val="20"/>
                <w:color w:val="auto"/>
              </w:rPr>
            </w:pPr>
            <w:r>
              <w:rPr>
                <w:rFonts w:ascii="Arial" w:cs="Arial" w:eastAsia="Arial" w:hAnsi="Arial"/>
                <w:sz w:val="12"/>
                <w:szCs w:val="12"/>
                <w:color w:val="auto"/>
              </w:rPr>
              <w:t>09/09/2024</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91"/>
              </w:rPr>
              <w:t>Media</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8.57%</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tcPr>
          <w:p>
            <w:pPr>
              <w:jc w:val="right"/>
              <w:spacing w:after="0"/>
              <w:rPr>
                <w:sz w:val="20"/>
                <w:szCs w:val="20"/>
                <w:color w:val="auto"/>
              </w:rPr>
            </w:pPr>
            <w:r>
              <w:rPr>
                <w:rFonts w:ascii="Arial" w:cs="Arial" w:eastAsia="Arial" w:hAnsi="Arial"/>
                <w:sz w:val="12"/>
                <w:szCs w:val="12"/>
                <w:color w:val="auto"/>
              </w:rPr>
              <w:t>22,500,000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22,054,120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22,050,000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Questex, LLC (Revolver)</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09/09/2024</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8.57%</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598,404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598,404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586,436</w:t>
            </w: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09/09/2024</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91"/>
              </w:rPr>
              <w:t>Media</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2,992,021</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(59,840)</w:t>
            </w: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Research Horizons,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06/28/2022</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8.36%</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22,071,351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22,050,000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06/28/2022</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91"/>
              </w:rPr>
              <w:t>Media</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9,121,622</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(182,432)</w:t>
            </w: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Research Horizons, LLC (Revolver)</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06/28/2022</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8.36%</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1,783,784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1,783,784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1,748,108</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06/28/2022</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91"/>
              </w:rPr>
              <w:t>Media</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2,270,270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(45,405)</w:t>
            </w: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SFP Holding,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09/01/2022</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Buildings and Real Estate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8.59%</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20,925,313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20,642,473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20,925,313</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09/01/2022</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Buildings and Real Estate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1,375,000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09/01/2022</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Buildings and Real Estate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2,500,000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Triad Manufacturing, Inc.</w:t>
            </w:r>
          </w:p>
        </w:tc>
        <w:tc>
          <w:tcPr>
            <w:tcW w:w="900" w:type="dxa"/>
            <w:vAlign w:val="bottom"/>
          </w:tcPr>
          <w:p>
            <w:pPr>
              <w:ind w:left="120"/>
              <w:spacing w:after="0"/>
              <w:rPr>
                <w:sz w:val="20"/>
                <w:szCs w:val="20"/>
                <w:color w:val="auto"/>
              </w:rPr>
            </w:pPr>
            <w:r>
              <w:rPr>
                <w:rFonts w:ascii="Arial" w:cs="Arial" w:eastAsia="Arial" w:hAnsi="Arial"/>
                <w:sz w:val="12"/>
                <w:szCs w:val="12"/>
                <w:color w:val="auto"/>
              </w:rPr>
              <w:t>12/28/2020</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Manufacturing / Basic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15.49%</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1M L+1,325</w:t>
            </w:r>
          </w:p>
        </w:tc>
        <w:tc>
          <w:tcPr>
            <w:tcW w:w="660" w:type="dxa"/>
            <w:vAlign w:val="bottom"/>
          </w:tcPr>
          <w:p>
            <w:pPr>
              <w:jc w:val="right"/>
              <w:spacing w:after="0"/>
              <w:rPr>
                <w:sz w:val="20"/>
                <w:szCs w:val="20"/>
                <w:color w:val="auto"/>
              </w:rPr>
            </w:pPr>
            <w:r>
              <w:rPr>
                <w:rFonts w:ascii="Arial" w:cs="Arial" w:eastAsia="Arial" w:hAnsi="Arial"/>
                <w:sz w:val="12"/>
                <w:szCs w:val="12"/>
                <w:color w:val="auto"/>
              </w:rPr>
              <w:t>23,718,379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23,464,517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23,006,827</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US Dominion,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07/15/2024</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Electronics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9.14%</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29,925,000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29,415,076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29,925,000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US Dominion, Inc. (Revolver)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07/15/2024</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Electronics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7,500,000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US Med Acquisition,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08/13/2021</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11.39%</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8,476,563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8,476,563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8,052,732</w:t>
            </w: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Walker Edison Furniture Company LLC</w:t>
            </w:r>
          </w:p>
        </w:tc>
        <w:tc>
          <w:tcPr>
            <w:tcW w:w="900" w:type="dxa"/>
            <w:vAlign w:val="bottom"/>
          </w:tcPr>
          <w:p>
            <w:pPr>
              <w:ind w:left="120"/>
              <w:spacing w:after="0"/>
              <w:rPr>
                <w:sz w:val="20"/>
                <w:szCs w:val="20"/>
                <w:color w:val="auto"/>
              </w:rPr>
            </w:pPr>
            <w:r>
              <w:rPr>
                <w:rFonts w:ascii="Arial" w:cs="Arial" w:eastAsia="Arial" w:hAnsi="Arial"/>
                <w:sz w:val="12"/>
                <w:szCs w:val="12"/>
                <w:color w:val="auto"/>
              </w:rPr>
              <w:t>09/26/2024</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Home and Office Furnishings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8.88%</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3M L+650</w:t>
            </w:r>
          </w:p>
        </w:tc>
        <w:tc>
          <w:tcPr>
            <w:tcW w:w="660" w:type="dxa"/>
            <w:vAlign w:val="bottom"/>
          </w:tcPr>
          <w:p>
            <w:pPr>
              <w:jc w:val="right"/>
              <w:spacing w:after="0"/>
              <w:rPr>
                <w:sz w:val="20"/>
                <w:szCs w:val="20"/>
                <w:color w:val="auto"/>
              </w:rPr>
            </w:pPr>
            <w:r>
              <w:rPr>
                <w:rFonts w:ascii="Arial" w:cs="Arial" w:eastAsia="Arial" w:hAnsi="Arial"/>
                <w:sz w:val="12"/>
                <w:szCs w:val="12"/>
                <w:color w:val="auto"/>
              </w:rPr>
              <w:t>22,500,000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22,050,866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22,050,000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Whitney, Bradley &amp; Brown,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10/18/2022</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11.25%</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19,305,000</w:t>
            </w: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18,977,907</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19,305,000</w:t>
            </w:r>
          </w:p>
        </w:tc>
        <w:tc>
          <w:tcPr>
            <w:tcW w:w="100" w:type="dxa"/>
            <w:vAlign w:val="bottom"/>
            <w:shd w:val="clear" w:color="auto" w:fill="CCECFF"/>
          </w:tcPr>
          <w:p>
            <w:pPr>
              <w:spacing w:after="0"/>
              <w:rPr>
                <w:sz w:val="12"/>
                <w:szCs w:val="12"/>
                <w:color w:val="auto"/>
              </w:rPr>
            </w:pPr>
          </w:p>
        </w:tc>
      </w:tr>
      <w:tr>
        <w:trPr>
          <w:trHeight w:val="142"/>
        </w:trPr>
        <w:tc>
          <w:tcPr>
            <w:tcW w:w="2960" w:type="dxa"/>
            <w:vAlign w:val="bottom"/>
          </w:tcPr>
          <w:p>
            <w:pPr>
              <w:spacing w:after="0"/>
              <w:rPr>
                <w:sz w:val="20"/>
                <w:szCs w:val="20"/>
                <w:color w:val="auto"/>
              </w:rPr>
            </w:pPr>
            <w:r>
              <w:rPr>
                <w:rFonts w:ascii="Arial" w:cs="Arial" w:eastAsia="Arial" w:hAnsi="Arial"/>
                <w:sz w:val="12"/>
                <w:szCs w:val="12"/>
                <w:b w:val="1"/>
                <w:bCs w:val="1"/>
                <w:color w:val="auto"/>
              </w:rPr>
              <w:t>Total First Lien Secured Debt</w:t>
            </w:r>
          </w:p>
        </w:tc>
        <w:tc>
          <w:tcPr>
            <w:tcW w:w="9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418,295,444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420,847,539</w:t>
            </w:r>
          </w:p>
        </w:tc>
        <w:tc>
          <w:tcPr>
            <w:tcW w:w="100" w:type="dxa"/>
            <w:vAlign w:val="bottom"/>
          </w:tcPr>
          <w:p>
            <w:pPr>
              <w:spacing w:after="0"/>
              <w:rPr>
                <w:sz w:val="12"/>
                <w:szCs w:val="12"/>
                <w:color w:val="auto"/>
              </w:rPr>
            </w:pPr>
          </w:p>
        </w:tc>
      </w:tr>
      <w:tr>
        <w:trPr>
          <w:trHeight w:val="142"/>
        </w:trPr>
        <w:tc>
          <w:tcPr>
            <w:tcW w:w="29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Debt—62.2%</w:t>
            </w:r>
          </w:p>
        </w:tc>
        <w:tc>
          <w:tcPr>
            <w:tcW w:w="900" w:type="dxa"/>
            <w:vAlign w:val="bottom"/>
            <w:tcBorders>
              <w:top w:val="single" w:sz="8" w:color="CCECFF"/>
            </w:tcBorders>
            <w:shd w:val="clear" w:color="auto" w:fill="CCECFF"/>
          </w:tcPr>
          <w:p>
            <w:pPr>
              <w:spacing w:after="0"/>
              <w:rPr>
                <w:sz w:val="12"/>
                <w:szCs w:val="12"/>
                <w:color w:val="auto"/>
              </w:rPr>
            </w:pPr>
          </w:p>
        </w:tc>
        <w:tc>
          <w:tcPr>
            <w:tcW w:w="262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82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Condor Borrower, LLC</w:t>
            </w:r>
          </w:p>
        </w:tc>
        <w:tc>
          <w:tcPr>
            <w:tcW w:w="900" w:type="dxa"/>
            <w:vAlign w:val="bottom"/>
          </w:tcPr>
          <w:p>
            <w:pPr>
              <w:ind w:left="120"/>
              <w:spacing w:after="0"/>
              <w:rPr>
                <w:sz w:val="20"/>
                <w:szCs w:val="20"/>
                <w:color w:val="auto"/>
              </w:rPr>
            </w:pPr>
            <w:r>
              <w:rPr>
                <w:rFonts w:ascii="Arial" w:cs="Arial" w:eastAsia="Arial" w:hAnsi="Arial"/>
                <w:sz w:val="12"/>
                <w:szCs w:val="12"/>
                <w:color w:val="auto"/>
              </w:rPr>
              <w:t>04/25/2025</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11.09%</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3M L+875</w:t>
            </w:r>
          </w:p>
        </w:tc>
        <w:tc>
          <w:tcPr>
            <w:tcW w:w="660" w:type="dxa"/>
            <w:vAlign w:val="bottom"/>
          </w:tcPr>
          <w:p>
            <w:pPr>
              <w:jc w:val="right"/>
              <w:spacing w:after="0"/>
              <w:rPr>
                <w:sz w:val="20"/>
                <w:szCs w:val="20"/>
                <w:color w:val="auto"/>
              </w:rPr>
            </w:pPr>
            <w:r>
              <w:rPr>
                <w:rFonts w:ascii="Arial" w:cs="Arial" w:eastAsia="Arial" w:hAnsi="Arial"/>
                <w:sz w:val="12"/>
                <w:szCs w:val="12"/>
                <w:color w:val="auto"/>
              </w:rPr>
              <w:t>12,500,000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12,271,734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12,500,000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DecoPac,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03/31/2025</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10.64%</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23,024,259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22,607,675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23,024,259</w:t>
            </w: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Halo Buyer, Inc.</w:t>
            </w:r>
          </w:p>
        </w:tc>
        <w:tc>
          <w:tcPr>
            <w:tcW w:w="900" w:type="dxa"/>
            <w:vAlign w:val="bottom"/>
          </w:tcPr>
          <w:p>
            <w:pPr>
              <w:ind w:left="120"/>
              <w:spacing w:after="0"/>
              <w:rPr>
                <w:sz w:val="20"/>
                <w:szCs w:val="20"/>
                <w:color w:val="auto"/>
              </w:rPr>
            </w:pPr>
            <w:r>
              <w:rPr>
                <w:rFonts w:ascii="Arial" w:cs="Arial" w:eastAsia="Arial" w:hAnsi="Arial"/>
                <w:sz w:val="12"/>
                <w:szCs w:val="12"/>
                <w:color w:val="auto"/>
              </w:rPr>
              <w:t>07/06/2026</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10.49%</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1M L+825</w:t>
            </w:r>
          </w:p>
        </w:tc>
        <w:tc>
          <w:tcPr>
            <w:tcW w:w="660" w:type="dxa"/>
            <w:vAlign w:val="bottom"/>
          </w:tcPr>
          <w:p>
            <w:pPr>
              <w:jc w:val="right"/>
              <w:spacing w:after="0"/>
              <w:rPr>
                <w:sz w:val="20"/>
                <w:szCs w:val="20"/>
                <w:color w:val="auto"/>
              </w:rPr>
            </w:pPr>
            <w:r>
              <w:rPr>
                <w:rFonts w:ascii="Arial" w:cs="Arial" w:eastAsia="Arial" w:hAnsi="Arial"/>
                <w:sz w:val="12"/>
                <w:szCs w:val="12"/>
                <w:color w:val="auto"/>
              </w:rPr>
              <w:t>45,000,000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44,338,109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44,325,000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Infogroup,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04/03/2024</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Other 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11.64%</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L+925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20,400,000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20,056,087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20,400,000</w:t>
            </w: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Integrity Marketing Partners, LLC</w:t>
            </w:r>
          </w:p>
        </w:tc>
        <w:tc>
          <w:tcPr>
            <w:tcW w:w="900" w:type="dxa"/>
            <w:vAlign w:val="bottom"/>
          </w:tcPr>
          <w:p>
            <w:pPr>
              <w:ind w:left="120"/>
              <w:spacing w:after="0"/>
              <w:rPr>
                <w:sz w:val="20"/>
                <w:szCs w:val="20"/>
                <w:color w:val="auto"/>
              </w:rPr>
            </w:pPr>
            <w:r>
              <w:rPr>
                <w:rFonts w:ascii="Arial" w:cs="Arial" w:eastAsia="Arial" w:hAnsi="Arial"/>
                <w:sz w:val="12"/>
                <w:szCs w:val="12"/>
                <w:color w:val="auto"/>
              </w:rPr>
              <w:t>01/02/2023</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Banking, Finance, Insurance and Real Estate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11.17%</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tcPr>
          <w:p>
            <w:pPr>
              <w:jc w:val="right"/>
              <w:spacing w:after="0"/>
              <w:rPr>
                <w:sz w:val="20"/>
                <w:szCs w:val="20"/>
                <w:color w:val="auto"/>
              </w:rPr>
            </w:pPr>
            <w:r>
              <w:rPr>
                <w:rFonts w:ascii="Arial" w:cs="Arial" w:eastAsia="Arial" w:hAnsi="Arial"/>
                <w:sz w:val="12"/>
                <w:szCs w:val="12"/>
                <w:color w:val="auto"/>
              </w:rPr>
              <w:t>6,000,000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5,913,341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5,987,443</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03/01/2019</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Cargo Transport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11.00%</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481,052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447,988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481,052</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ind w:left="120"/>
              <w:spacing w:after="0"/>
              <w:rPr>
                <w:sz w:val="20"/>
                <w:szCs w:val="20"/>
                <w:color w:val="auto"/>
              </w:rPr>
            </w:pPr>
            <w:r>
              <w:rPr>
                <w:rFonts w:ascii="Arial" w:cs="Arial" w:eastAsia="Arial" w:hAnsi="Arial"/>
                <w:sz w:val="12"/>
                <w:szCs w:val="12"/>
                <w:color w:val="auto"/>
              </w:rPr>
              <w:t>(PIK 11.00%)</w:t>
            </w: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MailSouth, Inc.</w:t>
            </w:r>
          </w:p>
        </w:tc>
        <w:tc>
          <w:tcPr>
            <w:tcW w:w="900" w:type="dxa"/>
            <w:vAlign w:val="bottom"/>
          </w:tcPr>
          <w:p>
            <w:pPr>
              <w:ind w:left="120"/>
              <w:spacing w:after="0"/>
              <w:rPr>
                <w:sz w:val="20"/>
                <w:szCs w:val="20"/>
                <w:color w:val="auto"/>
              </w:rPr>
            </w:pPr>
            <w:r>
              <w:rPr>
                <w:rFonts w:ascii="Arial" w:cs="Arial" w:eastAsia="Arial" w:hAnsi="Arial"/>
                <w:sz w:val="12"/>
                <w:szCs w:val="12"/>
                <w:color w:val="auto"/>
              </w:rPr>
              <w:t>10/23/2024</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12.00%</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3M L+925</w:t>
            </w:r>
          </w:p>
        </w:tc>
        <w:tc>
          <w:tcPr>
            <w:tcW w:w="660" w:type="dxa"/>
            <w:vAlign w:val="bottom"/>
          </w:tcPr>
          <w:p>
            <w:pPr>
              <w:jc w:val="right"/>
              <w:spacing w:after="0"/>
              <w:rPr>
                <w:sz w:val="20"/>
                <w:szCs w:val="20"/>
                <w:color w:val="auto"/>
              </w:rPr>
            </w:pPr>
            <w:r>
              <w:rPr>
                <w:rFonts w:ascii="Arial" w:cs="Arial" w:eastAsia="Arial" w:hAnsi="Arial"/>
                <w:sz w:val="12"/>
                <w:szCs w:val="12"/>
                <w:color w:val="auto"/>
              </w:rPr>
              <w:t>48,425,000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47,496,549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47,456,500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MBS Holdings,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01/02/2024</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10.60%</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14,710,035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14,700,000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(8), (11)</w:t>
            </w:r>
          </w:p>
        </w:tc>
        <w:tc>
          <w:tcPr>
            <w:tcW w:w="900" w:type="dxa"/>
            <w:vAlign w:val="bottom"/>
          </w:tcPr>
          <w:p>
            <w:pPr>
              <w:ind w:left="120"/>
              <w:spacing w:after="0"/>
              <w:rPr>
                <w:sz w:val="20"/>
                <w:szCs w:val="20"/>
                <w:color w:val="auto"/>
              </w:rPr>
            </w:pPr>
            <w:r>
              <w:rPr>
                <w:rFonts w:ascii="Arial" w:cs="Arial" w:eastAsia="Arial" w:hAnsi="Arial"/>
                <w:sz w:val="12"/>
                <w:szCs w:val="12"/>
                <w:color w:val="auto"/>
              </w:rPr>
              <w:t>12/17/2021</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Hotels, Motels, Inns and Gaming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14.39%</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3M L+1,200</w:t>
            </w:r>
          </w:p>
        </w:tc>
        <w:tc>
          <w:tcPr>
            <w:tcW w:w="660" w:type="dxa"/>
            <w:vAlign w:val="bottom"/>
          </w:tcPr>
          <w:p>
            <w:pPr>
              <w:jc w:val="right"/>
              <w:spacing w:after="0"/>
              <w:rPr>
                <w:sz w:val="20"/>
                <w:szCs w:val="20"/>
                <w:color w:val="auto"/>
              </w:rPr>
            </w:pPr>
            <w:r>
              <w:rPr>
                <w:rFonts w:ascii="Arial" w:cs="Arial" w:eastAsia="Arial" w:hAnsi="Arial"/>
                <w:sz w:val="12"/>
                <w:szCs w:val="12"/>
                <w:color w:val="auto"/>
              </w:rPr>
              <w:t>76,500,000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76,500,000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80,904,325</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Pathway Partners Vet Management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10/10/2025</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10.24%</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19,300,700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19,246,644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19,107,693</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Pathway Partners Vet Management LLC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10/10/2025</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4,699,300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(46,993)</w:t>
            </w: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PT Network,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04/12/2023</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12.34%</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L+1,000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41,666,667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40,959,198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41,250,000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Shift4 Payments, LLC</w:t>
            </w:r>
          </w:p>
        </w:tc>
        <w:tc>
          <w:tcPr>
            <w:tcW w:w="900" w:type="dxa"/>
            <w:vAlign w:val="bottom"/>
          </w:tcPr>
          <w:p>
            <w:pPr>
              <w:ind w:left="120"/>
              <w:spacing w:after="0"/>
              <w:rPr>
                <w:sz w:val="20"/>
                <w:szCs w:val="20"/>
                <w:color w:val="auto"/>
              </w:rPr>
            </w:pPr>
            <w:r>
              <w:rPr>
                <w:rFonts w:ascii="Arial" w:cs="Arial" w:eastAsia="Arial" w:hAnsi="Arial"/>
                <w:sz w:val="12"/>
                <w:szCs w:val="12"/>
                <w:color w:val="auto"/>
              </w:rPr>
              <w:t>11/28/2025</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10.84%</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3M L+850</w:t>
            </w:r>
          </w:p>
        </w:tc>
        <w:tc>
          <w:tcPr>
            <w:tcW w:w="660" w:type="dxa"/>
            <w:vAlign w:val="bottom"/>
          </w:tcPr>
          <w:p>
            <w:pPr>
              <w:jc w:val="right"/>
              <w:spacing w:after="0"/>
              <w:rPr>
                <w:sz w:val="20"/>
                <w:szCs w:val="20"/>
                <w:color w:val="auto"/>
              </w:rPr>
            </w:pPr>
            <w:r>
              <w:rPr>
                <w:rFonts w:ascii="Arial" w:cs="Arial" w:eastAsia="Arial" w:hAnsi="Arial"/>
                <w:sz w:val="12"/>
                <w:szCs w:val="12"/>
                <w:color w:val="auto"/>
              </w:rPr>
              <w:t>37,000,000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36,835,458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36,768,750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VT Topco,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08/24/2026</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9.34%</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L+700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12,437,500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12,500,000</w:t>
            </w: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Winter Park Intermediate, Inc.</w:t>
            </w:r>
          </w:p>
        </w:tc>
        <w:tc>
          <w:tcPr>
            <w:tcW w:w="900" w:type="dxa"/>
            <w:vAlign w:val="bottom"/>
            <w:tcBorders>
              <w:bottom w:val="single" w:sz="8" w:color="CCECFF"/>
            </w:tcBorders>
          </w:tcPr>
          <w:p>
            <w:pPr>
              <w:ind w:left="120"/>
              <w:spacing w:after="0"/>
              <w:rPr>
                <w:sz w:val="20"/>
                <w:szCs w:val="20"/>
                <w:color w:val="auto"/>
              </w:rPr>
            </w:pPr>
            <w:r>
              <w:rPr>
                <w:rFonts w:ascii="Arial" w:cs="Arial" w:eastAsia="Arial" w:hAnsi="Arial"/>
                <w:sz w:val="12"/>
                <w:szCs w:val="12"/>
                <w:color w:val="auto"/>
              </w:rPr>
              <w:t>04/03/2026</w:t>
            </w:r>
          </w:p>
        </w:tc>
        <w:tc>
          <w:tcPr>
            <w:tcW w:w="274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9"/>
              </w:rPr>
              <w:t>Auto Sector</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2"/>
                <w:szCs w:val="12"/>
                <w:color w:val="auto"/>
              </w:rPr>
              <w:t>10.62%</w:t>
            </w:r>
          </w:p>
        </w:tc>
        <w:tc>
          <w:tcPr>
            <w:tcW w:w="104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32,000,000</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31,380,959</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31,680,000</w:t>
            </w:r>
          </w:p>
        </w:tc>
        <w:tc>
          <w:tcPr>
            <w:tcW w:w="100" w:type="dxa"/>
            <w:vAlign w:val="bottom"/>
            <w:tcBorders>
              <w:bottom w:val="single" w:sz="8" w:color="CCECFF"/>
            </w:tcBorders>
          </w:tcPr>
          <w:p>
            <w:pPr>
              <w:spacing w:after="0"/>
              <w:rPr>
                <w:sz w:val="12"/>
                <w:szCs w:val="12"/>
                <w:color w:val="auto"/>
              </w:rPr>
            </w:pPr>
          </w:p>
        </w:tc>
      </w:tr>
      <w:tr>
        <w:trPr>
          <w:trHeight w:val="142"/>
        </w:trPr>
        <w:tc>
          <w:tcPr>
            <w:tcW w:w="29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900" w:type="dxa"/>
            <w:vAlign w:val="bottom"/>
            <w:shd w:val="clear" w:color="auto" w:fill="CCECFF"/>
          </w:tcPr>
          <w:p>
            <w:pPr>
              <w:spacing w:after="0"/>
              <w:rPr>
                <w:sz w:val="12"/>
                <w:szCs w:val="12"/>
                <w:color w:val="auto"/>
              </w:rPr>
            </w:pPr>
          </w:p>
        </w:tc>
        <w:tc>
          <w:tcPr>
            <w:tcW w:w="2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385,201,277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391,038,029</w:t>
            </w:r>
          </w:p>
        </w:tc>
        <w:tc>
          <w:tcPr>
            <w:tcW w:w="100" w:type="dxa"/>
            <w:vAlign w:val="bottom"/>
            <w:shd w:val="clear" w:color="auto" w:fill="CCECFF"/>
          </w:tcPr>
          <w:p>
            <w:pPr>
              <w:spacing w:after="0"/>
              <w:rPr>
                <w:sz w:val="12"/>
                <w:szCs w:val="12"/>
                <w:color w:val="auto"/>
              </w:rPr>
            </w:pPr>
          </w:p>
        </w:tc>
      </w:tr>
      <w:tr>
        <w:trPr>
          <w:trHeight w:val="142"/>
        </w:trPr>
        <w:tc>
          <w:tcPr>
            <w:tcW w:w="2960" w:type="dxa"/>
            <w:vAlign w:val="bottom"/>
          </w:tcPr>
          <w:p>
            <w:pPr>
              <w:spacing w:after="0"/>
              <w:rPr>
                <w:sz w:val="20"/>
                <w:szCs w:val="20"/>
                <w:color w:val="auto"/>
              </w:rPr>
            </w:pPr>
            <w:r>
              <w:rPr>
                <w:rFonts w:ascii="Arial" w:cs="Arial" w:eastAsia="Arial" w:hAnsi="Arial"/>
                <w:sz w:val="12"/>
                <w:szCs w:val="12"/>
                <w:b w:val="1"/>
                <w:bCs w:val="1"/>
                <w:color w:val="auto"/>
              </w:rPr>
              <w:t>Subordinated Debt/Corporate Notes—7.7%</w:t>
            </w:r>
          </w:p>
        </w:tc>
        <w:tc>
          <w:tcPr>
            <w:tcW w:w="9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Blackhawk Industrial Distribution,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03/17/2025</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3"/>
              </w:rPr>
              <w:t>Distribution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12.00%</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13,230,411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13,230,000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2.00%)</w:t>
            </w: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2960" w:type="dxa"/>
            <w:vAlign w:val="bottom"/>
          </w:tcPr>
          <w:p>
            <w:pPr>
              <w:spacing w:after="0"/>
              <w:rPr>
                <w:sz w:val="20"/>
                <w:szCs w:val="20"/>
                <w:color w:val="auto"/>
              </w:rPr>
            </w:pPr>
            <w:r>
              <w:rPr>
                <w:rFonts w:ascii="Arial" w:cs="Arial" w:eastAsia="Arial" w:hAnsi="Arial"/>
                <w:sz w:val="12"/>
                <w:szCs w:val="12"/>
                <w:color w:val="auto"/>
              </w:rPr>
              <w:t>Cascade Environmental LLC</w:t>
            </w:r>
          </w:p>
        </w:tc>
        <w:tc>
          <w:tcPr>
            <w:tcW w:w="900" w:type="dxa"/>
            <w:vAlign w:val="bottom"/>
          </w:tcPr>
          <w:p>
            <w:pPr>
              <w:ind w:left="120"/>
              <w:spacing w:after="0"/>
              <w:rPr>
                <w:sz w:val="20"/>
                <w:szCs w:val="20"/>
                <w:color w:val="auto"/>
              </w:rPr>
            </w:pPr>
            <w:r>
              <w:rPr>
                <w:rFonts w:ascii="Arial" w:cs="Arial" w:eastAsia="Arial" w:hAnsi="Arial"/>
                <w:sz w:val="12"/>
                <w:szCs w:val="12"/>
                <w:color w:val="auto"/>
              </w:rPr>
              <w:t>08/20/2021</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Environmental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15.00%</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35,792,396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35,386,702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34,897,586</w:t>
            </w:r>
          </w:p>
        </w:tc>
        <w:tc>
          <w:tcPr>
            <w:tcW w:w="100" w:type="dxa"/>
            <w:vAlign w:val="bottom"/>
          </w:tcPr>
          <w:p>
            <w:pPr>
              <w:spacing w:after="0"/>
              <w:rPr>
                <w:sz w:val="13"/>
                <w:szCs w:val="13"/>
                <w:color w:val="auto"/>
              </w:rPr>
            </w:pPr>
          </w:p>
        </w:tc>
      </w:tr>
      <w:tr>
        <w:trPr>
          <w:trHeight w:val="141"/>
        </w:trPr>
        <w:tc>
          <w:tcPr>
            <w:tcW w:w="296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262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940" w:type="dxa"/>
            <w:vAlign w:val="bottom"/>
            <w:tcBorders>
              <w:bottom w:val="single" w:sz="8" w:color="CCECFF"/>
            </w:tcBorders>
            <w:gridSpan w:val="2"/>
          </w:tcPr>
          <w:p>
            <w:pPr>
              <w:ind w:left="120"/>
              <w:spacing w:after="0"/>
              <w:rPr>
                <w:sz w:val="20"/>
                <w:szCs w:val="20"/>
                <w:color w:val="auto"/>
              </w:rPr>
            </w:pPr>
            <w:r>
              <w:rPr>
                <w:rFonts w:ascii="Arial" w:cs="Arial" w:eastAsia="Arial" w:hAnsi="Arial"/>
                <w:sz w:val="12"/>
                <w:szCs w:val="12"/>
                <w:color w:val="auto"/>
              </w:rPr>
              <w:t>(PIK 13.00%)</w:t>
            </w:r>
          </w:p>
        </w:tc>
        <w:tc>
          <w:tcPr>
            <w:tcW w:w="82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r>
      <w:tr>
        <w:trPr>
          <w:trHeight w:val="142"/>
        </w:trPr>
        <w:tc>
          <w:tcPr>
            <w:tcW w:w="29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48,617,113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48,127,586</w:t>
            </w:r>
          </w:p>
        </w:tc>
        <w:tc>
          <w:tcPr>
            <w:tcW w:w="100" w:type="dxa"/>
            <w:vAlign w:val="bottom"/>
            <w:shd w:val="clear" w:color="auto" w:fill="CCECFF"/>
          </w:tcPr>
          <w:p>
            <w:pPr>
              <w:spacing w:after="0"/>
              <w:rPr>
                <w:sz w:val="12"/>
                <w:szCs w:val="12"/>
                <w:color w:val="auto"/>
              </w:rPr>
            </w:pPr>
          </w:p>
        </w:tc>
      </w:tr>
      <w:tr>
        <w:trPr>
          <w:trHeight w:val="142"/>
        </w:trPr>
        <w:tc>
          <w:tcPr>
            <w:tcW w:w="296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Equity/Partnership Interests—0.2% </w:t>
            </w:r>
            <w:r>
              <w:rPr>
                <w:rFonts w:ascii="Arial" w:cs="Arial" w:eastAsia="Arial" w:hAnsi="Arial"/>
                <w:sz w:val="9"/>
                <w:szCs w:val="9"/>
                <w:b w:val="1"/>
                <w:bCs w:val="1"/>
                <w:color w:val="auto"/>
              </w:rPr>
              <w:t>(6)</w:t>
            </w:r>
          </w:p>
        </w:tc>
        <w:tc>
          <w:tcPr>
            <w:tcW w:w="9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AH Holdings, Inc.</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6.00%</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396,898</w:t>
            </w:r>
          </w:p>
        </w:tc>
        <w:tc>
          <w:tcPr>
            <w:tcW w:w="100" w:type="dxa"/>
            <w:vAlign w:val="bottom"/>
            <w:shd w:val="clear" w:color="auto" w:fill="CCECFF"/>
          </w:tcPr>
          <w:p>
            <w:pPr>
              <w:spacing w:after="0"/>
              <w:rPr>
                <w:sz w:val="12"/>
                <w:szCs w:val="12"/>
                <w:color w:val="auto"/>
              </w:rPr>
            </w:pPr>
          </w:p>
        </w:tc>
      </w:tr>
      <w:tr>
        <w:trPr>
          <w:trHeight w:val="155"/>
        </w:trPr>
        <w:tc>
          <w:tcPr>
            <w:tcW w:w="2960" w:type="dxa"/>
            <w:vAlign w:val="bottom"/>
          </w:tcPr>
          <w:p>
            <w:pPr>
              <w:spacing w:after="0"/>
              <w:rPr>
                <w:sz w:val="20"/>
                <w:szCs w:val="20"/>
                <w:color w:val="auto"/>
              </w:rPr>
            </w:pPr>
            <w:r>
              <w:rPr>
                <w:rFonts w:ascii="Arial" w:cs="Arial" w:eastAsia="Arial" w:hAnsi="Arial"/>
                <w:sz w:val="12"/>
                <w:szCs w:val="12"/>
                <w:color w:val="auto"/>
              </w:rPr>
              <w:t>CI (PTN) Investment Holdings II, LLC</w:t>
            </w:r>
          </w:p>
        </w:tc>
        <w:tc>
          <w:tcPr>
            <w:tcW w:w="900" w:type="dxa"/>
            <w:vAlign w:val="bottom"/>
          </w:tcPr>
          <w:p>
            <w:pPr>
              <w:ind w:left="380"/>
              <w:spacing w:after="0"/>
              <w:rPr>
                <w:sz w:val="20"/>
                <w:szCs w:val="20"/>
                <w:color w:val="auto"/>
              </w:rPr>
            </w:pPr>
            <w:r>
              <w:rPr>
                <w:rFonts w:ascii="Arial" w:cs="Arial" w:eastAsia="Arial" w:hAnsi="Arial"/>
                <w:sz w:val="12"/>
                <w:szCs w:val="12"/>
                <w:color w:val="auto"/>
              </w:rPr>
              <w:t>—</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36,450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546,750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565,339</w:t>
            </w:r>
          </w:p>
        </w:tc>
        <w:tc>
          <w:tcPr>
            <w:tcW w:w="100" w:type="dxa"/>
            <w:vAlign w:val="bottom"/>
          </w:tcPr>
          <w:p>
            <w:pPr>
              <w:spacing w:after="0"/>
              <w:rPr>
                <w:sz w:val="13"/>
                <w:szCs w:val="13"/>
                <w:color w:val="auto"/>
              </w:rPr>
            </w:pPr>
          </w:p>
        </w:tc>
      </w:tr>
      <w:tr>
        <w:trPr>
          <w:trHeight w:val="141"/>
        </w:trPr>
        <w:tc>
          <w:tcPr>
            <w:tcW w:w="2960" w:type="dxa"/>
            <w:vAlign w:val="bottom"/>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(9)</w:t>
            </w:r>
          </w:p>
        </w:tc>
        <w:tc>
          <w:tcPr>
            <w:tcW w:w="9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(8), (11)</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556,000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64,277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64,277</w:t>
            </w: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(8), (11)</w:t>
            </w:r>
          </w:p>
        </w:tc>
        <w:tc>
          <w:tcPr>
            <w:tcW w:w="900" w:type="dxa"/>
            <w:vAlign w:val="bottom"/>
          </w:tcPr>
          <w:p>
            <w:pPr>
              <w:ind w:left="380"/>
              <w:spacing w:after="0"/>
              <w:rPr>
                <w:sz w:val="20"/>
                <w:szCs w:val="20"/>
                <w:color w:val="auto"/>
              </w:rPr>
            </w:pPr>
            <w:r>
              <w:rPr>
                <w:rFonts w:ascii="Arial" w:cs="Arial" w:eastAsia="Arial" w:hAnsi="Arial"/>
                <w:sz w:val="12"/>
                <w:szCs w:val="12"/>
                <w:color w:val="auto"/>
              </w:rPr>
              <w:t>—</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556,000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491,723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491,723</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HW Holdco, LLC</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Other 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8.00%</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3,591</w:t>
            </w: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25,771</w:t>
            </w:r>
          </w:p>
        </w:tc>
        <w:tc>
          <w:tcPr>
            <w:tcW w:w="100" w:type="dxa"/>
            <w:vAlign w:val="bottom"/>
            <w:shd w:val="clear" w:color="auto" w:fill="CCECFF"/>
          </w:tcPr>
          <w:p>
            <w:pPr>
              <w:spacing w:after="0"/>
              <w:rPr>
                <w:sz w:val="12"/>
                <w:szCs w:val="12"/>
                <w:color w:val="auto"/>
              </w:rPr>
            </w:pPr>
          </w:p>
        </w:tc>
      </w:tr>
      <w:tr>
        <w:trPr>
          <w:trHeight w:val="142"/>
        </w:trPr>
        <w:tc>
          <w:tcPr>
            <w:tcW w:w="2960" w:type="dxa"/>
            <w:vAlign w:val="bottom"/>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9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1,602,750</w:t>
            </w: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1,544,008</w:t>
            </w:r>
          </w:p>
        </w:tc>
        <w:tc>
          <w:tcPr>
            <w:tcW w:w="100" w:type="dxa"/>
            <w:vAlign w:val="bottom"/>
          </w:tcPr>
          <w:p>
            <w:pPr>
              <w:spacing w:after="0"/>
              <w:rPr>
                <w:sz w:val="12"/>
                <w:szCs w:val="12"/>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2"/>
              </w:rPr>
              <w:t>Basis Point</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3"/>
              </w:rPr>
              <w:t>Spread</w:t>
            </w: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tcPr>
          <w:p>
            <w:pPr>
              <w:spacing w:after="0"/>
              <w:rPr>
                <w:sz w:val="11"/>
                <w:szCs w:val="11"/>
                <w:color w:val="auto"/>
              </w:rPr>
            </w:pP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Maturity /</w:t>
            </w: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Current</w:t>
            </w: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6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Expiration</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8"/>
              </w:rPr>
              <w:t>Industry</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Coupon</w:t>
            </w:r>
          </w:p>
        </w:tc>
        <w:tc>
          <w:tcPr>
            <w:tcW w:w="10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66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r>
      <w:tr>
        <w:trPr>
          <w:trHeight w:val="142"/>
        </w:trPr>
        <w:tc>
          <w:tcPr>
            <w:tcW w:w="304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w w:val="93"/>
              </w:rPr>
              <w:t xml:space="preserve">Common Equity/Partnership Interests/Warrants—7.0% </w:t>
            </w:r>
            <w:r>
              <w:rPr>
                <w:rFonts w:ascii="Arial" w:cs="Arial" w:eastAsia="Arial" w:hAnsi="Arial"/>
                <w:sz w:val="9"/>
                <w:szCs w:val="9"/>
                <w:b w:val="1"/>
                <w:bCs w:val="1"/>
                <w:color w:val="auto"/>
                <w:w w:val="93"/>
              </w:rPr>
              <w:t>(6)</w:t>
            </w:r>
          </w:p>
        </w:tc>
        <w:tc>
          <w:tcPr>
            <w:tcW w:w="960" w:type="dxa"/>
            <w:vAlign w:val="bottom"/>
            <w:tcBorders>
              <w:top w:val="single" w:sz="8" w:color="auto"/>
            </w:tcBorders>
            <w:shd w:val="clear" w:color="auto" w:fill="CCECFF"/>
          </w:tcPr>
          <w:p>
            <w:pPr>
              <w:spacing w:after="0"/>
              <w:rPr>
                <w:sz w:val="12"/>
                <w:szCs w:val="12"/>
                <w:color w:val="auto"/>
              </w:rPr>
            </w:pPr>
          </w:p>
        </w:tc>
        <w:tc>
          <w:tcPr>
            <w:tcW w:w="240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AH Holdings, Inc. (Warrants)</w:t>
            </w:r>
          </w:p>
        </w:tc>
        <w:tc>
          <w:tcPr>
            <w:tcW w:w="960" w:type="dxa"/>
            <w:vAlign w:val="bottom"/>
          </w:tcPr>
          <w:p>
            <w:pPr>
              <w:ind w:left="20"/>
              <w:spacing w:after="0"/>
              <w:rPr>
                <w:sz w:val="20"/>
                <w:szCs w:val="20"/>
                <w:color w:val="auto"/>
              </w:rPr>
            </w:pPr>
            <w:r>
              <w:rPr>
                <w:rFonts w:ascii="Arial" w:cs="Arial" w:eastAsia="Arial" w:hAnsi="Arial"/>
                <w:sz w:val="12"/>
                <w:szCs w:val="12"/>
                <w:color w:val="auto"/>
              </w:rPr>
              <w:t>03/23/2021</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753</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ASP LCG Holdings, Inc. (Warrants)</w:t>
            </w:r>
          </w:p>
        </w:tc>
        <w:tc>
          <w:tcPr>
            <w:tcW w:w="960" w:type="dxa"/>
            <w:vAlign w:val="bottom"/>
            <w:shd w:val="clear" w:color="auto" w:fill="CCECFF"/>
          </w:tcPr>
          <w:p>
            <w:pPr>
              <w:ind w:left="20"/>
              <w:spacing w:after="0"/>
              <w:rPr>
                <w:sz w:val="20"/>
                <w:szCs w:val="20"/>
                <w:color w:val="auto"/>
              </w:rPr>
            </w:pPr>
            <w:r>
              <w:rPr>
                <w:rFonts w:ascii="Arial" w:cs="Arial" w:eastAsia="Arial" w:hAnsi="Arial"/>
                <w:sz w:val="12"/>
                <w:szCs w:val="12"/>
                <w:color w:val="auto"/>
              </w:rPr>
              <w:t>05/05/2026</w:t>
            </w:r>
          </w:p>
        </w:tc>
        <w:tc>
          <w:tcPr>
            <w:tcW w:w="252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6"/>
              </w:rPr>
              <w:t>Education</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933</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586,975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1,651,653</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Autumn Games,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Broadcasting and Entertainment</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1,333,330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Cardinal Logistics Holdings LLC</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9"/>
              </w:rPr>
              <w:t>Cargo Transport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(13)</w:t>
            </w: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5,411,024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2,776,777</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(9)</w:t>
            </w:r>
          </w:p>
        </w:tc>
        <w:tc>
          <w:tcPr>
            <w:tcW w:w="9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(9)</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33,901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2,852,080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1,186,539</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CI (Allied) Investment Holdings, LLC</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840,004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957,866</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(Allied America, Inc.) </w:t>
            </w:r>
            <w:r>
              <w:rPr>
                <w:rFonts w:ascii="Arial" w:cs="Arial" w:eastAsia="Arial" w:hAnsi="Arial"/>
                <w:sz w:val="9"/>
                <w:szCs w:val="9"/>
                <w:color w:val="auto"/>
              </w:rPr>
              <w:t>(9)</w:t>
            </w:r>
          </w:p>
        </w:tc>
        <w:tc>
          <w:tcPr>
            <w:tcW w:w="9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5"/>
        </w:trPr>
        <w:tc>
          <w:tcPr>
            <w:tcW w:w="3040" w:type="dxa"/>
            <w:vAlign w:val="bottom"/>
          </w:tcPr>
          <w:p>
            <w:pPr>
              <w:spacing w:after="0"/>
              <w:rPr>
                <w:sz w:val="20"/>
                <w:szCs w:val="20"/>
                <w:color w:val="auto"/>
              </w:rPr>
            </w:pPr>
            <w:r>
              <w:rPr>
                <w:rFonts w:ascii="Arial" w:cs="Arial" w:eastAsia="Arial" w:hAnsi="Arial"/>
                <w:sz w:val="12"/>
                <w:szCs w:val="12"/>
                <w:color w:val="auto"/>
              </w:rPr>
              <w:t>CI (PTN) Investment Holdings II,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333,333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5,000,000</w:t>
            </w:r>
          </w:p>
        </w:tc>
        <w:tc>
          <w:tcPr>
            <w:tcW w:w="100" w:type="dxa"/>
            <w:vAlign w:val="bottom"/>
          </w:tcPr>
          <w:p>
            <w:pPr>
              <w:spacing w:after="0"/>
              <w:rPr>
                <w:sz w:val="13"/>
                <w:szCs w:val="13"/>
                <w:color w:val="auto"/>
              </w:rPr>
            </w:pPr>
          </w:p>
        </w:tc>
      </w:tr>
      <w:tr>
        <w:trPr>
          <w:trHeight w:val="142"/>
        </w:trPr>
        <w:tc>
          <w:tcPr>
            <w:tcW w:w="3040" w:type="dxa"/>
            <w:vAlign w:val="bottom"/>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(9)</w:t>
            </w:r>
          </w:p>
        </w:tc>
        <w:tc>
          <w:tcPr>
            <w:tcW w:w="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CI (Summit) Investment Holdings LLC</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8"/>
              </w:rPr>
              <w:t>Buildings and Real Estate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1,245,827</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(SFP Holdings, Inc.)</w:t>
            </w:r>
          </w:p>
        </w:tc>
        <w:tc>
          <w:tcPr>
            <w:tcW w:w="9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Cowboy Parent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96"/>
              </w:rPr>
              <w:t>Distribution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2,250,000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2,250,000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2,250,000</w:t>
            </w:r>
          </w:p>
        </w:tc>
        <w:tc>
          <w:tcPr>
            <w:tcW w:w="100" w:type="dxa"/>
            <w:vAlign w:val="bottom"/>
          </w:tcPr>
          <w:p>
            <w:pPr>
              <w:spacing w:after="0"/>
              <w:rPr>
                <w:sz w:val="13"/>
                <w:szCs w:val="13"/>
                <w:color w:val="auto"/>
              </w:rPr>
            </w:pPr>
          </w:p>
        </w:tc>
      </w:tr>
      <w:tr>
        <w:trPr>
          <w:trHeight w:val="142"/>
        </w:trPr>
        <w:tc>
          <w:tcPr>
            <w:tcW w:w="3040" w:type="dxa"/>
            <w:vAlign w:val="bottom"/>
          </w:tcPr>
          <w:p>
            <w:pPr>
              <w:ind w:left="140"/>
              <w:spacing w:after="0"/>
              <w:rPr>
                <w:sz w:val="20"/>
                <w:szCs w:val="20"/>
                <w:color w:val="auto"/>
              </w:rPr>
            </w:pPr>
            <w:r>
              <w:rPr>
                <w:rFonts w:ascii="Arial" w:cs="Arial" w:eastAsia="Arial" w:hAnsi="Arial"/>
                <w:sz w:val="12"/>
                <w:szCs w:val="12"/>
                <w:color w:val="auto"/>
              </w:rPr>
              <w:t>(Blackhawk Industrial Distribution, Inc.)</w:t>
            </w:r>
          </w:p>
        </w:tc>
        <w:tc>
          <w:tcPr>
            <w:tcW w:w="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DecoPac Holdings Inc.</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3,449</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3,448,658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4,165,759</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(11)</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1,049,378</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Faraday Holdings, LLC</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92"/>
              </w:rPr>
              <w:t>Building Materials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4,277</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217,635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1,147,011</w:t>
            </w:r>
          </w:p>
        </w:tc>
        <w:tc>
          <w:tcPr>
            <w:tcW w:w="10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Green Veracity Holdings, LP - Class A</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15,000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1,500,000</w:t>
            </w:r>
          </w:p>
        </w:tc>
        <w:tc>
          <w:tcPr>
            <w:tcW w:w="100" w:type="dxa"/>
            <w:vAlign w:val="bottom"/>
          </w:tcPr>
          <w:p>
            <w:pPr>
              <w:spacing w:after="0"/>
              <w:rPr>
                <w:sz w:val="13"/>
                <w:szCs w:val="13"/>
                <w:color w:val="auto"/>
              </w:rPr>
            </w:pPr>
          </w:p>
        </w:tc>
      </w:tr>
      <w:tr>
        <w:trPr>
          <w:trHeight w:val="142"/>
        </w:trPr>
        <w:tc>
          <w:tcPr>
            <w:tcW w:w="3040" w:type="dxa"/>
            <w:vAlign w:val="bottom"/>
          </w:tcPr>
          <w:p>
            <w:pPr>
              <w:ind w:left="140"/>
              <w:spacing w:after="0"/>
              <w:rPr>
                <w:sz w:val="20"/>
                <w:szCs w:val="20"/>
                <w:color w:val="auto"/>
              </w:rPr>
            </w:pPr>
            <w:r>
              <w:rPr>
                <w:rFonts w:ascii="Arial" w:cs="Arial" w:eastAsia="Arial" w:hAnsi="Arial"/>
                <w:sz w:val="12"/>
                <w:szCs w:val="12"/>
                <w:color w:val="auto"/>
              </w:rPr>
              <w:t>(VT Topco, Inc.)</w:t>
            </w:r>
          </w:p>
        </w:tc>
        <w:tc>
          <w:tcPr>
            <w:tcW w:w="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HW Holdco, LLC</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7"/>
              </w:rPr>
              <w:t>Other Media</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388,378</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2,787,265</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Infogroup Parent Holdings, Inc.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Other Media</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181,495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2,040,000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2,167,874</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(9)</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204,985</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2,049,849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3,654,472</w:t>
            </w:r>
          </w:p>
        </w:tc>
        <w:tc>
          <w:tcPr>
            <w:tcW w:w="10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JWC-WE Holdings, L.P.</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Home and Office Furnishings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1,906,433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1,906,433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1,906,433</w:t>
            </w:r>
          </w:p>
        </w:tc>
        <w:tc>
          <w:tcPr>
            <w:tcW w:w="100" w:type="dxa"/>
            <w:vAlign w:val="bottom"/>
          </w:tcPr>
          <w:p>
            <w:pPr>
              <w:spacing w:after="0"/>
              <w:rPr>
                <w:sz w:val="13"/>
                <w:szCs w:val="13"/>
                <w:color w:val="auto"/>
              </w:rPr>
            </w:pPr>
          </w:p>
        </w:tc>
      </w:tr>
      <w:tr>
        <w:trPr>
          <w:trHeight w:val="142"/>
        </w:trPr>
        <w:tc>
          <w:tcPr>
            <w:tcW w:w="3040" w:type="dxa"/>
            <w:vAlign w:val="bottom"/>
          </w:tcPr>
          <w:p>
            <w:pPr>
              <w:ind w:left="140"/>
              <w:spacing w:after="0"/>
              <w:rPr>
                <w:sz w:val="20"/>
                <w:szCs w:val="20"/>
                <w:color w:val="auto"/>
              </w:rPr>
            </w:pPr>
            <w:r>
              <w:rPr>
                <w:rFonts w:ascii="Arial" w:cs="Arial" w:eastAsia="Arial" w:hAnsi="Arial"/>
                <w:sz w:val="12"/>
                <w:szCs w:val="12"/>
                <w:color w:val="auto"/>
              </w:rPr>
              <w:t>(Walker Edison Furniture Company LLC)</w:t>
            </w:r>
          </w:p>
        </w:tc>
        <w:tc>
          <w:tcPr>
            <w:tcW w:w="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(12)</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252,014</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2,265,639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841,727</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(9)</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96"/>
              </w:rPr>
              <w:t>Distribution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493,280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522,889</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(9)</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1,148,703</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1,158,703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672,195</w:t>
            </w:r>
          </w:p>
        </w:tc>
        <w:tc>
          <w:tcPr>
            <w:tcW w:w="10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SSC Dominion Holdings,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91"/>
              </w:rPr>
              <w:t>Electronics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1,500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1,500,000</w:t>
            </w:r>
          </w:p>
        </w:tc>
        <w:tc>
          <w:tcPr>
            <w:tcW w:w="100" w:type="dxa"/>
            <w:vAlign w:val="bottom"/>
          </w:tcPr>
          <w:p>
            <w:pPr>
              <w:spacing w:after="0"/>
              <w:rPr>
                <w:sz w:val="13"/>
                <w:szCs w:val="13"/>
                <w:color w:val="auto"/>
              </w:rPr>
            </w:pPr>
          </w:p>
        </w:tc>
      </w:tr>
      <w:tr>
        <w:trPr>
          <w:trHeight w:val="141"/>
        </w:trPr>
        <w:tc>
          <w:tcPr>
            <w:tcW w:w="3040" w:type="dxa"/>
            <w:vAlign w:val="bottom"/>
          </w:tcPr>
          <w:p>
            <w:pPr>
              <w:ind w:left="140"/>
              <w:spacing w:after="0"/>
              <w:rPr>
                <w:sz w:val="20"/>
                <w:szCs w:val="20"/>
                <w:color w:val="auto"/>
              </w:rPr>
            </w:pPr>
            <w:r>
              <w:rPr>
                <w:rFonts w:ascii="Arial" w:cs="Arial" w:eastAsia="Arial" w:hAnsi="Arial"/>
                <w:sz w:val="12"/>
                <w:szCs w:val="12"/>
                <w:color w:val="auto"/>
              </w:rPr>
              <w:t>Class A (US Dominion, Inc.)</w:t>
            </w:r>
          </w:p>
        </w:tc>
        <w:tc>
          <w:tcPr>
            <w:tcW w:w="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SSC Dominion Holdings, LLC</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91"/>
              </w:rPr>
              <w:t>Electronics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Class B (US Dominion, Inc.)</w:t>
            </w:r>
          </w:p>
        </w:tc>
        <w:tc>
          <w:tcPr>
            <w:tcW w:w="9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WBB Equity,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628,571</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628,571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1,181,714</w:t>
            </w:r>
          </w:p>
        </w:tc>
        <w:tc>
          <w:tcPr>
            <w:tcW w:w="100" w:type="dxa"/>
            <w:vAlign w:val="bottom"/>
          </w:tcPr>
          <w:p>
            <w:pPr>
              <w:spacing w:after="0"/>
              <w:rPr>
                <w:sz w:val="13"/>
                <w:szCs w:val="13"/>
                <w:color w:val="auto"/>
              </w:rPr>
            </w:pPr>
          </w:p>
        </w:tc>
      </w:tr>
      <w:tr>
        <w:trPr>
          <w:trHeight w:val="141"/>
        </w:trPr>
        <w:tc>
          <w:tcPr>
            <w:tcW w:w="3040" w:type="dxa"/>
            <w:vAlign w:val="bottom"/>
          </w:tcPr>
          <w:p>
            <w:pPr>
              <w:ind w:left="140"/>
              <w:spacing w:after="0"/>
              <w:rPr>
                <w:sz w:val="20"/>
                <w:szCs w:val="20"/>
                <w:color w:val="auto"/>
              </w:rPr>
            </w:pPr>
            <w:r>
              <w:rPr>
                <w:rFonts w:ascii="Arial" w:cs="Arial" w:eastAsia="Arial" w:hAnsi="Arial"/>
                <w:sz w:val="12"/>
                <w:szCs w:val="12"/>
                <w:color w:val="auto"/>
              </w:rPr>
              <w:t xml:space="preserve">(Whitney, Bradley &amp; Brown, Inc.) </w:t>
            </w:r>
            <w:r>
              <w:rPr>
                <w:rFonts w:ascii="Arial" w:cs="Arial" w:eastAsia="Arial" w:hAnsi="Arial"/>
                <w:sz w:val="9"/>
                <w:szCs w:val="9"/>
                <w:color w:val="auto"/>
              </w:rPr>
              <w:t>(9)</w:t>
            </w:r>
          </w:p>
        </w:tc>
        <w:tc>
          <w:tcPr>
            <w:tcW w:w="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Wheel Pros Holdings, L.P.</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9"/>
              </w:rPr>
              <w:t>Auto Sector</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3,200,000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4,513,118</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(Winter Park Intermediate, Inc.)</w:t>
            </w:r>
          </w:p>
        </w:tc>
        <w:tc>
          <w:tcPr>
            <w:tcW w:w="9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ZS Juniper L.P.</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6"/>
              </w:rPr>
              <w:t>Personal, Food and Miscellaneous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856</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855,515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1,035,599</w:t>
            </w:r>
          </w:p>
        </w:tc>
        <w:tc>
          <w:tcPr>
            <w:tcW w:w="100" w:type="dxa"/>
            <w:vAlign w:val="bottom"/>
          </w:tcPr>
          <w:p>
            <w:pPr>
              <w:spacing w:after="0"/>
              <w:rPr>
                <w:sz w:val="13"/>
                <w:szCs w:val="13"/>
                <w:color w:val="auto"/>
              </w:rPr>
            </w:pPr>
          </w:p>
        </w:tc>
      </w:tr>
      <w:tr>
        <w:trPr>
          <w:trHeight w:val="141"/>
        </w:trPr>
        <w:tc>
          <w:tcPr>
            <w:tcW w:w="3040" w:type="dxa"/>
            <w:vAlign w:val="bottom"/>
            <w:tcBorders>
              <w:bottom w:val="single" w:sz="8" w:color="CCECFF"/>
            </w:tcBorders>
          </w:tcPr>
          <w:p>
            <w:pPr>
              <w:ind w:left="140"/>
              <w:spacing w:after="0"/>
              <w:rPr>
                <w:sz w:val="20"/>
                <w:szCs w:val="20"/>
                <w:color w:val="auto"/>
              </w:rPr>
            </w:pPr>
            <w:r>
              <w:rPr>
                <w:rFonts w:ascii="Arial" w:cs="Arial" w:eastAsia="Arial" w:hAnsi="Arial"/>
                <w:sz w:val="12"/>
                <w:szCs w:val="12"/>
                <w:color w:val="auto"/>
              </w:rPr>
              <w:t xml:space="preserve">(Juniper Landscaping of Florida, LLC) </w:t>
            </w:r>
            <w:r>
              <w:rPr>
                <w:rFonts w:ascii="Arial" w:cs="Arial" w:eastAsia="Arial" w:hAnsi="Arial"/>
                <w:sz w:val="9"/>
                <w:szCs w:val="9"/>
                <w:color w:val="auto"/>
              </w:rPr>
              <w:t>(9)</w:t>
            </w:r>
          </w:p>
        </w:tc>
        <w:tc>
          <w:tcPr>
            <w:tcW w:w="960" w:type="dxa"/>
            <w:vAlign w:val="bottom"/>
            <w:tcBorders>
              <w:bottom w:val="single" w:sz="8" w:color="CCECFF"/>
            </w:tcBorders>
          </w:tcPr>
          <w:p>
            <w:pPr>
              <w:spacing w:after="0"/>
              <w:rPr>
                <w:sz w:val="12"/>
                <w:szCs w:val="12"/>
                <w:color w:val="auto"/>
              </w:rPr>
            </w:pPr>
          </w:p>
        </w:tc>
        <w:tc>
          <w:tcPr>
            <w:tcW w:w="24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r>
      <w:tr>
        <w:trPr>
          <w:trHeight w:val="142"/>
        </w:trPr>
        <w:tc>
          <w:tcPr>
            <w:tcW w:w="30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w w:val="99"/>
              </w:rPr>
              <w:t>Total Common Equity/Partnership Interests/Warrants</w:t>
            </w:r>
          </w:p>
        </w:tc>
        <w:tc>
          <w:tcPr>
            <w:tcW w:w="9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43,004,366</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43,714,096</w:t>
            </w:r>
          </w:p>
        </w:tc>
        <w:tc>
          <w:tcPr>
            <w:tcW w:w="100" w:type="dxa"/>
            <w:vAlign w:val="bottom"/>
            <w:shd w:val="clear" w:color="auto" w:fill="CCECFF"/>
          </w:tcPr>
          <w:p>
            <w:pPr>
              <w:spacing w:after="0"/>
              <w:rPr>
                <w:sz w:val="12"/>
                <w:szCs w:val="12"/>
                <w:color w:val="auto"/>
              </w:rPr>
            </w:pPr>
          </w:p>
        </w:tc>
      </w:tr>
      <w:tr>
        <w:trPr>
          <w:trHeight w:val="142"/>
        </w:trPr>
        <w:tc>
          <w:tcPr>
            <w:tcW w:w="400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6"/>
              </w:rPr>
              <w:t>Total Investments in Non-Controlled, Non-Affiliated Portfolio Companies</w:t>
            </w:r>
          </w:p>
        </w:tc>
        <w:tc>
          <w:tcPr>
            <w:tcW w:w="24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896,720,950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905,271,258</w:t>
            </w:r>
          </w:p>
        </w:tc>
        <w:tc>
          <w:tcPr>
            <w:tcW w:w="100" w:type="dxa"/>
            <w:vAlign w:val="bottom"/>
            <w:tcBorders>
              <w:bottom w:val="single" w:sz="8" w:color="CCECFF"/>
            </w:tcBorders>
          </w:tcPr>
          <w:p>
            <w:pPr>
              <w:spacing w:after="0"/>
              <w:rPr>
                <w:sz w:val="12"/>
                <w:szCs w:val="12"/>
                <w:color w:val="auto"/>
              </w:rPr>
            </w:pPr>
          </w:p>
        </w:tc>
      </w:tr>
      <w:tr>
        <w:trPr>
          <w:trHeight w:val="142"/>
        </w:trPr>
        <w:tc>
          <w:tcPr>
            <w:tcW w:w="400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w w:val="92"/>
              </w:rPr>
              <w:t xml:space="preserve">Investments in Non-Controlled, Affiliated Portfolio Companies—12.4% </w:t>
            </w:r>
            <w:r>
              <w:rPr>
                <w:rFonts w:ascii="Arial" w:cs="Arial" w:eastAsia="Arial" w:hAnsi="Arial"/>
                <w:sz w:val="9"/>
                <w:szCs w:val="9"/>
                <w:b w:val="1"/>
                <w:bCs w:val="1"/>
                <w:color w:val="auto"/>
                <w:w w:val="92"/>
              </w:rPr>
              <w:t>(1), (2)</w:t>
            </w: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b w:val="1"/>
                <w:bCs w:val="1"/>
                <w:color w:val="auto"/>
              </w:rPr>
              <w:t>First Lien Secured Debt—1.9%</w:t>
            </w:r>
          </w:p>
        </w:tc>
        <w:tc>
          <w:tcPr>
            <w:tcW w:w="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U.S. Well Services, LLC</w:t>
            </w:r>
          </w:p>
        </w:tc>
        <w:tc>
          <w:tcPr>
            <w:tcW w:w="960" w:type="dxa"/>
            <w:vAlign w:val="bottom"/>
            <w:shd w:val="clear" w:color="auto" w:fill="CCECFF"/>
          </w:tcPr>
          <w:p>
            <w:pPr>
              <w:ind w:left="20"/>
              <w:spacing w:after="0"/>
              <w:rPr>
                <w:sz w:val="20"/>
                <w:szCs w:val="20"/>
                <w:color w:val="auto"/>
              </w:rPr>
            </w:pPr>
            <w:r>
              <w:rPr>
                <w:rFonts w:ascii="Arial" w:cs="Arial" w:eastAsia="Arial" w:hAnsi="Arial"/>
                <w:sz w:val="12"/>
                <w:szCs w:val="12"/>
                <w:color w:val="auto"/>
              </w:rPr>
              <w:t>02/02/2022</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13.08%</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L+1,100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10,160,537</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10,098,625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10,160,537</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ind w:left="140"/>
              <w:spacing w:after="0"/>
              <w:rPr>
                <w:sz w:val="20"/>
                <w:szCs w:val="20"/>
                <w:color w:val="auto"/>
              </w:rPr>
            </w:pPr>
            <w:r>
              <w:rPr>
                <w:rFonts w:ascii="Arial" w:cs="Arial" w:eastAsia="Arial" w:hAnsi="Arial"/>
                <w:sz w:val="12"/>
                <w:szCs w:val="12"/>
                <w:color w:val="auto"/>
              </w:rPr>
              <w:t>(PIK 13.08%)</w:t>
            </w: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U.S. Well Services, LLC (Revolver)</w:t>
            </w:r>
          </w:p>
        </w:tc>
        <w:tc>
          <w:tcPr>
            <w:tcW w:w="960" w:type="dxa"/>
            <w:vAlign w:val="bottom"/>
          </w:tcPr>
          <w:p>
            <w:pPr>
              <w:ind w:left="20"/>
              <w:spacing w:after="0"/>
              <w:rPr>
                <w:sz w:val="20"/>
                <w:szCs w:val="20"/>
                <w:color w:val="auto"/>
              </w:rPr>
            </w:pPr>
            <w:r>
              <w:rPr>
                <w:rFonts w:ascii="Arial" w:cs="Arial" w:eastAsia="Arial" w:hAnsi="Arial"/>
                <w:sz w:val="12"/>
                <w:szCs w:val="12"/>
                <w:color w:val="auto"/>
              </w:rPr>
              <w:t>02/02/2022</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8.08%</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1M L+600</w:t>
            </w:r>
          </w:p>
        </w:tc>
        <w:tc>
          <w:tcPr>
            <w:tcW w:w="660" w:type="dxa"/>
            <w:vAlign w:val="bottom"/>
          </w:tcPr>
          <w:p>
            <w:pPr>
              <w:jc w:val="right"/>
              <w:spacing w:after="0"/>
              <w:rPr>
                <w:sz w:val="20"/>
                <w:szCs w:val="20"/>
                <w:color w:val="auto"/>
              </w:rPr>
            </w:pPr>
            <w:r>
              <w:rPr>
                <w:rFonts w:ascii="Arial" w:cs="Arial" w:eastAsia="Arial" w:hAnsi="Arial"/>
                <w:sz w:val="12"/>
                <w:szCs w:val="12"/>
                <w:color w:val="auto"/>
              </w:rPr>
              <w:t>1,680,528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1,680,528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1,680,528</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 Well Services, LLC (Revolver) </w:t>
            </w:r>
            <w:r>
              <w:rPr>
                <w:rFonts w:ascii="Arial" w:cs="Arial" w:eastAsia="Arial" w:hAnsi="Arial"/>
                <w:sz w:val="9"/>
                <w:szCs w:val="9"/>
                <w:color w:val="auto"/>
              </w:rPr>
              <w:t>(7)</w:t>
            </w:r>
          </w:p>
        </w:tc>
        <w:tc>
          <w:tcPr>
            <w:tcW w:w="960" w:type="dxa"/>
            <w:vAlign w:val="bottom"/>
            <w:shd w:val="clear" w:color="auto" w:fill="CCECFF"/>
          </w:tcPr>
          <w:p>
            <w:pPr>
              <w:ind w:left="20"/>
              <w:spacing w:after="0"/>
              <w:rPr>
                <w:sz w:val="20"/>
                <w:szCs w:val="20"/>
                <w:color w:val="auto"/>
              </w:rPr>
            </w:pPr>
            <w:r>
              <w:rPr>
                <w:rFonts w:ascii="Arial" w:cs="Arial" w:eastAsia="Arial" w:hAnsi="Arial"/>
                <w:sz w:val="12"/>
                <w:szCs w:val="12"/>
                <w:color w:val="auto"/>
              </w:rPr>
              <w:t>02/02/2022</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511,893</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960" w:type="dxa"/>
            <w:vAlign w:val="bottom"/>
            <w:tcBorders>
              <w:bottom w:val="single" w:sz="8" w:color="CCECFF"/>
            </w:tcBorders>
          </w:tcPr>
          <w:p>
            <w:pPr>
              <w:spacing w:after="0"/>
              <w:rPr>
                <w:sz w:val="12"/>
                <w:szCs w:val="12"/>
                <w:color w:val="auto"/>
              </w:rPr>
            </w:pPr>
          </w:p>
        </w:tc>
        <w:tc>
          <w:tcPr>
            <w:tcW w:w="24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11,779,153</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11,841,065</w:t>
            </w:r>
          </w:p>
        </w:tc>
        <w:tc>
          <w:tcPr>
            <w:tcW w:w="100" w:type="dxa"/>
            <w:vAlign w:val="bottom"/>
            <w:tcBorders>
              <w:bottom w:val="single" w:sz="8" w:color="CCECFF"/>
            </w:tcBorders>
          </w:tcPr>
          <w:p>
            <w:pPr>
              <w:spacing w:after="0"/>
              <w:rPr>
                <w:sz w:val="12"/>
                <w:szCs w:val="12"/>
                <w:color w:val="auto"/>
              </w:rPr>
            </w:pPr>
          </w:p>
        </w:tc>
      </w:tr>
      <w:tr>
        <w:trPr>
          <w:trHeight w:val="142"/>
        </w:trPr>
        <w:tc>
          <w:tcPr>
            <w:tcW w:w="30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w w:val="91"/>
              </w:rPr>
              <w:t xml:space="preserve">Common Equity/Partnership Interests/Warrants—10.5% </w:t>
            </w:r>
            <w:r>
              <w:rPr>
                <w:rFonts w:ascii="Arial" w:cs="Arial" w:eastAsia="Arial" w:hAnsi="Arial"/>
                <w:sz w:val="9"/>
                <w:szCs w:val="9"/>
                <w:b w:val="1"/>
                <w:bCs w:val="1"/>
                <w:color w:val="auto"/>
                <w:w w:val="91"/>
              </w:rPr>
              <w:t>(6)</w:t>
            </w:r>
          </w:p>
        </w:tc>
        <w:tc>
          <w:tcPr>
            <w:tcW w:w="9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Affinion Group Holdings, Inc.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859,496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30,503,493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18,137,081</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 Series C and Series D</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37,181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10,265,973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29,841</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Big Run, Inc.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143,668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674,943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397,025</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(9)</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1,658,389</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29,711,576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33,040,294</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ETX Energy Management Company,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1,754,104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1,562,020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1,761,079</w:t>
            </w: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USWS Holdings, LLC - Class A and Class B </w:t>
            </w:r>
            <w:r>
              <w:rPr>
                <w:rFonts w:ascii="Arial" w:cs="Arial" w:eastAsia="Arial" w:hAnsi="Arial"/>
                <w:sz w:val="9"/>
                <w:szCs w:val="9"/>
                <w:color w:val="auto"/>
              </w:rPr>
              <w:t>(9)</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8,190,817</w:t>
            </w: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7,023,750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12,871,946</w:t>
            </w:r>
          </w:p>
        </w:tc>
        <w:tc>
          <w:tcPr>
            <w:tcW w:w="100" w:type="dxa"/>
            <w:vAlign w:val="bottom"/>
            <w:shd w:val="clear" w:color="auto" w:fill="CCECFF"/>
          </w:tcPr>
          <w:p>
            <w:pPr>
              <w:spacing w:after="0"/>
              <w:rPr>
                <w:sz w:val="12"/>
                <w:szCs w:val="12"/>
                <w:color w:val="auto"/>
              </w:rPr>
            </w:pPr>
          </w:p>
        </w:tc>
      </w:tr>
      <w:tr>
        <w:trPr>
          <w:trHeight w:val="142"/>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w w:val="99"/>
              </w:rPr>
              <w:t>Total Common Equity/Partnership Interests/Warrants</w:t>
            </w:r>
          </w:p>
        </w:tc>
        <w:tc>
          <w:tcPr>
            <w:tcW w:w="960" w:type="dxa"/>
            <w:vAlign w:val="bottom"/>
            <w:tcBorders>
              <w:bottom w:val="single" w:sz="8" w:color="CCECFF"/>
            </w:tcBorders>
          </w:tcPr>
          <w:p>
            <w:pPr>
              <w:spacing w:after="0"/>
              <w:rPr>
                <w:sz w:val="12"/>
                <w:szCs w:val="12"/>
                <w:color w:val="auto"/>
              </w:rPr>
            </w:pPr>
          </w:p>
        </w:tc>
        <w:tc>
          <w:tcPr>
            <w:tcW w:w="24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79,741,755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66,237,266</w:t>
            </w:r>
          </w:p>
        </w:tc>
        <w:tc>
          <w:tcPr>
            <w:tcW w:w="100" w:type="dxa"/>
            <w:vAlign w:val="bottom"/>
            <w:tcBorders>
              <w:bottom w:val="single" w:sz="8" w:color="CCECFF"/>
            </w:tcBorders>
          </w:tcPr>
          <w:p>
            <w:pPr>
              <w:spacing w:after="0"/>
              <w:rPr>
                <w:sz w:val="12"/>
                <w:szCs w:val="12"/>
                <w:color w:val="auto"/>
              </w:rPr>
            </w:pPr>
          </w:p>
        </w:tc>
      </w:tr>
      <w:tr>
        <w:trPr>
          <w:trHeight w:val="142"/>
        </w:trPr>
        <w:tc>
          <w:tcPr>
            <w:tcW w:w="400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91,520,908</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78,078,331</w:t>
            </w:r>
          </w:p>
        </w:tc>
        <w:tc>
          <w:tcPr>
            <w:tcW w:w="100" w:type="dxa"/>
            <w:vAlign w:val="bottom"/>
            <w:shd w:val="clear" w:color="auto" w:fill="CCECFF"/>
          </w:tcPr>
          <w:p>
            <w:pPr>
              <w:spacing w:after="0"/>
              <w:rPr>
                <w:sz w:val="12"/>
                <w:szCs w:val="12"/>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0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Maturity /</w:t>
            </w:r>
          </w:p>
        </w:tc>
        <w:tc>
          <w:tcPr>
            <w:tcW w:w="2360" w:type="dxa"/>
            <w:vAlign w:val="bottom"/>
          </w:tcPr>
          <w:p>
            <w:pPr>
              <w:spacing w:after="0"/>
              <w:rPr>
                <w:sz w:val="11"/>
                <w:szCs w:val="11"/>
                <w:color w:val="auto"/>
              </w:rPr>
            </w:pPr>
          </w:p>
        </w:tc>
        <w:tc>
          <w:tcPr>
            <w:tcW w:w="1060" w:type="dxa"/>
            <w:vAlign w:val="bottom"/>
            <w:gridSpan w:val="2"/>
          </w:tcPr>
          <w:p>
            <w:pPr>
              <w:jc w:val="right"/>
              <w:ind w:right="30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5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020" w:type="dxa"/>
            <w:vAlign w:val="bottom"/>
          </w:tcPr>
          <w:p>
            <w:pPr>
              <w:ind w:left="120"/>
              <w:spacing w:after="0"/>
              <w:rPr>
                <w:sz w:val="20"/>
                <w:szCs w:val="20"/>
                <w:color w:val="auto"/>
              </w:rPr>
            </w:pPr>
            <w:r>
              <w:rPr>
                <w:rFonts w:ascii="Arial" w:cs="Arial" w:eastAsia="Arial" w:hAnsi="Arial"/>
                <w:sz w:val="12"/>
                <w:szCs w:val="12"/>
                <w:b w:val="1"/>
                <w:bCs w:val="1"/>
                <w:color w:val="auto"/>
              </w:rPr>
              <w:t>Expiration</w:t>
            </w:r>
          </w:p>
        </w:tc>
        <w:tc>
          <w:tcPr>
            <w:tcW w:w="236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0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220" w:type="dxa"/>
            <w:vAlign w:val="bottom"/>
          </w:tcPr>
          <w:p>
            <w:pPr>
              <w:spacing w:after="0"/>
              <w:rPr>
                <w:sz w:val="12"/>
                <w:szCs w:val="12"/>
                <w:color w:val="auto"/>
              </w:rPr>
            </w:pPr>
          </w:p>
        </w:tc>
        <w:tc>
          <w:tcPr>
            <w:tcW w:w="580" w:type="dxa"/>
            <w:vAlign w:val="bottom"/>
          </w:tcPr>
          <w:p>
            <w:pPr>
              <w:jc w:val="right"/>
              <w:ind w:right="122"/>
              <w:spacing w:after="0"/>
              <w:rPr>
                <w:sz w:val="20"/>
                <w:szCs w:val="20"/>
                <w:color w:val="auto"/>
              </w:rPr>
            </w:pPr>
            <w:r>
              <w:rPr>
                <w:rFonts w:ascii="Arial" w:cs="Arial" w:eastAsia="Arial" w:hAnsi="Arial"/>
                <w:sz w:val="12"/>
                <w:szCs w:val="12"/>
                <w:b w:val="1"/>
                <w:bCs w:val="1"/>
                <w:color w:val="auto"/>
                <w:w w:val="94"/>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(3)</w:t>
            </w:r>
          </w:p>
        </w:tc>
        <w:tc>
          <w:tcPr>
            <w:tcW w:w="0" w:type="dxa"/>
            <w:vAlign w:val="bottom"/>
          </w:tcPr>
          <w:p>
            <w:pPr>
              <w:spacing w:after="0"/>
              <w:rPr>
                <w:sz w:val="1"/>
                <w:szCs w:val="1"/>
                <w:color w:val="auto"/>
              </w:rPr>
            </w:pPr>
          </w:p>
        </w:tc>
      </w:tr>
      <w:tr>
        <w:trPr>
          <w:trHeight w:val="142"/>
        </w:trPr>
        <w:tc>
          <w:tcPr>
            <w:tcW w:w="39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7"/>
              </w:rPr>
              <w:t xml:space="preserve">Investments in Controlled, Affiliated Portfolio Companies—23.6% </w:t>
            </w:r>
            <w:r>
              <w:rPr>
                <w:rFonts w:ascii="Arial" w:cs="Arial" w:eastAsia="Arial" w:hAnsi="Arial"/>
                <w:sz w:val="9"/>
                <w:szCs w:val="9"/>
                <w:b w:val="1"/>
                <w:bCs w:val="1"/>
                <w:color w:val="auto"/>
                <w:w w:val="97"/>
              </w:rPr>
              <w:t>(1), (2)</w:t>
            </w:r>
          </w:p>
        </w:tc>
        <w:tc>
          <w:tcPr>
            <w:tcW w:w="2360" w:type="dxa"/>
            <w:vAlign w:val="bottom"/>
            <w:tcBorders>
              <w:top w:val="single" w:sz="8" w:color="auto"/>
            </w:tcBorders>
            <w:shd w:val="clear" w:color="auto" w:fill="CCECFF"/>
          </w:tcPr>
          <w:p>
            <w:pPr>
              <w:spacing w:after="0"/>
              <w:rPr>
                <w:sz w:val="12"/>
                <w:szCs w:val="12"/>
                <w:color w:val="auto"/>
              </w:rPr>
            </w:pPr>
          </w:p>
        </w:tc>
        <w:tc>
          <w:tcPr>
            <w:tcW w:w="900" w:type="dxa"/>
            <w:vAlign w:val="bottom"/>
            <w:tcBorders>
              <w:top w:val="single" w:sz="8" w:color="auto"/>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b w:val="1"/>
                <w:bCs w:val="1"/>
                <w:color w:val="auto"/>
              </w:rPr>
              <w:t>First Lien Secured Debt—15.7%</w:t>
            </w:r>
          </w:p>
        </w:tc>
        <w:tc>
          <w:tcPr>
            <w:tcW w:w="10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10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03/13/2024</w:t>
            </w:r>
          </w:p>
        </w:tc>
        <w:tc>
          <w:tcPr>
            <w:tcW w:w="23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10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6.55%</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3M L+575</w:t>
            </w:r>
          </w:p>
        </w:tc>
        <w:tc>
          <w:tcPr>
            <w:tcW w:w="2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28,000,000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39,051,600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36,513,484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RAM Energy LLC</w:t>
            </w:r>
          </w:p>
        </w:tc>
        <w:tc>
          <w:tcPr>
            <w:tcW w:w="1020" w:type="dxa"/>
            <w:vAlign w:val="bottom"/>
          </w:tcPr>
          <w:p>
            <w:pPr>
              <w:ind w:left="120"/>
              <w:spacing w:after="0"/>
              <w:rPr>
                <w:sz w:val="20"/>
                <w:szCs w:val="20"/>
                <w:color w:val="auto"/>
              </w:rPr>
            </w:pPr>
            <w:r>
              <w:rPr>
                <w:rFonts w:ascii="Arial" w:cs="Arial" w:eastAsia="Arial" w:hAnsi="Arial"/>
                <w:sz w:val="12"/>
                <w:szCs w:val="12"/>
                <w:color w:val="auto"/>
              </w:rPr>
              <w:t>07/01/2022</w:t>
            </w:r>
          </w:p>
        </w:tc>
        <w:tc>
          <w:tcPr>
            <w:tcW w:w="2360" w:type="dxa"/>
            <w:vAlign w:val="bottom"/>
          </w:tcPr>
          <w:p>
            <w:pPr>
              <w:jc w:val="center"/>
              <w:ind w:right="2"/>
              <w:spacing w:after="0"/>
              <w:rPr>
                <w:sz w:val="20"/>
                <w:szCs w:val="20"/>
                <w:color w:val="auto"/>
              </w:rPr>
            </w:pPr>
            <w:r>
              <w:rPr>
                <w:rFonts w:ascii="Arial" w:cs="Arial" w:eastAsia="Arial" w:hAnsi="Arial"/>
                <w:sz w:val="12"/>
                <w:szCs w:val="12"/>
                <w:color w:val="auto"/>
                <w:w w:val="90"/>
              </w:rPr>
              <w:t>Energy and Utilities</w:t>
            </w:r>
          </w:p>
        </w:tc>
        <w:tc>
          <w:tcPr>
            <w:tcW w:w="1060" w:type="dxa"/>
            <w:vAlign w:val="bottom"/>
            <w:gridSpan w:val="2"/>
          </w:tcPr>
          <w:p>
            <w:pPr>
              <w:jc w:val="right"/>
              <w:ind w:right="60"/>
              <w:spacing w:after="0"/>
              <w:rPr>
                <w:sz w:val="20"/>
                <w:szCs w:val="20"/>
                <w:color w:val="auto"/>
              </w:rPr>
            </w:pPr>
            <w:r>
              <w:rPr>
                <w:rFonts w:ascii="Arial" w:cs="Arial" w:eastAsia="Arial" w:hAnsi="Arial"/>
                <w:sz w:val="12"/>
                <w:szCs w:val="12"/>
                <w:color w:val="auto"/>
              </w:rPr>
              <w:t>8.00%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35,000,000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35,000,000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RAM Energy LLC (Revolver)</w:t>
            </w:r>
          </w:p>
        </w:tc>
        <w:tc>
          <w:tcPr>
            <w:tcW w:w="10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07/01/2022</w:t>
            </w:r>
          </w:p>
        </w:tc>
        <w:tc>
          <w:tcPr>
            <w:tcW w:w="236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90"/>
              </w:rPr>
              <w:t>Energy and Utilities</w:t>
            </w:r>
          </w:p>
        </w:tc>
        <w:tc>
          <w:tcPr>
            <w:tcW w:w="10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8.00%</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RAM Energy LLC (Revolver) </w:t>
            </w:r>
            <w:r>
              <w:rPr>
                <w:rFonts w:ascii="Arial" w:cs="Arial" w:eastAsia="Arial" w:hAnsi="Arial"/>
                <w:sz w:val="9"/>
                <w:szCs w:val="9"/>
                <w:color w:val="auto"/>
              </w:rPr>
              <w:t>(7)</w:t>
            </w:r>
          </w:p>
        </w:tc>
        <w:tc>
          <w:tcPr>
            <w:tcW w:w="1020" w:type="dxa"/>
            <w:vAlign w:val="bottom"/>
          </w:tcPr>
          <w:p>
            <w:pPr>
              <w:ind w:left="120"/>
              <w:spacing w:after="0"/>
              <w:rPr>
                <w:sz w:val="20"/>
                <w:szCs w:val="20"/>
                <w:color w:val="auto"/>
              </w:rPr>
            </w:pPr>
            <w:r>
              <w:rPr>
                <w:rFonts w:ascii="Arial" w:cs="Arial" w:eastAsia="Arial" w:hAnsi="Arial"/>
                <w:sz w:val="12"/>
                <w:szCs w:val="12"/>
                <w:color w:val="auto"/>
              </w:rPr>
              <w:t>07/01/2022</w:t>
            </w:r>
          </w:p>
        </w:tc>
        <w:tc>
          <w:tcPr>
            <w:tcW w:w="2360" w:type="dxa"/>
            <w:vAlign w:val="bottom"/>
          </w:tcPr>
          <w:p>
            <w:pPr>
              <w:jc w:val="center"/>
              <w:ind w:right="2"/>
              <w:spacing w:after="0"/>
              <w:rPr>
                <w:sz w:val="20"/>
                <w:szCs w:val="20"/>
                <w:color w:val="auto"/>
              </w:rPr>
            </w:pPr>
            <w:r>
              <w:rPr>
                <w:rFonts w:ascii="Arial" w:cs="Arial" w:eastAsia="Arial" w:hAnsi="Arial"/>
                <w:sz w:val="12"/>
                <w:szCs w:val="12"/>
                <w:color w:val="auto"/>
                <w:w w:val="90"/>
              </w:rPr>
              <w:t>Energy and Utilities</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LLC</w:t>
            </w:r>
          </w:p>
        </w:tc>
        <w:tc>
          <w:tcPr>
            <w:tcW w:w="10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12/31/2018</w:t>
            </w:r>
          </w:p>
        </w:tc>
        <w:tc>
          <w:tcPr>
            <w:tcW w:w="236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91"/>
              </w:rPr>
              <w:t>Media</w:t>
            </w:r>
          </w:p>
        </w:tc>
        <w:tc>
          <w:tcPr>
            <w:tcW w:w="10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7.84%</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3M L+550</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23,208,601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22,749,435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17,220,000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106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(PIK 7.84%)</w:t>
            </w: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1020" w:type="dxa"/>
            <w:vAlign w:val="bottom"/>
            <w:tcBorders>
              <w:bottom w:val="single" w:sz="8" w:color="CCECFF"/>
            </w:tcBorders>
          </w:tcPr>
          <w:p>
            <w:pPr>
              <w:spacing w:after="0"/>
              <w:rPr>
                <w:sz w:val="12"/>
                <w:szCs w:val="12"/>
                <w:color w:val="auto"/>
              </w:rPr>
            </w:pPr>
          </w:p>
        </w:tc>
        <w:tc>
          <w:tcPr>
            <w:tcW w:w="236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106,801,035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98,733,484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Equity—1.9% </w:t>
            </w:r>
            <w:r>
              <w:rPr>
                <w:rFonts w:ascii="Arial" w:cs="Arial" w:eastAsia="Arial" w:hAnsi="Arial"/>
                <w:sz w:val="9"/>
                <w:szCs w:val="9"/>
                <w:b w:val="1"/>
                <w:bCs w:val="1"/>
                <w:color w:val="auto"/>
              </w:rPr>
              <w:t>(6)</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MidOcean JF Holdings Corp.</w:t>
            </w:r>
          </w:p>
        </w:tc>
        <w:tc>
          <w:tcPr>
            <w:tcW w:w="1020" w:type="dxa"/>
            <w:vAlign w:val="bottom"/>
          </w:tcPr>
          <w:p>
            <w:pPr>
              <w:ind w:left="380"/>
              <w:spacing w:after="0"/>
              <w:rPr>
                <w:sz w:val="20"/>
                <w:szCs w:val="20"/>
                <w:color w:val="auto"/>
              </w:rPr>
            </w:pPr>
            <w:r>
              <w:rPr>
                <w:rFonts w:ascii="Arial" w:cs="Arial" w:eastAsia="Arial" w:hAnsi="Arial"/>
                <w:sz w:val="12"/>
                <w:szCs w:val="12"/>
                <w:color w:val="auto"/>
              </w:rPr>
              <w:t>—</w:t>
            </w:r>
          </w:p>
        </w:tc>
        <w:tc>
          <w:tcPr>
            <w:tcW w:w="2360" w:type="dxa"/>
            <w:vAlign w:val="bottom"/>
          </w:tcPr>
          <w:p>
            <w:pPr>
              <w:jc w:val="center"/>
              <w:spacing w:after="0"/>
              <w:rPr>
                <w:sz w:val="20"/>
                <w:szCs w:val="20"/>
                <w:color w:val="auto"/>
              </w:rPr>
            </w:pPr>
            <w:r>
              <w:rPr>
                <w:rFonts w:ascii="Arial" w:cs="Arial" w:eastAsia="Arial" w:hAnsi="Arial"/>
                <w:sz w:val="12"/>
                <w:szCs w:val="12"/>
                <w:color w:val="auto"/>
                <w:w w:val="93"/>
              </w:rPr>
              <w:t>Distribution</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153,922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15,392,189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12,099,647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Holdings, Inc.</w:t>
            </w:r>
          </w:p>
        </w:tc>
        <w:tc>
          <w:tcPr>
            <w:tcW w:w="10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36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91"/>
              </w:rPr>
              <w:t>Media</w:t>
            </w:r>
          </w:p>
        </w:tc>
        <w:tc>
          <w:tcPr>
            <w:tcW w:w="10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15.00%</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873,289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30,011,026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Preferred Equity</w:t>
            </w:r>
          </w:p>
        </w:tc>
        <w:tc>
          <w:tcPr>
            <w:tcW w:w="1020" w:type="dxa"/>
            <w:vAlign w:val="bottom"/>
            <w:tcBorders>
              <w:bottom w:val="single" w:sz="8" w:color="CCECFF"/>
            </w:tcBorders>
          </w:tcPr>
          <w:p>
            <w:pPr>
              <w:spacing w:after="0"/>
              <w:rPr>
                <w:sz w:val="12"/>
                <w:szCs w:val="12"/>
                <w:color w:val="auto"/>
              </w:rPr>
            </w:pPr>
          </w:p>
        </w:tc>
        <w:tc>
          <w:tcPr>
            <w:tcW w:w="236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45,403,215</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12,099,647</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Common Equity—6.0% </w:t>
            </w:r>
            <w:r>
              <w:rPr>
                <w:rFonts w:ascii="Arial" w:cs="Arial" w:eastAsia="Arial" w:hAnsi="Arial"/>
                <w:sz w:val="9"/>
                <w:szCs w:val="9"/>
                <w:b w:val="1"/>
                <w:bCs w:val="1"/>
                <w:color w:val="auto"/>
              </w:rPr>
              <w:t>(6)</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1020" w:type="dxa"/>
            <w:vAlign w:val="bottom"/>
          </w:tcPr>
          <w:p>
            <w:pPr>
              <w:ind w:left="380"/>
              <w:spacing w:after="0"/>
              <w:rPr>
                <w:sz w:val="20"/>
                <w:szCs w:val="20"/>
                <w:color w:val="auto"/>
              </w:rPr>
            </w:pPr>
            <w:r>
              <w:rPr>
                <w:rFonts w:ascii="Arial" w:cs="Arial" w:eastAsia="Arial" w:hAnsi="Arial"/>
                <w:sz w:val="12"/>
                <w:szCs w:val="12"/>
                <w:color w:val="auto"/>
              </w:rPr>
              <w:t>—</w:t>
            </w:r>
          </w:p>
        </w:tc>
        <w:tc>
          <w:tcPr>
            <w:tcW w:w="2360" w:type="dxa"/>
            <w:vAlign w:val="bottom"/>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950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132,497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3,987,794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MidOcean JF Holdings Corp.</w:t>
            </w:r>
          </w:p>
        </w:tc>
        <w:tc>
          <w:tcPr>
            <w:tcW w:w="10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3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Distribution</w:t>
            </w:r>
          </w:p>
        </w:tc>
        <w:tc>
          <w:tcPr>
            <w:tcW w:w="10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65,933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24,761,831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RAM Energy Holdings LLC</w:t>
            </w:r>
          </w:p>
        </w:tc>
        <w:tc>
          <w:tcPr>
            <w:tcW w:w="1020" w:type="dxa"/>
            <w:vAlign w:val="bottom"/>
          </w:tcPr>
          <w:p>
            <w:pPr>
              <w:ind w:left="380"/>
              <w:spacing w:after="0"/>
              <w:rPr>
                <w:sz w:val="20"/>
                <w:szCs w:val="20"/>
                <w:color w:val="auto"/>
              </w:rPr>
            </w:pPr>
            <w:r>
              <w:rPr>
                <w:rFonts w:ascii="Arial" w:cs="Arial" w:eastAsia="Arial" w:hAnsi="Arial"/>
                <w:sz w:val="12"/>
                <w:szCs w:val="12"/>
                <w:color w:val="auto"/>
              </w:rPr>
              <w:t>—</w:t>
            </w:r>
          </w:p>
        </w:tc>
        <w:tc>
          <w:tcPr>
            <w:tcW w:w="2360" w:type="dxa"/>
            <w:vAlign w:val="bottom"/>
          </w:tcPr>
          <w:p>
            <w:pPr>
              <w:jc w:val="center"/>
              <w:ind w:right="2"/>
              <w:spacing w:after="0"/>
              <w:rPr>
                <w:sz w:val="20"/>
                <w:szCs w:val="20"/>
                <w:color w:val="auto"/>
              </w:rPr>
            </w:pPr>
            <w:r>
              <w:rPr>
                <w:rFonts w:ascii="Arial" w:cs="Arial" w:eastAsia="Arial" w:hAnsi="Arial"/>
                <w:sz w:val="12"/>
                <w:szCs w:val="12"/>
                <w:color w:val="auto"/>
                <w:w w:val="90"/>
              </w:rPr>
              <w:t>Energy and Utilities</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84,747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76,264,739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33,914,960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Holdings, Inc.</w:t>
            </w:r>
          </w:p>
        </w:tc>
        <w:tc>
          <w:tcPr>
            <w:tcW w:w="10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36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91"/>
              </w:rPr>
              <w:t>Media</w:t>
            </w:r>
          </w:p>
        </w:tc>
        <w:tc>
          <w:tcPr>
            <w:tcW w:w="10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11,100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2,211,000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w:t>
            </w:r>
          </w:p>
        </w:tc>
        <w:tc>
          <w:tcPr>
            <w:tcW w:w="1020" w:type="dxa"/>
            <w:vAlign w:val="bottom"/>
            <w:tcBorders>
              <w:bottom w:val="single" w:sz="8" w:color="CCECFF"/>
            </w:tcBorders>
          </w:tcPr>
          <w:p>
            <w:pPr>
              <w:spacing w:after="0"/>
              <w:rPr>
                <w:sz w:val="12"/>
                <w:szCs w:val="12"/>
                <w:color w:val="auto"/>
              </w:rPr>
            </w:pPr>
          </w:p>
        </w:tc>
        <w:tc>
          <w:tcPr>
            <w:tcW w:w="236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103,370,067</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37,902,754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255,574,317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148,735,885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Investments—180.0%</w:t>
            </w:r>
          </w:p>
        </w:tc>
        <w:tc>
          <w:tcPr>
            <w:tcW w:w="1020" w:type="dxa"/>
            <w:vAlign w:val="bottom"/>
            <w:tcBorders>
              <w:bottom w:val="single" w:sz="8" w:color="CCECFF"/>
            </w:tcBorders>
          </w:tcPr>
          <w:p>
            <w:pPr>
              <w:spacing w:after="0"/>
              <w:rPr>
                <w:sz w:val="12"/>
                <w:szCs w:val="12"/>
                <w:color w:val="auto"/>
              </w:rPr>
            </w:pPr>
          </w:p>
        </w:tc>
        <w:tc>
          <w:tcPr>
            <w:tcW w:w="236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1,243,816,175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1,132,085,474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Equivalents—3.1%</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0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531,379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531,379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BNY Mellon Cash Reserve and Cash</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19,012,246</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18,974,775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020" w:type="dxa"/>
            <w:vAlign w:val="bottom"/>
            <w:tcBorders>
              <w:bottom w:val="single" w:sz="8" w:color="CCECFF"/>
            </w:tcBorders>
          </w:tcPr>
          <w:p>
            <w:pPr>
              <w:spacing w:after="0"/>
              <w:rPr>
                <w:sz w:val="12"/>
                <w:szCs w:val="12"/>
                <w:color w:val="auto"/>
              </w:rPr>
            </w:pPr>
          </w:p>
        </w:tc>
        <w:tc>
          <w:tcPr>
            <w:tcW w:w="236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19,543,625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19,506,154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Equivalents—183.1%</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1,263,359,800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1,151,591,628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bottom w:val="single" w:sz="8" w:color="CCECFF"/>
            </w:tcBorders>
            <w:vMerge w:val="restart"/>
          </w:tcPr>
          <w:p>
            <w:pPr>
              <w:spacing w:after="0"/>
              <w:rPr>
                <w:sz w:val="20"/>
                <w:szCs w:val="20"/>
                <w:color w:val="auto"/>
              </w:rPr>
            </w:pPr>
            <w:r>
              <w:rPr>
                <w:rFonts w:ascii="Arial" w:cs="Arial" w:eastAsia="Arial" w:hAnsi="Arial"/>
                <w:sz w:val="12"/>
                <w:szCs w:val="12"/>
                <w:b w:val="1"/>
                <w:bCs w:val="1"/>
                <w:color w:val="auto"/>
              </w:rPr>
              <w:t>Liabilities in Excess of Other Assets—(83.1%)</w:t>
            </w:r>
          </w:p>
        </w:tc>
        <w:tc>
          <w:tcPr>
            <w:tcW w:w="1020" w:type="dxa"/>
            <w:vAlign w:val="bottom"/>
            <w:tcBorders>
              <w:top w:val="single" w:sz="8" w:color="CCECFF"/>
            </w:tcBorders>
          </w:tcPr>
          <w:p>
            <w:pPr>
              <w:spacing w:after="0" w:line="20" w:lineRule="exact"/>
              <w:rPr>
                <w:sz w:val="1"/>
                <w:szCs w:val="1"/>
                <w:color w:val="auto"/>
              </w:rPr>
            </w:pPr>
          </w:p>
        </w:tc>
        <w:tc>
          <w:tcPr>
            <w:tcW w:w="2360" w:type="dxa"/>
            <w:vAlign w:val="bottom"/>
            <w:tcBorders>
              <w:top w:val="single" w:sz="8" w:color="CCECFF"/>
            </w:tcBorders>
          </w:tcPr>
          <w:p>
            <w:pPr>
              <w:spacing w:after="0" w:line="20" w:lineRule="exact"/>
              <w:rPr>
                <w:sz w:val="1"/>
                <w:szCs w:val="1"/>
                <w:color w:val="auto"/>
              </w:rPr>
            </w:pPr>
          </w:p>
        </w:tc>
        <w:tc>
          <w:tcPr>
            <w:tcW w:w="9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5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4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8"/>
              </w:rPr>
              <w:t>(522,689,733)</w:t>
            </w:r>
          </w:p>
        </w:tc>
        <w:tc>
          <w:tcPr>
            <w:tcW w:w="0" w:type="dxa"/>
            <w:vAlign w:val="bottom"/>
          </w:tcPr>
          <w:p>
            <w:pPr>
              <w:spacing w:after="0"/>
              <w:rPr>
                <w:sz w:val="1"/>
                <w:szCs w:val="1"/>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Net Assets—100.0%</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628,901,895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tcBorders>
          </w:tcPr>
          <w:p>
            <w:pPr>
              <w:spacing w:after="0" w:line="20" w:lineRule="exact"/>
              <w:rPr>
                <w:sz w:val="1"/>
                <w:szCs w:val="1"/>
                <w:color w:val="auto"/>
              </w:rPr>
            </w:pPr>
          </w:p>
        </w:tc>
        <w:tc>
          <w:tcPr>
            <w:tcW w:w="1020" w:type="dxa"/>
            <w:vAlign w:val="bottom"/>
            <w:tcBorders>
              <w:top w:val="single" w:sz="8" w:color="CCECFF"/>
            </w:tcBorders>
          </w:tcPr>
          <w:p>
            <w:pPr>
              <w:spacing w:after="0" w:line="20" w:lineRule="exact"/>
              <w:rPr>
                <w:sz w:val="1"/>
                <w:szCs w:val="1"/>
                <w:color w:val="auto"/>
              </w:rPr>
            </w:pPr>
          </w:p>
        </w:tc>
        <w:tc>
          <w:tcPr>
            <w:tcW w:w="2360" w:type="dxa"/>
            <w:vAlign w:val="bottom"/>
            <w:tcBorders>
              <w:top w:val="single" w:sz="8" w:color="CCECFF"/>
            </w:tcBorders>
          </w:tcPr>
          <w:p>
            <w:pPr>
              <w:spacing w:after="0" w:line="20" w:lineRule="exact"/>
              <w:rPr>
                <w:sz w:val="1"/>
                <w:szCs w:val="1"/>
                <w:color w:val="auto"/>
              </w:rPr>
            </w:pPr>
          </w:p>
        </w:tc>
        <w:tc>
          <w:tcPr>
            <w:tcW w:w="9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5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455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30" w:lineRule="exact"/>
        <w:rPr>
          <w:sz w:val="20"/>
          <w:szCs w:val="20"/>
          <w:color w:val="auto"/>
        </w:rPr>
      </w:pPr>
    </w:p>
    <w:p>
      <w:pPr>
        <w:ind w:left="380" w:hanging="372"/>
        <w:spacing w:after="0" w:line="243"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80" w:right="40" w:hanging="372"/>
        <w:spacing w:after="0" w:line="256"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LIBOR “L”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at the borrower’s option. All securities are subject to a LIBOR or Prime rate floor where a spread is provided, unless noted. The spread includes PIK interest and other fee rates, if any.</w:t>
      </w: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as denoted.</w:t>
      </w:r>
    </w:p>
    <w:p>
      <w:pPr>
        <w:ind w:left="380" w:right="20" w:hanging="372"/>
        <w:spacing w:after="0" w:line="256"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2018, qualifying assets represent 88% of the Company’s total assets and non-qualifying assets represent 12% of the Company’s total assets.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center"/>
        <w:ind w:right="60"/>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60"/>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3"/>
          <w:szCs w:val="13"/>
          <w:color w:val="auto"/>
        </w:rPr>
        <w:t>PennantPark Investment Corporation was organized as a Maryland corporation in January 2007. We are a closed-end, externally managed, non-diversified investment company that has elected to be treated as a BDC under the 1940 Act. Our investment objectives are to generate both current income and capital appreciation while seeking to preserve capital through debt and equity investments. We invest primarily in U.S. middle-market companies in the form of first lien secured debt, second lien secured debt and subordinated debt and, to a lesser extent, equity investments. On April 24, 2007, we closed our initial public offering and our common stock trades on the NASDAQ Global Select Market under the symbol “PNNT.”</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3"/>
          <w:szCs w:val="13"/>
          <w:color w:val="auto"/>
        </w:rPr>
        <w:t>We have entered into an investment management agreement, or the Investment Management Agreement, with the Investment Adviser, an external adviser that manages our day-to-day operations. PennantPark Investment, through the Investment Adviser, manages day-to-day operations of and provides investment advisory services to each of our SBIC Funds under separate investment management agreements. We have also entered into an administration agreement, or the Administration Agreement, with the Administrator, which provides the administrative services necessary for us to operate. PennantPark Investment, through the Administrator, also provides similar services to each of our SBIC Funds under a separate administration agreement. See Note 3.</w:t>
      </w:r>
    </w:p>
    <w:p>
      <w:pPr>
        <w:spacing w:after="0" w:line="107" w:lineRule="exact"/>
        <w:rPr>
          <w:sz w:val="20"/>
          <w:szCs w:val="20"/>
          <w:color w:val="auto"/>
        </w:rPr>
      </w:pPr>
    </w:p>
    <w:p>
      <w:pPr>
        <w:ind w:right="220" w:firstLine="456"/>
        <w:spacing w:after="0" w:line="238" w:lineRule="auto"/>
        <w:rPr>
          <w:sz w:val="20"/>
          <w:szCs w:val="20"/>
          <w:color w:val="auto"/>
        </w:rPr>
      </w:pPr>
      <w:r>
        <w:rPr>
          <w:rFonts w:ascii="Arial" w:cs="Arial" w:eastAsia="Arial" w:hAnsi="Arial"/>
          <w:sz w:val="14"/>
          <w:szCs w:val="14"/>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15" w:lineRule="exact"/>
        <w:rPr>
          <w:sz w:val="20"/>
          <w:szCs w:val="20"/>
          <w:color w:val="auto"/>
        </w:rPr>
      </w:pPr>
    </w:p>
    <w:p>
      <w:pPr>
        <w:ind w:right="20" w:firstLine="456"/>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February 2019. We formed Funding I in order to establish the BNP Credit Facility. The Investment Adviser serves as the servicer to Funding I and has irrevocably directed that the management fee owed to it with respect to such services be paid to us so long as the Investment Adviser remains the servicer. This arrangement does not increase our consolidated management fee. The BNP Credit Facility allows Funding I to borrow up to $250 million as of March 31, 2019 at LIBOR plus 260 basis points during the reinvestment period. The BNP Credit Facility is secured by all of the assets held by Funding I. See Note 10.</w:t>
      </w:r>
    </w:p>
    <w:p>
      <w:pPr>
        <w:spacing w:after="0" w:line="107" w:lineRule="exact"/>
        <w:rPr>
          <w:sz w:val="20"/>
          <w:szCs w:val="20"/>
          <w:color w:val="auto"/>
        </w:rPr>
      </w:pPr>
    </w:p>
    <w:p>
      <w:pPr>
        <w:ind w:right="200" w:firstLine="456"/>
        <w:spacing w:after="0" w:line="253" w:lineRule="auto"/>
        <w:rPr>
          <w:sz w:val="20"/>
          <w:szCs w:val="20"/>
          <w:color w:val="auto"/>
        </w:rPr>
      </w:pPr>
      <w:r>
        <w:rPr>
          <w:rFonts w:ascii="Arial" w:cs="Arial" w:eastAsia="Arial" w:hAnsi="Arial"/>
          <w:sz w:val="14"/>
          <w:szCs w:val="14"/>
          <w:color w:val="auto"/>
        </w:rPr>
        <w:t>We have formed and expect to continue to form certain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40" w:lineRule="exact"/>
        <w:rPr>
          <w:sz w:val="20"/>
          <w:szCs w:val="20"/>
          <w:color w:val="auto"/>
        </w:rPr>
      </w:pPr>
    </w:p>
    <w:p>
      <w:pPr>
        <w:ind w:right="40" w:firstLine="468"/>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11" w:lineRule="exact"/>
        <w:rPr>
          <w:sz w:val="20"/>
          <w:szCs w:val="20"/>
          <w:color w:val="auto"/>
        </w:rPr>
      </w:pPr>
    </w:p>
    <w:p>
      <w:pPr>
        <w:jc w:val="both"/>
        <w:ind w:right="100" w:firstLine="456"/>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36" w:lineRule="exact"/>
        <w:rPr>
          <w:sz w:val="20"/>
          <w:szCs w:val="20"/>
          <w:color w:val="auto"/>
        </w:rPr>
      </w:pPr>
    </w:p>
    <w:p>
      <w:pPr>
        <w:ind w:left="1080" w:hanging="824"/>
        <w:spacing w:after="0"/>
        <w:tabs>
          <w:tab w:leader="none" w:pos="1080" w:val="left"/>
        </w:tabs>
        <w:numPr>
          <w:ilvl w:val="0"/>
          <w:numId w:val="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right="120" w:firstLine="45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1" w:lineRule="exact"/>
        <w:rPr>
          <w:sz w:val="20"/>
          <w:szCs w:val="20"/>
          <w:color w:val="auto"/>
        </w:rPr>
      </w:pPr>
    </w:p>
    <w:p>
      <w:pPr>
        <w:ind w:right="400" w:firstLine="444"/>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980" w:right="240" w:hanging="432"/>
        <w:spacing w:after="0" w:line="253" w:lineRule="auto"/>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106" w:lineRule="exact"/>
        <w:rPr>
          <w:rFonts w:ascii="Arial" w:cs="Arial" w:eastAsia="Arial" w:hAnsi="Arial"/>
          <w:sz w:val="14"/>
          <w:szCs w:val="14"/>
          <w:color w:val="auto"/>
        </w:rPr>
      </w:pPr>
    </w:p>
    <w:p>
      <w:pPr>
        <w:ind w:left="980" w:hanging="432"/>
        <w:spacing w:after="0"/>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136" w:lineRule="exact"/>
        <w:rPr>
          <w:rFonts w:ascii="Arial" w:cs="Arial" w:eastAsia="Arial" w:hAnsi="Arial"/>
          <w:sz w:val="14"/>
          <w:szCs w:val="14"/>
          <w:color w:val="auto"/>
        </w:rPr>
      </w:pPr>
    </w:p>
    <w:p>
      <w:pPr>
        <w:ind w:left="980" w:right="120" w:hanging="432"/>
        <w:spacing w:after="0" w:line="264" w:lineRule="auto"/>
        <w:tabs>
          <w:tab w:leader="none" w:pos="98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80" w:right="260" w:hanging="432"/>
        <w:spacing w:after="0" w:line="238" w:lineRule="auto"/>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4" w:name="page15"/>
    <w:bookmarkEnd w:id="14"/>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99"/>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left="980" w:right="80" w:hanging="432"/>
        <w:spacing w:after="0" w:line="253" w:lineRule="auto"/>
        <w:tabs>
          <w:tab w:leader="none" w:pos="98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240" w:firstLine="452"/>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92" w:lineRule="exact"/>
        <w:rPr>
          <w:sz w:val="20"/>
          <w:szCs w:val="20"/>
          <w:color w:val="auto"/>
        </w:rPr>
      </w:pPr>
    </w:p>
    <w:p>
      <w:pPr>
        <w:ind w:left="1080" w:hanging="824"/>
        <w:spacing w:after="0"/>
        <w:tabs>
          <w:tab w:leader="none" w:pos="1080"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Security Transactions, Revenue Recognition, and Realized/Unrealized Gains or Losses</w:t>
      </w:r>
    </w:p>
    <w:p>
      <w:pPr>
        <w:spacing w:after="0" w:line="136" w:lineRule="exact"/>
        <w:rPr>
          <w:sz w:val="20"/>
          <w:szCs w:val="20"/>
          <w:color w:val="auto"/>
        </w:rPr>
      </w:pPr>
    </w:p>
    <w:p>
      <w:pPr>
        <w:ind w:firstLine="452"/>
        <w:spacing w:after="0" w:line="255" w:lineRule="auto"/>
        <w:rPr>
          <w:sz w:val="20"/>
          <w:szCs w:val="20"/>
          <w:color w:val="auto"/>
        </w:rPr>
      </w:pPr>
      <w:r>
        <w:rPr>
          <w:rFonts w:ascii="Arial" w:cs="Arial" w:eastAsia="Arial" w:hAnsi="Arial"/>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the Credit Facilities and the 2019 Notes during the reporting period, including any reversal of previously recorded unrealized appreciation or depreciation, when gains or losses are realized.</w:t>
      </w:r>
    </w:p>
    <w:p>
      <w:pPr>
        <w:spacing w:after="0" w:line="107" w:lineRule="exact"/>
        <w:rPr>
          <w:sz w:val="20"/>
          <w:szCs w:val="20"/>
          <w:color w:val="auto"/>
        </w:rPr>
      </w:pPr>
    </w:p>
    <w:p>
      <w:pPr>
        <w:ind w:right="20" w:firstLine="452"/>
        <w:spacing w:after="0" w:line="271"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97" w:lineRule="exact"/>
        <w:rPr>
          <w:sz w:val="20"/>
          <w:szCs w:val="20"/>
          <w:color w:val="auto"/>
        </w:rPr>
      </w:pPr>
    </w:p>
    <w:p>
      <w:pPr>
        <w:ind w:right="160" w:firstLine="454"/>
        <w:spacing w:after="0" w:line="296"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83" w:lineRule="exact"/>
        <w:rPr>
          <w:sz w:val="20"/>
          <w:szCs w:val="20"/>
          <w:color w:val="auto"/>
        </w:rPr>
      </w:pPr>
    </w:p>
    <w:p>
      <w:pPr>
        <w:ind w:left="1060" w:hanging="804"/>
        <w:spacing w:after="0"/>
        <w:tabs>
          <w:tab w:leader="none" w:pos="106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Income Taxes</w:t>
      </w:r>
    </w:p>
    <w:p>
      <w:pPr>
        <w:spacing w:after="0" w:line="136" w:lineRule="exact"/>
        <w:rPr>
          <w:sz w:val="20"/>
          <w:szCs w:val="20"/>
          <w:color w:val="auto"/>
        </w:rPr>
      </w:pPr>
    </w:p>
    <w:p>
      <w:pPr>
        <w:ind w:right="20" w:firstLine="452"/>
        <w:spacing w:after="0" w:line="227" w:lineRule="auto"/>
        <w:rPr>
          <w:sz w:val="20"/>
          <w:szCs w:val="20"/>
          <w:color w:val="auto"/>
        </w:rPr>
      </w:pPr>
      <w:r>
        <w:rPr>
          <w:rFonts w:ascii="Arial" w:cs="Arial" w:eastAsia="Arial" w:hAnsi="Arial"/>
          <w:sz w:val="14"/>
          <w:szCs w:val="14"/>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we do not anticipate incurring any material federal income taxes. However, we may choose to retain a portion of our calendar year income, which may result in the imposition of an excise tax. Additionally, certain of the Company’s consolidated subsidiaries are subject to U.S. federal and state income taxes. For the three and six months ended March 31, 2019, we recorded a provision for taxes of $0.3 million ($0.1 million of excise tax and $0.2 million of U.S. federal and state income taxes related to the Taxable Subsidiaries) and $0.6 million ($0.2 million of excise tax and $0.4 million of U.S. federal and state income taxes related to the Taxable Subsidiaries), respectively. For both the three and six months ended March 31, 2018, we did not record a provision for taxes.</w:t>
      </w:r>
    </w:p>
    <w:p>
      <w:pPr>
        <w:spacing w:after="0" w:line="118"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As of March 31, 2019,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40" w:lineRule="exact"/>
        <w:rPr>
          <w:sz w:val="20"/>
          <w:szCs w:val="20"/>
          <w:color w:val="auto"/>
        </w:rPr>
      </w:pPr>
    </w:p>
    <w:p>
      <w:pPr>
        <w:ind w:right="240" w:firstLine="452"/>
        <w:spacing w:after="0" w:line="296" w:lineRule="auto"/>
        <w:rPr>
          <w:sz w:val="20"/>
          <w:szCs w:val="20"/>
          <w:color w:val="auto"/>
        </w:rPr>
      </w:pPr>
      <w:r>
        <w:rPr>
          <w:rFonts w:ascii="Arial" w:cs="Arial" w:eastAsia="Arial" w:hAnsi="Arial"/>
          <w:sz w:val="12"/>
          <w:szCs w:val="12"/>
          <w:color w:val="auto"/>
        </w:rPr>
        <w:t>Because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83" w:lineRule="exact"/>
        <w:rPr>
          <w:sz w:val="20"/>
          <w:szCs w:val="20"/>
          <w:color w:val="auto"/>
        </w:rPr>
      </w:pPr>
    </w:p>
    <w:p>
      <w:pPr>
        <w:ind w:left="1080" w:hanging="824"/>
        <w:spacing w:after="0"/>
        <w:tabs>
          <w:tab w:leader="none" w:pos="108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Distributions and Capital Transactions</w:t>
      </w:r>
    </w:p>
    <w:p>
      <w:pPr>
        <w:spacing w:after="0" w:line="136" w:lineRule="exact"/>
        <w:rPr>
          <w:sz w:val="20"/>
          <w:szCs w:val="20"/>
          <w:color w:val="auto"/>
        </w:rPr>
      </w:pPr>
    </w:p>
    <w:p>
      <w:pPr>
        <w:ind w:right="300" w:firstLine="452"/>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15" w:lineRule="exact"/>
        <w:rPr>
          <w:sz w:val="20"/>
          <w:szCs w:val="20"/>
          <w:color w:val="auto"/>
        </w:rPr>
      </w:pPr>
    </w:p>
    <w:p>
      <w:pPr>
        <w:ind w:right="120" w:firstLine="434"/>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06" w:lineRule="exact"/>
        <w:rPr>
          <w:sz w:val="20"/>
          <w:szCs w:val="20"/>
          <w:color w:val="auto"/>
        </w:rPr>
      </w:pPr>
    </w:p>
    <w:p>
      <w:pPr>
        <w:ind w:left="1060" w:hanging="804"/>
        <w:spacing w:after="0"/>
        <w:tabs>
          <w:tab w:leader="none" w:pos="1060" w:val="left"/>
        </w:tabs>
        <w:numPr>
          <w:ilvl w:val="0"/>
          <w:numId w:val="1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1180" w:hanging="362"/>
        <w:spacing w:after="0"/>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ind w:left="1180" w:hanging="362"/>
        <w:spacing w:after="0"/>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200" w:lineRule="exact"/>
        <w:rPr>
          <w:sz w:val="20"/>
          <w:szCs w:val="20"/>
          <w:color w:val="auto"/>
        </w:rPr>
      </w:pP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15" w:name="page16"/>
    <w:bookmarkEnd w:id="15"/>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jc w:val="both"/>
        <w:ind w:right="260" w:firstLine="45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ind w:right="200" w:firstLine="452"/>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ind w:left="1040" w:hanging="784"/>
        <w:spacing w:after="0"/>
        <w:tabs>
          <w:tab w:leader="none" w:pos="1040" w:val="left"/>
        </w:tabs>
        <w:numPr>
          <w:ilvl w:val="0"/>
          <w:numId w:val="1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Consolidation</w:t>
      </w:r>
    </w:p>
    <w:p>
      <w:pPr>
        <w:spacing w:after="0" w:line="136" w:lineRule="exact"/>
        <w:rPr>
          <w:sz w:val="20"/>
          <w:szCs w:val="20"/>
          <w:color w:val="auto"/>
        </w:rPr>
      </w:pPr>
    </w:p>
    <w:p>
      <w:pPr>
        <w:jc w:val="both"/>
        <w:ind w:right="440" w:firstLine="452"/>
        <w:spacing w:after="0" w:line="238" w:lineRule="auto"/>
        <w:rPr>
          <w:sz w:val="20"/>
          <w:szCs w:val="20"/>
          <w:color w:val="auto"/>
        </w:rPr>
      </w:pPr>
      <w:r>
        <w:rPr>
          <w:rFonts w:ascii="Arial" w:cs="Arial" w:eastAsia="Arial" w:hAnsi="Arial"/>
          <w:sz w:val="14"/>
          <w:szCs w:val="14"/>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115" w:lineRule="exact"/>
        <w:rPr>
          <w:sz w:val="20"/>
          <w:szCs w:val="20"/>
          <w:color w:val="auto"/>
        </w:rPr>
      </w:pPr>
    </w:p>
    <w:p>
      <w:pPr>
        <w:ind w:left="1080" w:hanging="824"/>
        <w:spacing w:after="0"/>
        <w:tabs>
          <w:tab w:leader="none" w:pos="1080" w:val="left"/>
        </w:tabs>
        <w:numPr>
          <w:ilvl w:val="0"/>
          <w:numId w:val="1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Asset Transfers and Servicing</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Asset transfers that do not meet ASC Topic 860, Transfers and Servicing, requirements for sale accounting treatment are reflected in the Consolidated Statements of</w:t>
      </w:r>
    </w:p>
    <w:p>
      <w:pPr>
        <w:ind w:right="20"/>
        <w:spacing w:after="0" w:line="237" w:lineRule="auto"/>
        <w:rPr>
          <w:sz w:val="20"/>
          <w:szCs w:val="20"/>
          <w:color w:val="auto"/>
        </w:rPr>
      </w:pPr>
      <w:r>
        <w:rPr>
          <w:rFonts w:ascii="Arial" w:cs="Arial" w:eastAsia="Arial" w:hAnsi="Arial"/>
          <w:sz w:val="14"/>
          <w:szCs w:val="14"/>
          <w:color w:val="auto"/>
        </w:rPr>
        <w:t>Assets and Liabilities and Consolidated Schedules of Investments as investments. The creditors of Funding I have received a security interest in all its assets and such assets are not intended to be available to the creditors of PennantPark Investment or any of its affiliates.</w:t>
      </w:r>
    </w:p>
    <w:p>
      <w:pPr>
        <w:spacing w:after="0" w:line="116" w:lineRule="exact"/>
        <w:rPr>
          <w:sz w:val="20"/>
          <w:szCs w:val="20"/>
          <w:color w:val="auto"/>
        </w:rPr>
      </w:pPr>
    </w:p>
    <w:p>
      <w:pPr>
        <w:ind w:left="1080" w:hanging="824"/>
        <w:spacing w:after="0"/>
        <w:tabs>
          <w:tab w:leader="none" w:pos="1080" w:val="left"/>
        </w:tabs>
        <w:numPr>
          <w:ilvl w:val="0"/>
          <w:numId w:val="1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Recent Accounting Pronouncements</w:t>
      </w:r>
    </w:p>
    <w:p>
      <w:pPr>
        <w:spacing w:after="0" w:line="136" w:lineRule="exact"/>
        <w:rPr>
          <w:sz w:val="20"/>
          <w:szCs w:val="20"/>
          <w:color w:val="auto"/>
        </w:rPr>
      </w:pPr>
    </w:p>
    <w:p>
      <w:pPr>
        <w:ind w:firstLine="456"/>
        <w:spacing w:after="0" w:line="231" w:lineRule="auto"/>
        <w:rPr>
          <w:sz w:val="20"/>
          <w:szCs w:val="20"/>
          <w:color w:val="auto"/>
        </w:rPr>
      </w:pPr>
      <w:r>
        <w:rPr>
          <w:rFonts w:ascii="Arial" w:cs="Arial" w:eastAsia="Arial" w:hAnsi="Arial"/>
          <w:sz w:val="14"/>
          <w:szCs w:val="14"/>
          <w:color w:val="auto"/>
        </w:rPr>
        <w:t>In August 2018, the FASB issued Accounting Standards Update, or ASU, 2018-13, Fair Value Measurement (Topic 820): Disclosure Framework - Changes to the Disclosure Requirements for Fair Value Measurement, or ASU 2018-13, which changed the fair value measurement disclosure requirements of ASC Topic 820, Fair Value Measurements and Disclosures, or ASC 820. The key provisions include new, eliminated and modified disclosure requirements. The new guidance is effective for fiscal years beginning after December 15, 2019,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16" w:lineRule="exact"/>
        <w:rPr>
          <w:sz w:val="20"/>
          <w:szCs w:val="20"/>
          <w:color w:val="auto"/>
        </w:rPr>
      </w:pPr>
    </w:p>
    <w:p>
      <w:pPr>
        <w:ind w:right="180" w:firstLine="452"/>
        <w:spacing w:after="0" w:line="233" w:lineRule="auto"/>
        <w:rPr>
          <w:sz w:val="20"/>
          <w:szCs w:val="20"/>
          <w:color w:val="auto"/>
        </w:rPr>
      </w:pPr>
      <w:r>
        <w:rPr>
          <w:rFonts w:ascii="Arial" w:cs="Arial" w:eastAsia="Arial" w:hAnsi="Arial"/>
          <w:sz w:val="14"/>
          <w:szCs w:val="14"/>
          <w:color w:val="auto"/>
        </w:rPr>
        <w:t>In August 2018, the SEC issued Securities Act Release No. 33-10532, Disclosure Update and Simplification, or the Final Rule Release, amending certain disclosure requirements that were redundant, duplicative, overlapping, outdated or superseded. The amendments are intended to facilitate the disclosure of information to investors and simplify compliance. The Final Rule Release became effective for all filings on or after November 5, 2018. We adopted these amendments as currently required and these are reflected in the Company’s consolidated financial statements and related disclosures. Certain prior year information has been adjusted to conform to these amendments.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140"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Under the Investment Management Agreement, we implemented the previously announced permanent reductions in base management and incentive fees, effective January 1, 2018. The Investment Management Agreement with the Investment Adviser was reapproved by our board of directors, including a majority of our directors who are not interested persons of us or the Investment Adviser, in February 2019. Under the Investment Management Agreement, the Investment Adviser, subject to the overall supervision of our board of directors, manages the day-to-day operations of and provides investment advisory services to us. The Investment Adviser serves as the servicer to Funding I and has irrevocably directed that the management fee owed to it with respect to such services be paid to the Company so long as the Investment Adviser remains the servicer. Our SBIC Funds’ investment management agreements do not affect the management or incentive fees that we pay to the Investment Adviser on a consolidated basis. For providing these services, the Investment Adviser receives a fee from us, consisting of two components— a base management fee and an incentive fee or, collectively, Management Fees.</w:t>
      </w:r>
    </w:p>
    <w:p>
      <w:pPr>
        <w:spacing w:after="0" w:line="117" w:lineRule="exact"/>
        <w:rPr>
          <w:sz w:val="20"/>
          <w:szCs w:val="20"/>
          <w:color w:val="auto"/>
        </w:rPr>
      </w:pPr>
    </w:p>
    <w:p>
      <w:pPr>
        <w:ind w:right="120" w:firstLine="452"/>
        <w:spacing w:after="0" w:line="264" w:lineRule="auto"/>
        <w:rPr>
          <w:sz w:val="20"/>
          <w:szCs w:val="20"/>
          <w:color w:val="auto"/>
        </w:rPr>
      </w:pPr>
      <w:r>
        <w:rPr>
          <w:rFonts w:ascii="Arial" w:cs="Arial" w:eastAsia="Arial" w:hAnsi="Arial"/>
          <w:sz w:val="12"/>
          <w:szCs w:val="12"/>
          <w:color w:val="auto"/>
        </w:rPr>
        <w:t>Effective January 1, 2018, 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 under the 1940 Act to the Company, our board of directors also approved an amendment to the Investment Advisory Agreement reducing the Investment Advisor’s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See Note 14.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From December 31, 2015 through December 31, 2017, the Investment Adviser voluntarily agreed, in consultation with the board of directors, to irrevocably waive 16% of base management fees, correlated to our 16% energy exposure (oil &amp; gas and energy &amp; utilities industries) at cost as of December 31, 2015. For the three and six months ended March 31, 2019, the Investment Adviser earned a base management fee of $4.5 million and $8.9 million, respectively, from us. For the three and six months ended March 31, 2018, the Investment Adviser earned a base management fee of $3.9 million and $8.7 million (after a waiver of $0.9 million), respectively, from us.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right="60" w:firstLine="438"/>
        <w:spacing w:after="0" w:line="266"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Effective January 1, 2018,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340" w:lineRule="exact"/>
        <w:rPr>
          <w:sz w:val="20"/>
          <w:szCs w:val="20"/>
          <w:color w:val="auto"/>
        </w:rPr>
      </w:pPr>
    </w:p>
    <w:p>
      <w:pPr>
        <w:ind w:right="60"/>
        <w:spacing w:after="0" w:line="267" w:lineRule="auto"/>
        <w:rPr>
          <w:sz w:val="20"/>
          <w:szCs w:val="20"/>
          <w:color w:val="auto"/>
        </w:rPr>
      </w:pPr>
      <w:r>
        <w:rPr>
          <w:rFonts w:ascii="Arial" w:cs="Arial" w:eastAsia="Arial" w:hAnsi="Arial"/>
          <w:sz w:val="12"/>
          <w:szCs w:val="12"/>
          <w:color w:val="auto"/>
        </w:rPr>
        <w:t>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periods prior to January 1, 2018, we paid the Investment Adviser an incentive fee with respect to our Pre-Incentive Fee Net Investment Income in each calendar quarter as follows: (1) no incentive fee in any calendar quarter in which our Pre-Incentive Fee Net Investment Income did not exceed the hurdle rate of 1.75%, (2) 100% of our Pre-Incentive Fee Net Investment Income with respect to that portion of such Pre-Incentive Fee Net Investment Income, if any, that exceeded the hurdle rate but was less than 2.1875% in any calendar quarter (8.75% annualized), and (3) 20% of the amount of our Pre-Incentive Fee Net Investment Income, if any, that exceeded 2.1875% in any calendar quarter. From December 31, 2015 through December 31, 2017, the Investment Adviser voluntarily agreed, in consultation with the board of directors, to irrevocably waive 16% of incentive fees, correlated to our 16% energy cost exposure (oil &amp; gas and energy &amp; utilities industries) at cost as of December 31, 2015. For the three and six months ended March 31, 2019, the Investment Adviser earned less than $0.1 million and $2.7 million, respectively, in incentive fees on net investment income from us. For the three and six months ended March 31, 2018, the Investment Adviser earned $2.8 million and $5.5 million (after a waiver of $0.5 million), respectively, in incentive fees on net investment income from us.</w:t>
      </w:r>
    </w:p>
    <w:p>
      <w:pPr>
        <w:spacing w:after="0" w:line="130" w:lineRule="exact"/>
        <w:rPr>
          <w:sz w:val="20"/>
          <w:szCs w:val="20"/>
          <w:color w:val="auto"/>
        </w:rPr>
      </w:pPr>
    </w:p>
    <w:p>
      <w:pPr>
        <w:ind w:right="60" w:firstLine="438"/>
        <w:spacing w:after="0" w:line="283" w:lineRule="auto"/>
        <w:rPr>
          <w:sz w:val="20"/>
          <w:szCs w:val="20"/>
          <w:color w:val="auto"/>
        </w:rPr>
      </w:pPr>
      <w:r>
        <w:rPr>
          <w:rFonts w:ascii="Arial" w:cs="Arial" w:eastAsia="Arial" w:hAnsi="Arial"/>
          <w:sz w:val="12"/>
          <w:szCs w:val="12"/>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and six months ended March 31, 2019 and 2018, the Investment Adviser did not accrue an incentive fee on capital gains as calculated under the Investment Management Agreement (as described above).</w:t>
      </w:r>
    </w:p>
    <w:p>
      <w:pPr>
        <w:spacing w:after="0" w:line="119" w:lineRule="exact"/>
        <w:rPr>
          <w:sz w:val="20"/>
          <w:szCs w:val="20"/>
          <w:color w:val="auto"/>
        </w:rPr>
      </w:pPr>
    </w:p>
    <w:p>
      <w:pPr>
        <w:ind w:right="200" w:firstLine="432"/>
        <w:spacing w:after="0" w:line="271" w:lineRule="auto"/>
        <w:rPr>
          <w:sz w:val="20"/>
          <w:szCs w:val="20"/>
          <w:color w:val="auto"/>
        </w:rPr>
      </w:pPr>
      <w:r>
        <w:rPr>
          <w:rFonts w:ascii="Arial" w:cs="Arial" w:eastAsia="Arial" w:hAnsi="Arial"/>
          <w:sz w:val="12"/>
          <w:szCs w:val="12"/>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(20.0% for periods prior to January 1, 2018), less the aggregate amount of actual capital gains related to incentive fees paid in all prior years. If such amount is negative, then there is no accrual for such year. There can be no assurance that such unrealized capital appreciation will be realized in the future. For each of the three and six months ended March 31, 2019 and 2018, the Investment Adviser did not accrue an incentive fee on capital gains as calculated under GAAP.</w:t>
      </w:r>
    </w:p>
    <w:p>
      <w:pPr>
        <w:spacing w:after="0" w:line="97" w:lineRule="exact"/>
        <w:rPr>
          <w:sz w:val="20"/>
          <w:szCs w:val="20"/>
          <w:color w:val="auto"/>
        </w:rPr>
      </w:pPr>
    </w:p>
    <w:p>
      <w:pPr>
        <w:ind w:right="180" w:firstLine="434"/>
        <w:spacing w:after="0" w:line="244"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our directors who are not interested persons of us, in February 2019.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six months ended March 31, 2019, we reimbursed the Investment Adviser approximately $0.8 million and $1.1 million, respectively, including expenses the Investment Adviser incurred on behalf of the Administrator, for services described above. For the three and six months ended March 31, 2018, we reimbursed the Investment Adviser approximately $0.7 million and $1.0 million, respectively, including expenses the Investment Adviser incurred on behalf of the Administrator, for services described above.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There were no transactions subject to Rule 17a-7 under the 1940 Act during both the three and six months ended March 31, 2019 and 2018.</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right="260" w:firstLine="434"/>
        <w:spacing w:after="0" w:line="296" w:lineRule="auto"/>
        <w:rPr>
          <w:sz w:val="20"/>
          <w:szCs w:val="20"/>
          <w:color w:val="auto"/>
        </w:rPr>
      </w:pPr>
      <w:r>
        <w:rPr>
          <w:rFonts w:ascii="Arial" w:cs="Arial" w:eastAsia="Arial" w:hAnsi="Arial"/>
          <w:sz w:val="12"/>
          <w:szCs w:val="12"/>
          <w:color w:val="auto"/>
        </w:rPr>
        <w:t>Purchases of investments, including PIK interest, for the three and six months ended March 31, 2019 totaled $186.7 million and $383.1 million, respectively. For the same periods in the prior year, purchases of investments, including PIK interest, totaled $100.7 million and $242.8 million, respectively. Sales and repayments of investments for the three and six months ended March 31, 2019 totaled $115.1 million and $240.9 million, respectively. For the same periods in the prior year, sales and repayments of investments totaled $246.4 million and $438.7 million, respectively.</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2019</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gridSpan w:val="5"/>
          </w:tcPr>
          <w:p>
            <w:pPr>
              <w:ind w:left="660"/>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155"/>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3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w w:val="98"/>
              </w:rPr>
              <w:t>Fair Value</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689,032,846</w:t>
            </w:r>
          </w:p>
        </w:tc>
        <w:tc>
          <w:tcPr>
            <w:tcW w:w="260" w:type="dxa"/>
            <w:vAlign w:val="bottom"/>
            <w:tcBorders>
              <w:top w:val="single" w:sz="8" w:color="CCECFF"/>
            </w:tcBorders>
            <w:shd w:val="clear" w:color="auto" w:fill="CCECFF"/>
          </w:tcPr>
          <w:p>
            <w:pPr>
              <w:spacing w:after="0"/>
              <w:rPr>
                <w:sz w:val="13"/>
                <w:szCs w:val="13"/>
                <w:color w:val="auto"/>
              </w:rPr>
            </w:pPr>
          </w:p>
        </w:tc>
        <w:tc>
          <w:tcPr>
            <w:tcW w:w="380" w:type="dxa"/>
            <w:vAlign w:val="bottom"/>
            <w:tcBorders>
              <w:top w:val="single" w:sz="8" w:color="auto"/>
            </w:tcBorders>
            <w:shd w:val="clear" w:color="auto" w:fill="CCECFF"/>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686,598,650</w:t>
            </w:r>
          </w:p>
        </w:tc>
        <w:tc>
          <w:tcPr>
            <w:tcW w:w="2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536,875,632</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531,422,088</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350,738,578</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349,961,359</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385,201,277</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391,038,029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51,193,381</w:t>
            </w:r>
          </w:p>
        </w:tc>
        <w:tc>
          <w:tcPr>
            <w:tcW w:w="26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49,883,838</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48,617,113</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48,127,586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305,995,337</w:t>
            </w:r>
          </w:p>
        </w:tc>
        <w:tc>
          <w:tcPr>
            <w:tcW w:w="260" w:type="dxa"/>
            <w:vAlign w:val="bottom"/>
            <w:tcBorders>
              <w:bottom w:val="single" w:sz="8" w:color="CCEC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158,228,366</w:t>
            </w:r>
          </w:p>
        </w:tc>
        <w:tc>
          <w:tcPr>
            <w:tcW w:w="2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273,122,153</w:t>
            </w:r>
          </w:p>
        </w:tc>
        <w:tc>
          <w:tcPr>
            <w:tcW w:w="26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161,497,771</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1,396,960,142</w:t>
            </w:r>
          </w:p>
        </w:tc>
        <w:tc>
          <w:tcPr>
            <w:tcW w:w="260" w:type="dxa"/>
            <w:vAlign w:val="bottom"/>
            <w:shd w:val="clear" w:color="auto" w:fill="CCECFF"/>
          </w:tcPr>
          <w:p>
            <w:pPr>
              <w:spacing w:after="0"/>
              <w:rPr>
                <w:sz w:val="13"/>
                <w:szCs w:val="13"/>
                <w:color w:val="auto"/>
              </w:rPr>
            </w:pPr>
          </w:p>
        </w:tc>
        <w:tc>
          <w:tcPr>
            <w:tcW w:w="380" w:type="dxa"/>
            <w:vAlign w:val="bottom"/>
            <w:tcBorders>
              <w:bottom w:val="single" w:sz="8" w:color="auto"/>
            </w:tcBorders>
            <w:shd w:val="clear" w:color="auto" w:fill="CCECFF"/>
          </w:tcPr>
          <w:p>
            <w:pPr>
              <w:spacing w:after="0"/>
              <w:rPr>
                <w:sz w:val="13"/>
                <w:szCs w:val="13"/>
                <w:color w:val="auto"/>
              </w:rPr>
            </w:pP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1,244,672,213</w:t>
            </w:r>
          </w:p>
        </w:tc>
        <w:tc>
          <w:tcPr>
            <w:tcW w:w="2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1,243,816,175</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1,132,085,474</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30,313,035</w:t>
            </w:r>
          </w:p>
        </w:tc>
        <w:tc>
          <w:tcPr>
            <w:tcW w:w="260" w:type="dxa"/>
            <w:vAlign w:val="bottom"/>
            <w:tcBorders>
              <w:bottom w:val="single" w:sz="8" w:color="CCEC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30,307,029</w:t>
            </w:r>
          </w:p>
        </w:tc>
        <w:tc>
          <w:tcPr>
            <w:tcW w:w="2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19,543,625</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19,506,154</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1,427,273,177</w:t>
            </w:r>
          </w:p>
        </w:tc>
        <w:tc>
          <w:tcPr>
            <w:tcW w:w="260" w:type="dxa"/>
            <w:vAlign w:val="bottom"/>
            <w:tcBorders>
              <w:bottom w:val="single" w:sz="8" w:color="CCECFF"/>
            </w:tcBorders>
            <w:shd w:val="clear" w:color="auto" w:fill="CCECFF"/>
          </w:tcPr>
          <w:p>
            <w:pPr>
              <w:spacing w:after="0"/>
              <w:rPr>
                <w:sz w:val="13"/>
                <w:szCs w:val="13"/>
                <w:color w:val="auto"/>
              </w:rPr>
            </w:pPr>
          </w:p>
        </w:tc>
        <w:tc>
          <w:tcPr>
            <w:tcW w:w="380" w:type="dxa"/>
            <w:vAlign w:val="bottom"/>
            <w:tcBorders>
              <w:bottom w:val="single" w:sz="8" w:color="auto"/>
            </w:tcBorders>
            <w:shd w:val="clear" w:color="auto" w:fill="CCECFF"/>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1,274,979,242</w:t>
            </w:r>
          </w:p>
        </w:tc>
        <w:tc>
          <w:tcPr>
            <w:tcW w:w="2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1,263,359,800</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1,151,591,628</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right="840" w:firstLine="413"/>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 as of:</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 Classification</w:t>
            </w:r>
          </w:p>
        </w:tc>
        <w:tc>
          <w:tcPr>
            <w:tcW w:w="240" w:type="dxa"/>
            <w:vAlign w:val="bottom"/>
            <w:tcBorders>
              <w:bottom w:val="single" w:sz="8" w:color="CCECFF"/>
            </w:tcBorders>
          </w:tcPr>
          <w:p>
            <w:pPr>
              <w:spacing w:after="0"/>
              <w:rPr>
                <w:sz w:val="14"/>
                <w:szCs w:val="14"/>
                <w:color w:val="auto"/>
              </w:rPr>
            </w:pPr>
          </w:p>
        </w:tc>
        <w:tc>
          <w:tcPr>
            <w:tcW w:w="2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March 31, 2019</w:t>
            </w:r>
          </w:p>
        </w:tc>
        <w:tc>
          <w:tcPr>
            <w:tcW w:w="380" w:type="dxa"/>
            <w:vAlign w:val="bottom"/>
            <w:tcBorders>
              <w:bottom w:val="single" w:sz="8" w:color="CCECFF"/>
            </w:tcBorders>
          </w:tcPr>
          <w:p>
            <w:pPr>
              <w:spacing w:after="0"/>
              <w:rPr>
                <w:sz w:val="14"/>
                <w:szCs w:val="14"/>
                <w:color w:val="auto"/>
              </w:rPr>
            </w:pPr>
          </w:p>
        </w:tc>
        <w:tc>
          <w:tcPr>
            <w:tcW w:w="2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Borders>
              <w:bottom w:val="single" w:sz="8" w:color="CCECFF"/>
            </w:tcBorders>
          </w:tcPr>
          <w:p>
            <w:pPr>
              <w:spacing w:after="0"/>
              <w:rPr>
                <w:sz w:val="14"/>
                <w:szCs w:val="14"/>
                <w:color w:val="auto"/>
              </w:rPr>
            </w:pPr>
          </w:p>
        </w:tc>
      </w:tr>
      <w:tr>
        <w:trPr>
          <w:trHeight w:val="156"/>
        </w:trPr>
        <w:tc>
          <w:tcPr>
            <w:tcW w:w="62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Healthcare, Education and Childcare</w:t>
            </w:r>
          </w:p>
        </w:tc>
        <w:tc>
          <w:tcPr>
            <w:tcW w:w="240" w:type="dxa"/>
            <w:vAlign w:val="bottom"/>
            <w:shd w:val="clear" w:color="auto" w:fill="CCECFF"/>
          </w:tcPr>
          <w:p>
            <w:pPr>
              <w:spacing w:after="0"/>
              <w:rPr>
                <w:sz w:val="13"/>
                <w:szCs w:val="13"/>
                <w:color w:val="auto"/>
              </w:rPr>
            </w:pPr>
          </w:p>
        </w:tc>
        <w:tc>
          <w:tcPr>
            <w:tcW w:w="2520" w:type="dxa"/>
            <w:vAlign w:val="bottom"/>
            <w:gridSpan w:val="2"/>
            <w:shd w:val="clear" w:color="auto" w:fill="CCECFF"/>
          </w:tcPr>
          <w:p>
            <w:pPr>
              <w:jc w:val="right"/>
              <w:ind w:right="260"/>
              <w:spacing w:after="0" w:line="155" w:lineRule="exact"/>
              <w:rPr>
                <w:sz w:val="20"/>
                <w:szCs w:val="20"/>
                <w:color w:val="auto"/>
              </w:rPr>
            </w:pPr>
            <w:r>
              <w:rPr>
                <w:rFonts w:ascii="Arial" w:cs="Arial" w:eastAsia="Arial" w:hAnsi="Arial"/>
                <w:sz w:val="14"/>
                <w:szCs w:val="14"/>
                <w:color w:val="auto"/>
              </w:rPr>
              <w:t>13%</w:t>
            </w:r>
          </w:p>
        </w:tc>
        <w:tc>
          <w:tcPr>
            <w:tcW w:w="228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15%</w:t>
            </w: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Energy and Utilities</w:t>
            </w:r>
          </w:p>
        </w:tc>
        <w:tc>
          <w:tcPr>
            <w:tcW w:w="2140" w:type="dxa"/>
            <w:vAlign w:val="bottom"/>
          </w:tcPr>
          <w:p>
            <w:pPr>
              <w:jc w:val="right"/>
              <w:spacing w:after="0"/>
              <w:rPr>
                <w:sz w:val="20"/>
                <w:szCs w:val="20"/>
                <w:color w:val="auto"/>
              </w:rPr>
            </w:pPr>
            <w:r>
              <w:rPr>
                <w:rFonts w:ascii="Arial" w:cs="Arial" w:eastAsia="Arial" w:hAnsi="Arial"/>
                <w:sz w:val="14"/>
                <w:szCs w:val="14"/>
                <w:color w:val="auto"/>
              </w:rPr>
              <w:t>9</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Hotels, Motels, Inns and Gaming</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Consumer Products</w:t>
            </w:r>
          </w:p>
        </w:tc>
        <w:tc>
          <w:tcPr>
            <w:tcW w:w="2140" w:type="dxa"/>
            <w:vAlign w:val="bottom"/>
          </w:tcPr>
          <w:p>
            <w:pPr>
              <w:jc w:val="right"/>
              <w:spacing w:after="0"/>
              <w:rPr>
                <w:sz w:val="20"/>
                <w:szCs w:val="20"/>
                <w:color w:val="auto"/>
              </w:rPr>
            </w:pPr>
            <w:r>
              <w:rPr>
                <w:rFonts w:ascii="Arial" w:cs="Arial" w:eastAsia="Arial" w:hAnsi="Arial"/>
                <w:sz w:val="14"/>
                <w:szCs w:val="14"/>
                <w:color w:val="auto"/>
              </w:rPr>
              <w:t>7</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Media</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2140" w:type="dxa"/>
            <w:vAlign w:val="bottom"/>
          </w:tcPr>
          <w:p>
            <w:pPr>
              <w:jc w:val="right"/>
              <w:spacing w:after="0"/>
              <w:rPr>
                <w:sz w:val="20"/>
                <w:szCs w:val="20"/>
                <w:color w:val="auto"/>
              </w:rPr>
            </w:pPr>
            <w:r>
              <w:rPr>
                <w:rFonts w:ascii="Arial" w:cs="Arial" w:eastAsia="Arial" w:hAnsi="Arial"/>
                <w:sz w:val="14"/>
                <w:szCs w:val="14"/>
                <w:color w:val="auto"/>
              </w:rPr>
              <w:t>5</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Electronics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Building Materials</w:t>
            </w:r>
          </w:p>
        </w:tc>
        <w:tc>
          <w:tcPr>
            <w:tcW w:w="2140" w:type="dxa"/>
            <w:vAlign w:val="bottom"/>
          </w:tcPr>
          <w:p>
            <w:pPr>
              <w:jc w:val="right"/>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Printing and Publishing</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Auto Sector</w:t>
            </w:r>
          </w:p>
        </w:tc>
        <w:tc>
          <w:tcPr>
            <w:tcW w:w="2140" w:type="dxa"/>
            <w:vAlign w:val="bottom"/>
          </w:tcPr>
          <w:p>
            <w:pPr>
              <w:jc w:val="right"/>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Distribution</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Environmental Services</w:t>
            </w:r>
          </w:p>
        </w:tc>
        <w:tc>
          <w:tcPr>
            <w:tcW w:w="2140" w:type="dxa"/>
            <w:vAlign w:val="bottom"/>
          </w:tcPr>
          <w:p>
            <w:pPr>
              <w:jc w:val="right"/>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Insurance</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80" w:type="dxa"/>
            <w:vAlign w:val="bottom"/>
            <w:shd w:val="clear" w:color="auto" w:fill="CCECFF"/>
          </w:tcPr>
          <w:p>
            <w:pPr>
              <w:spacing w:after="0"/>
              <w:rPr>
                <w:sz w:val="14"/>
                <w:szCs w:val="14"/>
                <w:color w:val="auto"/>
              </w:rPr>
            </w:pPr>
          </w:p>
        </w:tc>
        <w:tc>
          <w:tcPr>
            <w:tcW w:w="22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Manufacturing / Basic Industries</w:t>
            </w:r>
          </w:p>
        </w:tc>
        <w:tc>
          <w:tcPr>
            <w:tcW w:w="2140" w:type="dxa"/>
            <w:vAlign w:val="bottom"/>
          </w:tcPr>
          <w:p>
            <w:pPr>
              <w:jc w:val="right"/>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Oil and Gas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Personal, Food and Miscellaneous Services</w:t>
            </w:r>
          </w:p>
        </w:tc>
        <w:tc>
          <w:tcPr>
            <w:tcW w:w="2140" w:type="dxa"/>
            <w:vAlign w:val="bottom"/>
          </w:tcPr>
          <w:p>
            <w:pPr>
              <w:jc w:val="right"/>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Transportation</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80" w:type="dxa"/>
            <w:vAlign w:val="bottom"/>
            <w:shd w:val="clear" w:color="auto" w:fill="CCECFF"/>
          </w:tcPr>
          <w:p>
            <w:pPr>
              <w:spacing w:after="0"/>
              <w:rPr>
                <w:sz w:val="14"/>
                <w:szCs w:val="14"/>
                <w:color w:val="auto"/>
              </w:rPr>
            </w:pPr>
          </w:p>
        </w:tc>
        <w:tc>
          <w:tcPr>
            <w:tcW w:w="22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Aerospace and Defense</w:t>
            </w: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Beverage, Food and Tobacco</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Financial Services</w:t>
            </w: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Home and Office Furnishings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Other Media</w:t>
            </w: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Buildings and Real Estate</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Telecommunications</w:t>
            </w:r>
          </w:p>
        </w:tc>
        <w:tc>
          <w:tcPr>
            <w:tcW w:w="2140" w:type="dxa"/>
            <w:vAlign w:val="bottom"/>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Other</w:t>
            </w:r>
          </w:p>
        </w:tc>
        <w:tc>
          <w:tcPr>
            <w:tcW w:w="2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80" w:type="dxa"/>
            <w:vAlign w:val="bottom"/>
            <w:shd w:val="clear" w:color="auto" w:fill="CCECFF"/>
          </w:tcPr>
          <w:p>
            <w:pPr>
              <w:spacing w:after="0"/>
              <w:rPr>
                <w:sz w:val="14"/>
                <w:szCs w:val="14"/>
                <w:color w:val="auto"/>
              </w:rPr>
            </w:pPr>
          </w:p>
        </w:tc>
        <w:tc>
          <w:tcPr>
            <w:tcW w:w="2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56"/>
        </w:trPr>
        <w:tc>
          <w:tcPr>
            <w:tcW w:w="644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25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100%</w:t>
            </w:r>
          </w:p>
        </w:tc>
        <w:tc>
          <w:tcPr>
            <w:tcW w:w="22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100%</w:t>
            </w:r>
          </w:p>
        </w:tc>
      </w:tr>
      <w:tr>
        <w:trPr>
          <w:trHeight w:val="20"/>
        </w:trPr>
        <w:tc>
          <w:tcPr>
            <w:tcW w:w="6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right="280" w:firstLine="454"/>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460" w:right="2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160" w:firstLine="434"/>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Facilities are classified as Level 3. Our 2019 Notes were classified as Level 2.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right="220" w:firstLine="432"/>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6" w:lineRule="exact"/>
        <w:rPr>
          <w:sz w:val="20"/>
          <w:szCs w:val="20"/>
          <w:color w:val="auto"/>
        </w:rPr>
      </w:pPr>
    </w:p>
    <w:p>
      <w:pPr>
        <w:ind w:right="200" w:firstLine="432"/>
        <w:spacing w:after="0" w:line="231" w:lineRule="auto"/>
        <w:rPr>
          <w:sz w:val="20"/>
          <w:szCs w:val="20"/>
          <w:color w:val="auto"/>
        </w:rPr>
      </w:pPr>
      <w:r>
        <w:rPr>
          <w:rFonts w:ascii="Arial" w:cs="Arial" w:eastAsia="Arial" w:hAnsi="Arial"/>
          <w:sz w:val="14"/>
          <w:szCs w:val="14"/>
          <w:color w:val="auto"/>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6" w:lineRule="exact"/>
        <w:rPr>
          <w:sz w:val="20"/>
          <w:szCs w:val="20"/>
          <w:color w:val="auto"/>
        </w:rPr>
      </w:pPr>
    </w:p>
    <w:p>
      <w:pPr>
        <w:ind w:right="820" w:firstLine="425"/>
        <w:spacing w:after="0" w:line="25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80"/>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right="500"/>
        <w:spacing w:after="0" w:line="253" w:lineRule="auto"/>
        <w:rPr>
          <w:sz w:val="20"/>
          <w:szCs w:val="20"/>
          <w:color w:val="auto"/>
        </w:rPr>
      </w:pPr>
      <w:r>
        <w:rPr>
          <w:rFonts w:ascii="Arial" w:cs="Arial" w:eastAsia="Arial" w:hAnsi="Arial"/>
          <w:sz w:val="14"/>
          <w:szCs w:val="14"/>
          <w:color w:val="auto"/>
        </w:rPr>
        <w:t>category as of the end of the quarter in which the reclassifications occur. During both the six months ended March 31, 2019 and 2018, our ability to observe valuation inputs resulted in no reclassifications.</w:t>
      </w:r>
    </w:p>
    <w:p>
      <w:pPr>
        <w:spacing w:after="0" w:line="106" w:lineRule="exact"/>
        <w:rPr>
          <w:sz w:val="20"/>
          <w:szCs w:val="20"/>
          <w:color w:val="auto"/>
        </w:rPr>
      </w:pPr>
    </w:p>
    <w:p>
      <w:pPr>
        <w:jc w:val="both"/>
        <w:ind w:right="400" w:firstLine="425"/>
        <w:spacing w:after="0" w:line="238" w:lineRule="auto"/>
        <w:rPr>
          <w:sz w:val="20"/>
          <w:szCs w:val="20"/>
          <w:color w:val="auto"/>
        </w:rPr>
      </w:pPr>
      <w:r>
        <w:rPr>
          <w:rFonts w:ascii="Arial" w:cs="Arial" w:eastAsia="Arial" w:hAnsi="Arial"/>
          <w:sz w:val="14"/>
          <w:szCs w:val="14"/>
          <w:color w:val="auto"/>
        </w:rPr>
        <w:t>In addition to using the above inputs in cash equivalents, investments, the 2019 Notes and our Credit Facilities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5" w:lineRule="exact"/>
        <w:rPr>
          <w:sz w:val="20"/>
          <w:szCs w:val="20"/>
          <w:color w:val="auto"/>
        </w:rPr>
      </w:pPr>
    </w:p>
    <w:p>
      <w:pPr>
        <w:ind w:right="400" w:firstLine="425"/>
        <w:spacing w:after="0" w:line="255"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w:t>
      </w:r>
    </w:p>
    <w:p>
      <w:pPr>
        <w:spacing w:after="0" w:line="107" w:lineRule="exact"/>
        <w:rPr>
          <w:sz w:val="20"/>
          <w:szCs w:val="20"/>
          <w:color w:val="auto"/>
        </w:rPr>
      </w:pPr>
    </w:p>
    <w:p>
      <w:pPr>
        <w:ind w:right="340" w:firstLine="425"/>
        <w:spacing w:after="0" w:line="243" w:lineRule="auto"/>
        <w:rPr>
          <w:sz w:val="20"/>
          <w:szCs w:val="20"/>
          <w:color w:val="auto"/>
        </w:rPr>
      </w:pPr>
      <w:r>
        <w:rPr>
          <w:rFonts w:ascii="Arial" w:cs="Arial" w:eastAsia="Arial" w:hAnsi="Arial"/>
          <w:sz w:val="13"/>
          <w:szCs w:val="13"/>
          <w:color w:val="auto"/>
        </w:rPr>
        <w:t>The remainder of our investment portfolio and our long-term Credit Facilities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2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2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2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Arial" w:cs="Arial" w:eastAsia="Arial" w:hAnsi="Arial"/>
                <w:sz w:val="14"/>
                <w:szCs w:val="14"/>
                <w:b w:val="1"/>
                <w:bCs w:val="1"/>
                <w:color w:val="auto"/>
              </w:rPr>
              <w:t>March 31, 2019</w:t>
            </w:r>
          </w:p>
        </w:tc>
        <w:tc>
          <w:tcPr>
            <w:tcW w:w="26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56"/>
        </w:trPr>
        <w:tc>
          <w:tcPr>
            <w:tcW w:w="25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29,150,462</w:t>
            </w:r>
          </w:p>
        </w:tc>
        <w:tc>
          <w:tcPr>
            <w:tcW w:w="2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spacing w:after="0"/>
              <w:rPr>
                <w:sz w:val="13"/>
                <w:szCs w:val="13"/>
                <w:color w:val="auto"/>
              </w:rPr>
            </w:pPr>
          </w:p>
        </w:tc>
        <w:tc>
          <w:tcPr>
            <w:tcW w:w="1420" w:type="dxa"/>
            <w:vAlign w:val="bottom"/>
            <w:tcBorders>
              <w:top w:val="single" w:sz="8" w:color="auto"/>
            </w:tcBorders>
            <w:shd w:val="clear" w:color="auto" w:fill="CCECFF"/>
          </w:tcPr>
          <w:p>
            <w:pPr>
              <w:jc w:val="center"/>
              <w:ind w:right="728"/>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74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132,065,840</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800" w:type="dxa"/>
            <w:vAlign w:val="bottom"/>
          </w:tcPr>
          <w:p>
            <w:pPr>
              <w:spacing w:after="0"/>
              <w:rPr>
                <w:sz w:val="14"/>
                <w:szCs w:val="14"/>
                <w:color w:val="auto"/>
              </w:rPr>
            </w:pPr>
          </w:p>
        </w:tc>
        <w:tc>
          <w:tcPr>
            <w:tcW w:w="1420" w:type="dxa"/>
            <w:vAlign w:val="bottom"/>
          </w:tcPr>
          <w:p>
            <w:pPr>
              <w:jc w:val="center"/>
              <w:ind w:right="72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7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First lien</w:t>
            </w:r>
          </w:p>
        </w:tc>
        <w:tc>
          <w:tcPr>
            <w:tcW w:w="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657,448,188</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w:t>
            </w:r>
          </w:p>
        </w:tc>
        <w:tc>
          <w:tcPr>
            <w:tcW w:w="1420" w:type="dxa"/>
            <w:vAlign w:val="bottom"/>
            <w:shd w:val="clear" w:color="auto" w:fill="CCECFF"/>
          </w:tcPr>
          <w:p>
            <w:pPr>
              <w:ind w:left="20"/>
              <w:spacing w:after="0"/>
              <w:rPr>
                <w:sz w:val="20"/>
                <w:szCs w:val="20"/>
                <w:color w:val="auto"/>
              </w:rPr>
            </w:pPr>
            <w:r>
              <w:rPr>
                <w:rFonts w:ascii="Arial" w:cs="Arial" w:eastAsia="Arial" w:hAnsi="Arial"/>
                <w:sz w:val="14"/>
                <w:szCs w:val="14"/>
                <w:color w:val="auto"/>
              </w:rPr>
              <w:t>– 15.5% (9.5%)</w:t>
            </w:r>
          </w:p>
        </w:tc>
        <w:tc>
          <w:tcPr>
            <w:tcW w:w="0" w:type="dxa"/>
            <w:vAlign w:val="bottom"/>
          </w:tcPr>
          <w:p>
            <w:pPr>
              <w:spacing w:after="0"/>
              <w:rPr>
                <w:sz w:val="1"/>
                <w:szCs w:val="1"/>
                <w:color w:val="auto"/>
              </w:rPr>
            </w:pPr>
          </w:p>
        </w:tc>
      </w:tr>
      <w:tr>
        <w:trPr>
          <w:trHeight w:val="162"/>
        </w:trPr>
        <w:tc>
          <w:tcPr>
            <w:tcW w:w="274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217,895,519</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800" w:type="dxa"/>
            <w:vAlign w:val="bottom"/>
          </w:tcPr>
          <w:p>
            <w:pPr>
              <w:jc w:val="right"/>
              <w:spacing w:after="0"/>
              <w:rPr>
                <w:sz w:val="20"/>
                <w:szCs w:val="20"/>
                <w:color w:val="auto"/>
              </w:rPr>
            </w:pPr>
            <w:r>
              <w:rPr>
                <w:rFonts w:ascii="Arial" w:cs="Arial" w:eastAsia="Arial" w:hAnsi="Arial"/>
                <w:sz w:val="14"/>
                <w:szCs w:val="14"/>
                <w:color w:val="auto"/>
              </w:rPr>
              <w:t>10.9%</w:t>
            </w:r>
          </w:p>
        </w:tc>
        <w:tc>
          <w:tcPr>
            <w:tcW w:w="1420" w:type="dxa"/>
            <w:vAlign w:val="bottom"/>
          </w:tcPr>
          <w:p>
            <w:pPr>
              <w:ind w:left="20"/>
              <w:spacing w:after="0"/>
              <w:rPr>
                <w:sz w:val="20"/>
                <w:szCs w:val="20"/>
                <w:color w:val="auto"/>
              </w:rPr>
            </w:pPr>
            <w:r>
              <w:rPr>
                <w:rFonts w:ascii="Arial" w:cs="Arial" w:eastAsia="Arial" w:hAnsi="Arial"/>
                <w:sz w:val="14"/>
                <w:szCs w:val="14"/>
                <w:color w:val="auto"/>
              </w:rPr>
              <w:t>– 13.1% (12.7%)</w:t>
            </w:r>
          </w:p>
        </w:tc>
        <w:tc>
          <w:tcPr>
            <w:tcW w:w="0" w:type="dxa"/>
            <w:vAlign w:val="bottom"/>
          </w:tcPr>
          <w:p>
            <w:pPr>
              <w:spacing w:after="0"/>
              <w:rPr>
                <w:sz w:val="1"/>
                <w:szCs w:val="1"/>
                <w:color w:val="auto"/>
              </w:rPr>
            </w:pPr>
          </w:p>
        </w:tc>
      </w:tr>
      <w:tr>
        <w:trPr>
          <w:trHeight w:val="162"/>
        </w:trPr>
        <w:tc>
          <w:tcPr>
            <w:tcW w:w="27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49,883,838</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w:t>
            </w:r>
          </w:p>
        </w:tc>
        <w:tc>
          <w:tcPr>
            <w:tcW w:w="1420" w:type="dxa"/>
            <w:vAlign w:val="bottom"/>
            <w:shd w:val="clear" w:color="auto" w:fill="CCECFF"/>
          </w:tcPr>
          <w:p>
            <w:pPr>
              <w:ind w:left="20"/>
              <w:spacing w:after="0"/>
              <w:rPr>
                <w:sz w:val="20"/>
                <w:szCs w:val="20"/>
                <w:color w:val="auto"/>
              </w:rPr>
            </w:pPr>
            <w:r>
              <w:rPr>
                <w:rFonts w:ascii="Arial" w:cs="Arial" w:eastAsia="Arial" w:hAnsi="Arial"/>
                <w:sz w:val="14"/>
                <w:szCs w:val="14"/>
                <w:color w:val="auto"/>
              </w:rPr>
              <w:t>– 16.5% (15.3%)</w:t>
            </w:r>
          </w:p>
        </w:tc>
        <w:tc>
          <w:tcPr>
            <w:tcW w:w="0" w:type="dxa"/>
            <w:vAlign w:val="bottom"/>
          </w:tcPr>
          <w:p>
            <w:pPr>
              <w:spacing w:after="0"/>
              <w:rPr>
                <w:sz w:val="1"/>
                <w:szCs w:val="1"/>
                <w:color w:val="auto"/>
              </w:rPr>
            </w:pPr>
          </w:p>
        </w:tc>
      </w:tr>
      <w:tr>
        <w:trPr>
          <w:trHeight w:val="162"/>
        </w:trPr>
        <w:tc>
          <w:tcPr>
            <w:tcW w:w="274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20" w:type="dxa"/>
            <w:vAlign w:val="bottom"/>
            <w:tcBorders>
              <w:bottom w:val="single" w:sz="8" w:color="CCEC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156,981,842</w:t>
            </w:r>
          </w:p>
        </w:tc>
        <w:tc>
          <w:tcPr>
            <w:tcW w:w="260" w:type="dxa"/>
            <w:vAlign w:val="bottom"/>
            <w:tcBorders>
              <w:bottom w:val="single" w:sz="8" w:color="CCECFF"/>
            </w:tcBorders>
          </w:tcPr>
          <w:p>
            <w:pPr>
              <w:spacing w:after="0"/>
              <w:rPr>
                <w:sz w:val="14"/>
                <w:szCs w:val="14"/>
                <w:color w:val="auto"/>
              </w:rPr>
            </w:pPr>
          </w:p>
        </w:tc>
        <w:tc>
          <w:tcPr>
            <w:tcW w:w="220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0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2220" w:type="dxa"/>
            <w:vAlign w:val="bottom"/>
            <w:tcBorders>
              <w:bottom w:val="single" w:sz="8" w:color="CCECFF"/>
            </w:tcBorders>
            <w:gridSpan w:val="2"/>
          </w:tcPr>
          <w:p>
            <w:pPr>
              <w:jc w:val="center"/>
              <w:spacing w:after="0"/>
              <w:rPr>
                <w:sz w:val="20"/>
                <w:szCs w:val="20"/>
                <w:color w:val="auto"/>
              </w:rPr>
            </w:pPr>
            <w:r>
              <w:rPr>
                <w:rFonts w:ascii="Arial" w:cs="Arial" w:eastAsia="Arial" w:hAnsi="Arial"/>
                <w:sz w:val="14"/>
                <w:szCs w:val="14"/>
                <w:color w:val="auto"/>
                <w:w w:val="94"/>
              </w:rPr>
              <w:t>6.0x – 13.5x (9.3x)</w:t>
            </w:r>
          </w:p>
        </w:tc>
        <w:tc>
          <w:tcPr>
            <w:tcW w:w="0" w:type="dxa"/>
            <w:vAlign w:val="bottom"/>
          </w:tcPr>
          <w:p>
            <w:pPr>
              <w:spacing w:after="0"/>
              <w:rPr>
                <w:sz w:val="1"/>
                <w:szCs w:val="1"/>
                <w:color w:val="auto"/>
              </w:rPr>
            </w:pPr>
          </w:p>
        </w:tc>
      </w:tr>
      <w:tr>
        <w:trPr>
          <w:trHeight w:val="156"/>
        </w:trPr>
        <w:tc>
          <w:tcPr>
            <w:tcW w:w="2740" w:type="dxa"/>
            <w:vAlign w:val="bottom"/>
            <w:tcBorders>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2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1,243,425,689</w:t>
            </w:r>
          </w:p>
        </w:tc>
        <w:tc>
          <w:tcPr>
            <w:tcW w:w="260" w:type="dxa"/>
            <w:vAlign w:val="bottom"/>
            <w:tcBorders>
              <w:bottom w:val="single" w:sz="8" w:color="CCECFF"/>
            </w:tcBorders>
            <w:shd w:val="clear" w:color="auto" w:fill="CCECFF"/>
          </w:tcPr>
          <w:p>
            <w:pPr>
              <w:spacing w:after="0"/>
              <w:rPr>
                <w:sz w:val="13"/>
                <w:szCs w:val="13"/>
                <w:color w:val="auto"/>
              </w:rPr>
            </w:pPr>
          </w:p>
        </w:tc>
        <w:tc>
          <w:tcPr>
            <w:tcW w:w="20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0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800" w:type="dxa"/>
            <w:vAlign w:val="bottom"/>
            <w:tcBorders>
              <w:bottom w:val="single" w:sz="8" w:color="CCECFF"/>
            </w:tcBorders>
            <w:shd w:val="clear" w:color="auto" w:fill="CCECFF"/>
          </w:tcPr>
          <w:p>
            <w:pPr>
              <w:spacing w:after="0"/>
              <w:rPr>
                <w:sz w:val="13"/>
                <w:szCs w:val="13"/>
                <w:color w:val="auto"/>
              </w:rPr>
            </w:pPr>
          </w:p>
        </w:tc>
        <w:tc>
          <w:tcPr>
            <w:tcW w:w="14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Arial" w:cs="Arial" w:eastAsia="Arial" w:hAnsi="Arial"/>
                <w:sz w:val="14"/>
                <w:szCs w:val="14"/>
                <w:color w:val="auto"/>
              </w:rPr>
              <w:t>BNP Credit Facility</w:t>
            </w:r>
          </w:p>
        </w:tc>
        <w:tc>
          <w:tcPr>
            <w:tcW w:w="2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800" w:type="dxa"/>
            <w:vAlign w:val="bottom"/>
          </w:tcPr>
          <w:p>
            <w:pPr>
              <w:spacing w:after="0" w:line="20" w:lineRule="exact"/>
              <w:rPr>
                <w:sz w:val="1"/>
                <w:szCs w:val="1"/>
                <w:color w:val="auto"/>
              </w:rPr>
            </w:pPr>
          </w:p>
        </w:tc>
        <w:tc>
          <w:tcPr>
            <w:tcW w:w="1420" w:type="dxa"/>
            <w:vAlign w:val="bottom"/>
            <w:vMerge w:val="restart"/>
          </w:tcPr>
          <w:p>
            <w:pPr>
              <w:jc w:val="center"/>
              <w:ind w:right="728"/>
              <w:spacing w:after="0"/>
              <w:rPr>
                <w:sz w:val="20"/>
                <w:szCs w:val="20"/>
                <w:color w:val="auto"/>
              </w:rPr>
            </w:pPr>
            <w:r>
              <w:rPr>
                <w:rFonts w:ascii="Arial" w:cs="Arial" w:eastAsia="Arial" w:hAnsi="Arial"/>
                <w:sz w:val="14"/>
                <w:szCs w:val="14"/>
                <w:color w:val="auto"/>
                <w:w w:val="93"/>
              </w:rPr>
              <w:t>5.0%</w:t>
            </w:r>
          </w:p>
        </w:tc>
        <w:tc>
          <w:tcPr>
            <w:tcW w:w="0" w:type="dxa"/>
            <w:vAlign w:val="bottom"/>
          </w:tcPr>
          <w:p>
            <w:pPr>
              <w:spacing w:after="0" w:line="20" w:lineRule="exact"/>
              <w:rPr>
                <w:sz w:val="1"/>
                <w:szCs w:val="1"/>
                <w:color w:val="auto"/>
              </w:rPr>
            </w:pPr>
          </w:p>
        </w:tc>
      </w:tr>
      <w:tr>
        <w:trPr>
          <w:trHeight w:val="143"/>
        </w:trPr>
        <w:tc>
          <w:tcPr>
            <w:tcW w:w="2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141,787,500</w:t>
            </w:r>
          </w:p>
        </w:tc>
        <w:tc>
          <w:tcPr>
            <w:tcW w:w="26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SunTrust Credit Facility</w:t>
            </w:r>
          </w:p>
        </w:tc>
        <w:tc>
          <w:tcPr>
            <w:tcW w:w="2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378,569,195</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800" w:type="dxa"/>
            <w:vAlign w:val="bottom"/>
            <w:shd w:val="clear" w:color="auto" w:fill="CCECFF"/>
          </w:tcPr>
          <w:p>
            <w:pPr>
              <w:spacing w:after="0"/>
              <w:rPr>
                <w:sz w:val="14"/>
                <w:szCs w:val="14"/>
                <w:color w:val="auto"/>
              </w:rPr>
            </w:pPr>
          </w:p>
        </w:tc>
        <w:tc>
          <w:tcPr>
            <w:tcW w:w="1420" w:type="dxa"/>
            <w:vAlign w:val="bottom"/>
            <w:shd w:val="clear" w:color="auto" w:fill="CCECFF"/>
          </w:tcPr>
          <w:p>
            <w:pPr>
              <w:jc w:val="center"/>
              <w:ind w:right="728"/>
              <w:spacing w:after="0"/>
              <w:rPr>
                <w:sz w:val="20"/>
                <w:szCs w:val="20"/>
                <w:color w:val="auto"/>
              </w:rPr>
            </w:pPr>
            <w:r>
              <w:rPr>
                <w:rFonts w:ascii="Arial" w:cs="Arial" w:eastAsia="Arial" w:hAnsi="Arial"/>
                <w:sz w:val="14"/>
                <w:szCs w:val="14"/>
                <w:color w:val="auto"/>
                <w:w w:val="93"/>
              </w:rPr>
              <w:t>5.3%</w:t>
            </w:r>
          </w:p>
        </w:tc>
        <w:tc>
          <w:tcPr>
            <w:tcW w:w="0" w:type="dxa"/>
            <w:vAlign w:val="bottom"/>
          </w:tcPr>
          <w:p>
            <w:pPr>
              <w:spacing w:after="0"/>
              <w:rPr>
                <w:sz w:val="1"/>
                <w:szCs w:val="1"/>
                <w:color w:val="auto"/>
              </w:rPr>
            </w:pPr>
          </w:p>
        </w:tc>
      </w:tr>
      <w:tr>
        <w:trPr>
          <w:trHeight w:val="155"/>
        </w:trPr>
        <w:tc>
          <w:tcPr>
            <w:tcW w:w="2740" w:type="dxa"/>
            <w:vAlign w:val="bottom"/>
            <w:gridSpan w:val="2"/>
          </w:tcPr>
          <w:p>
            <w:pPr>
              <w:ind w:left="500"/>
              <w:spacing w:after="0" w:line="155" w:lineRule="exact"/>
              <w:rPr>
                <w:sz w:val="20"/>
                <w:szCs w:val="20"/>
                <w:color w:val="auto"/>
              </w:rPr>
            </w:pPr>
            <w:r>
              <w:rPr>
                <w:rFonts w:ascii="Arial" w:cs="Arial" w:eastAsia="Arial" w:hAnsi="Arial"/>
                <w:sz w:val="14"/>
                <w:szCs w:val="14"/>
                <w:color w:val="auto"/>
              </w:rPr>
              <w:t>Total Credit Facilities</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520,356,695</w:t>
            </w:r>
          </w:p>
        </w:tc>
        <w:tc>
          <w:tcPr>
            <w:tcW w:w="2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2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2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September 30, 2018</w:t>
            </w:r>
          </w:p>
        </w:tc>
        <w:tc>
          <w:tcPr>
            <w:tcW w:w="26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55"/>
        </w:trPr>
        <w:tc>
          <w:tcPr>
            <w:tcW w:w="25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Second lien</w:t>
            </w:r>
          </w:p>
        </w:tc>
        <w:tc>
          <w:tcPr>
            <w:tcW w:w="16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164,734,450</w:t>
            </w:r>
          </w:p>
        </w:tc>
        <w:tc>
          <w:tcPr>
            <w:tcW w:w="2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222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531,422,088</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tcPr>
          <w:p>
            <w:pPr>
              <w:jc w:val="center"/>
              <w:spacing w:after="0"/>
              <w:rPr>
                <w:sz w:val="20"/>
                <w:szCs w:val="20"/>
                <w:color w:val="auto"/>
              </w:rPr>
            </w:pPr>
            <w:r>
              <w:rPr>
                <w:rFonts w:ascii="Arial" w:cs="Arial" w:eastAsia="Arial" w:hAnsi="Arial"/>
                <w:sz w:val="14"/>
                <w:szCs w:val="14"/>
                <w:color w:val="auto"/>
                <w:w w:val="94"/>
              </w:rPr>
              <w:t>7.4% – 17.5% (10.1%)</w:t>
            </w: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226,303,579</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10.7% – 14.1% (13.3%)</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48,127,586</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tcPr>
          <w:p>
            <w:pPr>
              <w:jc w:val="center"/>
              <w:spacing w:after="0"/>
              <w:rPr>
                <w:sz w:val="20"/>
                <w:szCs w:val="20"/>
                <w:color w:val="auto"/>
              </w:rPr>
            </w:pPr>
            <w:r>
              <w:rPr>
                <w:rFonts w:ascii="Arial" w:cs="Arial" w:eastAsia="Arial" w:hAnsi="Arial"/>
                <w:sz w:val="14"/>
                <w:szCs w:val="14"/>
                <w:color w:val="auto"/>
                <w:w w:val="93"/>
              </w:rPr>
              <w:t>12.5% – 15.3% (14.5%)</w:t>
            </w: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4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160,656,044</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22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3.9x – 13.8x (8.2x)</w:t>
            </w:r>
          </w:p>
        </w:tc>
        <w:tc>
          <w:tcPr>
            <w:tcW w:w="0" w:type="dxa"/>
            <w:vAlign w:val="bottom"/>
          </w:tcPr>
          <w:p>
            <w:pPr>
              <w:spacing w:after="0"/>
              <w:rPr>
                <w:sz w:val="1"/>
                <w:szCs w:val="1"/>
                <w:color w:val="auto"/>
              </w:rPr>
            </w:pPr>
          </w:p>
        </w:tc>
      </w:tr>
      <w:tr>
        <w:trPr>
          <w:trHeight w:val="195"/>
        </w:trPr>
        <w:tc>
          <w:tcPr>
            <w:tcW w:w="2580" w:type="dxa"/>
            <w:vAlign w:val="bottom"/>
            <w:tcBorders>
              <w:bottom w:val="single" w:sz="8" w:color="CCECFF"/>
            </w:tcBorders>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tcPr>
          <w:p>
            <w:pPr>
              <w:spacing w:after="0"/>
              <w:rPr>
                <w:sz w:val="17"/>
                <w:szCs w:val="17"/>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1,131,243,747</w:t>
            </w:r>
          </w:p>
        </w:tc>
        <w:tc>
          <w:tcPr>
            <w:tcW w:w="260" w:type="dxa"/>
            <w:vAlign w:val="bottom"/>
            <w:tcBorders>
              <w:bottom w:val="single" w:sz="8" w:color="CCECFF"/>
            </w:tcBorders>
          </w:tcPr>
          <w:p>
            <w:pPr>
              <w:spacing w:after="0"/>
              <w:rPr>
                <w:sz w:val="17"/>
                <w:szCs w:val="17"/>
                <w:color w:val="auto"/>
              </w:rPr>
            </w:pPr>
          </w:p>
        </w:tc>
        <w:tc>
          <w:tcPr>
            <w:tcW w:w="204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04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2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58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SunTrust Credit Facility</w:t>
            </w:r>
          </w:p>
        </w:tc>
        <w:tc>
          <w:tcPr>
            <w:tcW w:w="16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77,645,830</w:t>
            </w:r>
          </w:p>
        </w:tc>
        <w:tc>
          <w:tcPr>
            <w:tcW w:w="260" w:type="dxa"/>
            <w:vAlign w:val="bottom"/>
            <w:tcBorders>
              <w:bottom w:val="single" w:sz="8" w:color="CCECFF"/>
            </w:tcBorders>
            <w:shd w:val="clear" w:color="auto" w:fill="CCECFF"/>
          </w:tcPr>
          <w:p>
            <w:pPr>
              <w:spacing w:after="0"/>
              <w:rPr>
                <w:sz w:val="12"/>
                <w:szCs w:val="12"/>
                <w:color w:val="auto"/>
              </w:rPr>
            </w:pPr>
          </w:p>
        </w:tc>
        <w:tc>
          <w:tcPr>
            <w:tcW w:w="220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4"/>
              </w:rPr>
              <w:t>Market Comparable</w:t>
            </w:r>
          </w:p>
        </w:tc>
        <w:tc>
          <w:tcPr>
            <w:tcW w:w="220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7"/>
              </w:rPr>
              <w:t>Market Yield</w:t>
            </w:r>
          </w:p>
        </w:tc>
        <w:tc>
          <w:tcPr>
            <w:tcW w:w="2220" w:type="dxa"/>
            <w:vAlign w:val="bottom"/>
            <w:tcBorders>
              <w:bottom w:val="single" w:sz="8" w:color="CCECFF"/>
            </w:tcBorders>
            <w:shd w:val="clear" w:color="auto" w:fill="CCECFF"/>
          </w:tcPr>
          <w:p>
            <w:pPr>
              <w:jc w:val="center"/>
              <w:spacing w:after="0" w:line="143" w:lineRule="exact"/>
              <w:rPr>
                <w:sz w:val="20"/>
                <w:szCs w:val="20"/>
                <w:color w:val="auto"/>
              </w:rPr>
            </w:pPr>
            <w:r>
              <w:rPr>
                <w:rFonts w:ascii="Arial" w:cs="Arial" w:eastAsia="Arial" w:hAnsi="Arial"/>
                <w:sz w:val="14"/>
                <w:szCs w:val="14"/>
                <w:color w:val="auto"/>
                <w:w w:val="93"/>
              </w:rPr>
              <w:t>5.5%</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investments, cash and cash equivalents and Credit Facilities were categorized as follows in the fair value hierarchy for ASC 820 purposes: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Fair Value at March 31, 2019</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Fair Value</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Level 2</w:t>
            </w:r>
          </w:p>
        </w:tc>
        <w:tc>
          <w:tcPr>
            <w:tcW w:w="3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1,086,443,847</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1140" w:type="dxa"/>
            <w:vAlign w:val="bottom"/>
            <w:tcBorders>
              <w:top w:val="single" w:sz="8" w:color="auto"/>
            </w:tcBorders>
            <w:shd w:val="clear" w:color="auto" w:fill="CCECFF"/>
          </w:tcPr>
          <w:p>
            <w:pPr>
              <w:jc w:val="right"/>
              <w:ind w:right="988"/>
              <w:spacing w:after="0" w:line="155"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CECFF"/>
          </w:tcPr>
          <w:p>
            <w:pPr>
              <w:ind w:left="180"/>
              <w:spacing w:after="0" w:line="155" w:lineRule="exact"/>
              <w:rPr>
                <w:sz w:val="20"/>
                <w:szCs w:val="20"/>
                <w:color w:val="auto"/>
              </w:rPr>
            </w:pPr>
            <w:r>
              <w:rPr>
                <w:rFonts w:ascii="Arial" w:cs="Arial" w:eastAsia="Arial" w:hAnsi="Arial"/>
                <w:sz w:val="14"/>
                <w:szCs w:val="14"/>
                <w:color w:val="auto"/>
                <w:w w:val="99"/>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1,086,443,847</w:t>
            </w: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Equity investments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158,228,366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1,246,524</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156,981,842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1,244,672,213</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1,246,524</w:t>
            </w:r>
          </w:p>
        </w:tc>
        <w:tc>
          <w:tcPr>
            <w:tcW w:w="260" w:type="dxa"/>
            <w:vAlign w:val="bottom"/>
            <w:tcBorders>
              <w:top w:val="single" w:sz="8" w:color="CCECFF"/>
            </w:tcBorders>
            <w:shd w:val="clear" w:color="auto" w:fill="CCECFF"/>
          </w:tcPr>
          <w:p>
            <w:pPr>
              <w:spacing w:after="0"/>
              <w:rPr>
                <w:sz w:val="13"/>
                <w:szCs w:val="13"/>
                <w:color w:val="auto"/>
              </w:rPr>
            </w:pPr>
          </w:p>
        </w:tc>
        <w:tc>
          <w:tcPr>
            <w:tcW w:w="1140" w:type="dxa"/>
            <w:vAlign w:val="bottom"/>
            <w:tcBorders>
              <w:top w:val="single" w:sz="8" w:color="auto"/>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ind w:left="180"/>
              <w:spacing w:after="0" w:line="155" w:lineRule="exact"/>
              <w:rPr>
                <w:sz w:val="20"/>
                <w:szCs w:val="20"/>
                <w:color w:val="auto"/>
              </w:rPr>
            </w:pPr>
            <w:r>
              <w:rPr>
                <w:rFonts w:ascii="Arial" w:cs="Arial" w:eastAsia="Arial" w:hAnsi="Arial"/>
                <w:sz w:val="14"/>
                <w:szCs w:val="14"/>
                <w:color w:val="auto"/>
                <w:w w:val="99"/>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1,243,425,689</w:t>
            </w: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30,307,029</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30,307,029</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1,274,979,242</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31,553,553</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1140" w:type="dxa"/>
            <w:vAlign w:val="bottom"/>
            <w:tcBorders>
              <w:top w:val="single" w:sz="8" w:color="auto"/>
              <w:bottom w:val="single" w:sz="8" w:color="auto"/>
            </w:tcBorders>
            <w:shd w:val="clear" w:color="auto" w:fill="CCECFF"/>
          </w:tcPr>
          <w:p>
            <w:pPr>
              <w:jc w:val="right"/>
              <w:ind w:right="988"/>
              <w:spacing w:after="0" w:line="155"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CECFF"/>
          </w:tcPr>
          <w:p>
            <w:pPr>
              <w:ind w:left="180"/>
              <w:spacing w:after="0" w:line="155" w:lineRule="exact"/>
              <w:rPr>
                <w:sz w:val="20"/>
                <w:szCs w:val="20"/>
                <w:color w:val="auto"/>
              </w:rPr>
            </w:pPr>
            <w:r>
              <w:rPr>
                <w:rFonts w:ascii="Arial" w:cs="Arial" w:eastAsia="Arial" w:hAnsi="Arial"/>
                <w:sz w:val="14"/>
                <w:szCs w:val="14"/>
                <w:color w:val="auto"/>
                <w:w w:val="99"/>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1,243,425,689</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color w:val="auto"/>
              </w:rPr>
              <w:t>BNP Credit Facility</w:t>
            </w:r>
          </w:p>
        </w:tc>
        <w:tc>
          <w:tcPr>
            <w:tcW w:w="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141,787,500</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40" w:type="dxa"/>
            <w:vAlign w:val="bottom"/>
            <w:tcBorders>
              <w:top w:val="single" w:sz="8" w:color="auto"/>
            </w:tcBorders>
          </w:tcPr>
          <w:p>
            <w:pPr>
              <w:jc w:val="right"/>
              <w:ind w:right="988"/>
              <w:spacing w:after="0" w:line="143"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tcPr>
          <w:p>
            <w:pPr>
              <w:ind w:left="180"/>
              <w:spacing w:after="0" w:line="143" w:lineRule="exact"/>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141,787,500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SunTrust Credit Facility</w:t>
            </w:r>
          </w:p>
        </w:tc>
        <w:tc>
          <w:tcPr>
            <w:tcW w:w="1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378,569,195</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600" w:type="dxa"/>
            <w:vAlign w:val="bottom"/>
            <w:gridSpan w:val="2"/>
            <w:shd w:val="clear" w:color="auto" w:fill="CCECFF"/>
          </w:tcPr>
          <w:p>
            <w:pPr>
              <w:ind w:lef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378,569,195</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Pr>
          <w:p>
            <w:pPr>
              <w:ind w:left="500"/>
              <w:spacing w:after="0" w:line="155" w:lineRule="exact"/>
              <w:rPr>
                <w:sz w:val="20"/>
                <w:szCs w:val="20"/>
                <w:color w:val="auto"/>
              </w:rPr>
            </w:pPr>
            <w:r>
              <w:rPr>
                <w:rFonts w:ascii="Arial" w:cs="Arial" w:eastAsia="Arial" w:hAnsi="Arial"/>
                <w:sz w:val="14"/>
                <w:szCs w:val="14"/>
                <w:color w:val="auto"/>
              </w:rPr>
              <w:t>Total Credit Facilities</w:t>
            </w:r>
          </w:p>
        </w:tc>
        <w:tc>
          <w:tcPr>
            <w:tcW w:w="16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520,356,695</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ind w:right="988"/>
              <w:spacing w:after="0" w:line="155"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520,356,695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19</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9" w:name="page20"/>
    <w:bookmarkEnd w:id="19"/>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80"/>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12"/>
          </w:tcPr>
          <w:p>
            <w:pPr>
              <w:jc w:val="right"/>
              <w:ind w:right="780"/>
              <w:spacing w:after="0"/>
              <w:rPr>
                <w:sz w:val="20"/>
                <w:szCs w:val="20"/>
                <w:color w:val="auto"/>
              </w:rPr>
            </w:pPr>
            <w:r>
              <w:rPr>
                <w:rFonts w:ascii="Arial" w:cs="Arial" w:eastAsia="Arial" w:hAnsi="Arial"/>
                <w:sz w:val="14"/>
                <w:szCs w:val="14"/>
                <w:b w:val="1"/>
                <w:bCs w:val="1"/>
                <w:color w:val="auto"/>
              </w:rPr>
              <w:t>Fair Value at September 30, 2018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Fair Value</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5"/>
          </w:tcPr>
          <w:p>
            <w:pPr>
              <w:jc w:val="right"/>
              <w:ind w:right="740"/>
              <w:spacing w:after="0" w:line="155" w:lineRule="exact"/>
              <w:rPr>
                <w:sz w:val="20"/>
                <w:szCs w:val="20"/>
                <w:color w:val="auto"/>
              </w:rPr>
            </w:pPr>
            <w:r>
              <w:rPr>
                <w:rFonts w:ascii="Arial" w:cs="Arial" w:eastAsia="Arial" w:hAnsi="Arial"/>
                <w:sz w:val="14"/>
                <w:szCs w:val="14"/>
                <w:b w:val="1"/>
                <w:bCs w:val="1"/>
                <w:color w:val="auto"/>
              </w:rPr>
              <w:t>Level 1</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4"/>
          </w:tcPr>
          <w:p>
            <w:pPr>
              <w:jc w:val="right"/>
              <w:ind w:right="70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6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970,587,703</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gridSpan w:val="2"/>
            <w:shd w:val="clear" w:color="auto" w:fill="CCECFF"/>
          </w:tcPr>
          <w:p>
            <w:pPr>
              <w:jc w:val="right"/>
              <w:ind w:right="160"/>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CECFF"/>
          </w:tcPr>
          <w:p>
            <w:pPr>
              <w:spacing w:after="0"/>
              <w:rPr>
                <w:sz w:val="13"/>
                <w:szCs w:val="13"/>
                <w:color w:val="auto"/>
              </w:rPr>
            </w:pPr>
          </w:p>
        </w:tc>
        <w:tc>
          <w:tcPr>
            <w:tcW w:w="114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970,587,703</w:t>
            </w: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Equity investments</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161,497,771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841,727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160,656,044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1,132,085,474</w:t>
            </w:r>
          </w:p>
        </w:tc>
        <w:tc>
          <w:tcPr>
            <w:tcW w:w="26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841,727</w:t>
            </w:r>
          </w:p>
        </w:tc>
        <w:tc>
          <w:tcPr>
            <w:tcW w:w="8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114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1,131,243,747</w:t>
            </w: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19,506,154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19,506,154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1,151,591,628</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gridSpan w:val="2"/>
            <w:shd w:val="clear" w:color="auto" w:fill="CCECFF"/>
          </w:tcPr>
          <w:p>
            <w:pPr>
              <w:jc w:val="right"/>
              <w:ind w:right="160"/>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1080" w:type="dxa"/>
            <w:vAlign w:val="bottom"/>
            <w:tcBorders>
              <w:top w:val="single" w:sz="8" w:color="auto"/>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20,347,881</w:t>
            </w: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6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4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shd w:val="clear" w:color="auto" w:fill="CCECFF"/>
          </w:tcPr>
          <w:p>
            <w:pPr>
              <w:spacing w:after="0"/>
              <w:rPr>
                <w:sz w:val="13"/>
                <w:szCs w:val="13"/>
                <w:color w:val="auto"/>
              </w:rPr>
            </w:pPr>
          </w:p>
        </w:tc>
        <w:tc>
          <w:tcPr>
            <w:tcW w:w="1140" w:type="dxa"/>
            <w:vAlign w:val="bottom"/>
            <w:tcBorders>
              <w:top w:val="single" w:sz="8" w:color="auto"/>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1,131,243,747</w:t>
            </w:r>
          </w:p>
        </w:tc>
        <w:tc>
          <w:tcPr>
            <w:tcW w:w="2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color w:val="auto"/>
              </w:rPr>
              <w:t>SunTrust Credit Facility</w:t>
            </w:r>
          </w:p>
        </w:tc>
        <w:tc>
          <w:tcPr>
            <w:tcW w:w="5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Borders>
              <w:top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77,645,830</w:t>
            </w:r>
          </w:p>
        </w:tc>
        <w:tc>
          <w:tcPr>
            <w:tcW w:w="260" w:type="dxa"/>
            <w:vAlign w:val="bottom"/>
          </w:tcPr>
          <w:p>
            <w:pPr>
              <w:spacing w:after="0"/>
              <w:rPr>
                <w:sz w:val="12"/>
                <w:szCs w:val="12"/>
                <w:color w:val="auto"/>
              </w:rPr>
            </w:pPr>
          </w:p>
        </w:tc>
        <w:tc>
          <w:tcPr>
            <w:tcW w:w="240" w:type="dxa"/>
            <w:vAlign w:val="bottom"/>
            <w:tcBorders>
              <w:top w:val="single" w:sz="8" w:color="auto"/>
            </w:tcBorders>
            <w:gridSpan w:val="2"/>
          </w:tcPr>
          <w:p>
            <w:pPr>
              <w:jc w:val="right"/>
              <w:ind w:right="160"/>
              <w:spacing w:after="0" w:line="143"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77,645,830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2019 Notes</w:t>
            </w:r>
          </w:p>
        </w:tc>
        <w:tc>
          <w:tcPr>
            <w:tcW w:w="16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251,322,500</w:t>
            </w: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5"/>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251,322,500</w:t>
            </w:r>
          </w:p>
        </w:tc>
        <w:tc>
          <w:tcPr>
            <w:tcW w:w="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328,968,330</w:t>
            </w:r>
          </w:p>
        </w:tc>
        <w:tc>
          <w:tcPr>
            <w:tcW w:w="260" w:type="dxa"/>
            <w:vAlign w:val="bottom"/>
          </w:tcPr>
          <w:p>
            <w:pPr>
              <w:spacing w:after="0"/>
              <w:rPr>
                <w:sz w:val="13"/>
                <w:szCs w:val="13"/>
                <w:color w:val="auto"/>
              </w:rPr>
            </w:pPr>
          </w:p>
        </w:tc>
        <w:tc>
          <w:tcPr>
            <w:tcW w:w="240" w:type="dxa"/>
            <w:vAlign w:val="bottom"/>
            <w:tcBorders>
              <w:top w:val="single" w:sz="8" w:color="auto"/>
              <w:bottom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251,322,500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77,645,830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2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10000" w:type="dxa"/>
            <w:vAlign w:val="bottom"/>
            <w:gridSpan w:val="23"/>
          </w:tcPr>
          <w:p>
            <w:pPr>
              <w:ind w:left="460"/>
              <w:spacing w:after="0"/>
              <w:rPr>
                <w:sz w:val="20"/>
                <w:szCs w:val="20"/>
                <w:color w:val="auto"/>
              </w:rPr>
            </w:pPr>
            <w:r>
              <w:rPr>
                <w:rFonts w:ascii="Arial" w:cs="Arial" w:eastAsia="Arial" w:hAnsi="Arial"/>
                <w:sz w:val="14"/>
                <w:szCs w:val="14"/>
                <w:color w:val="auto"/>
                <w:w w:val="94"/>
              </w:rPr>
              <w:t>The tables below show a reconciliation of the beginning and ending balances for fair valued investments measured using significant unobservable inputs (Level 3):</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gridSpan w:val="13"/>
          </w:tcPr>
          <w:p>
            <w:pPr>
              <w:jc w:val="center"/>
              <w:ind w:right="48"/>
              <w:spacing w:after="0"/>
              <w:rPr>
                <w:sz w:val="20"/>
                <w:szCs w:val="20"/>
                <w:color w:val="auto"/>
              </w:rPr>
            </w:pPr>
            <w:r>
              <w:rPr>
                <w:rFonts w:ascii="Arial" w:cs="Arial" w:eastAsia="Arial" w:hAnsi="Arial"/>
                <w:sz w:val="14"/>
                <w:szCs w:val="14"/>
                <w:b w:val="1"/>
                <w:bCs w:val="1"/>
                <w:color w:val="auto"/>
                <w:w w:val="94"/>
              </w:rPr>
              <w:t>Six Months Ended March 31, 2019</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5"/>
          </w:tcPr>
          <w:p>
            <w:pPr>
              <w:jc w:val="center"/>
              <w:ind w:right="260"/>
              <w:spacing w:after="0" w:line="133" w:lineRule="exact"/>
              <w:rPr>
                <w:sz w:val="20"/>
                <w:szCs w:val="20"/>
                <w:color w:val="auto"/>
              </w:rPr>
            </w:pPr>
            <w:r>
              <w:rPr>
                <w:rFonts w:ascii="Arial" w:cs="Arial" w:eastAsia="Arial" w:hAnsi="Arial"/>
                <w:sz w:val="14"/>
                <w:szCs w:val="14"/>
                <w:b w:val="1"/>
                <w:bCs w:val="1"/>
                <w:color w:val="auto"/>
                <w:w w:val="89"/>
              </w:rPr>
              <w:t>Debt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4"/>
          </w:tcPr>
          <w:p>
            <w:pPr>
              <w:jc w:val="center"/>
              <w:ind w:right="300"/>
              <w:spacing w:after="0" w:line="133"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05"/>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2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5"/>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60" w:type="dxa"/>
            <w:vAlign w:val="bottom"/>
            <w:tcBorders>
              <w:top w:val="single" w:sz="8" w:color="auto"/>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gridSpan w:val="4"/>
            <w:shd w:val="clear" w:color="auto" w:fill="CCECFF"/>
          </w:tcPr>
          <w:p>
            <w:pPr>
              <w:jc w:val="right"/>
              <w:spacing w:after="0" w:line="155" w:lineRule="exact"/>
              <w:rPr>
                <w:sz w:val="20"/>
                <w:szCs w:val="20"/>
                <w:color w:val="auto"/>
              </w:rPr>
            </w:pPr>
            <w:r>
              <w:rPr>
                <w:rFonts w:ascii="Arial" w:cs="Arial" w:eastAsia="Arial" w:hAnsi="Arial"/>
                <w:sz w:val="14"/>
                <w:szCs w:val="14"/>
                <w:color w:val="auto"/>
              </w:rPr>
              <w:t>970,587,703</w:t>
            </w:r>
          </w:p>
        </w:tc>
        <w:tc>
          <w:tcPr>
            <w:tcW w:w="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CCECFF"/>
            </w:tcBorders>
            <w:gridSpan w:val="2"/>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gridSpan w:val="3"/>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160,656,044</w:t>
            </w:r>
          </w:p>
        </w:tc>
        <w:tc>
          <w:tcPr>
            <w:tcW w:w="10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CCECFF"/>
            </w:tcBorders>
            <w:gridSpan w:val="2"/>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1,131,243,747</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Net realized gains</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color w:val="auto"/>
              </w:rPr>
              <w:t>1,695,602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4"/>
                <w:szCs w:val="14"/>
                <w:color w:val="auto"/>
              </w:rPr>
              <w:t>7,766,612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9,462,214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appreciation (depreciation)</w:t>
            </w:r>
          </w:p>
        </w:tc>
        <w:tc>
          <w:tcPr>
            <w:tcW w:w="16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1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5"/>
            <w:shd w:val="clear" w:color="auto" w:fill="CCECFF"/>
          </w:tcPr>
          <w:p>
            <w:pPr>
              <w:jc w:val="right"/>
              <w:ind w:right="20"/>
              <w:spacing w:after="0"/>
              <w:rPr>
                <w:sz w:val="20"/>
                <w:szCs w:val="20"/>
                <w:color w:val="auto"/>
              </w:rPr>
            </w:pPr>
            <w:r>
              <w:rPr>
                <w:rFonts w:ascii="Arial" w:cs="Arial" w:eastAsia="Arial" w:hAnsi="Arial"/>
                <w:sz w:val="14"/>
                <w:szCs w:val="14"/>
                <w:color w:val="auto"/>
              </w:rPr>
              <w:t>(4,414,639)</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320" w:type="dxa"/>
            <w:vAlign w:val="bottom"/>
            <w:gridSpan w:val="4"/>
            <w:shd w:val="clear" w:color="auto" w:fill="CCECFF"/>
          </w:tcPr>
          <w:p>
            <w:pPr>
              <w:jc w:val="right"/>
              <w:ind w:right="60"/>
              <w:spacing w:after="0"/>
              <w:rPr>
                <w:sz w:val="20"/>
                <w:szCs w:val="20"/>
                <w:color w:val="auto"/>
              </w:rPr>
            </w:pPr>
            <w:r>
              <w:rPr>
                <w:rFonts w:ascii="Arial" w:cs="Arial" w:eastAsia="Arial" w:hAnsi="Arial"/>
                <w:sz w:val="14"/>
                <w:szCs w:val="14"/>
                <w:color w:val="auto"/>
              </w:rPr>
              <w:t>(35,819,057)</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(40,233,696)</w:t>
            </w:r>
          </w:p>
        </w:tc>
        <w:tc>
          <w:tcPr>
            <w:tcW w:w="0" w:type="dxa"/>
            <w:vAlign w:val="bottom"/>
          </w:tcPr>
          <w:p>
            <w:pPr>
              <w:spacing w:after="0"/>
              <w:rPr>
                <w:sz w:val="1"/>
                <w:szCs w:val="1"/>
                <w:color w:val="auto"/>
              </w:rPr>
            </w:pPr>
          </w:p>
        </w:tc>
      </w:tr>
      <w:tr>
        <w:trPr>
          <w:trHeight w:val="162"/>
        </w:trPr>
        <w:tc>
          <w:tcPr>
            <w:tcW w:w="4780" w:type="dxa"/>
            <w:vAlign w:val="bottom"/>
            <w:gridSpan w:val="3"/>
          </w:tcPr>
          <w:p>
            <w:pPr>
              <w:ind w:left="500"/>
              <w:spacing w:after="0"/>
              <w:rPr>
                <w:sz w:val="20"/>
                <w:szCs w:val="20"/>
                <w:color w:val="auto"/>
              </w:rPr>
            </w:pPr>
            <w:r>
              <w:rPr>
                <w:rFonts w:ascii="Arial" w:cs="Arial" w:eastAsia="Arial" w:hAnsi="Arial"/>
                <w:sz w:val="14"/>
                <w:szCs w:val="14"/>
                <w:color w:val="auto"/>
                <w:w w:val="94"/>
              </w:rPr>
              <w:t>Purchases, PIK interest, net discount accretion and non-cash exchanges</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color w:val="auto"/>
              </w:rPr>
              <w:t>354,143,193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4"/>
                <w:szCs w:val="14"/>
                <w:color w:val="auto"/>
              </w:rPr>
              <w:t>29,624,474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383,767,667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6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1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5"/>
            <w:shd w:val="clear" w:color="auto" w:fill="CCECFF"/>
          </w:tcPr>
          <w:p>
            <w:pPr>
              <w:jc w:val="right"/>
              <w:ind w:right="20"/>
              <w:spacing w:after="0"/>
              <w:rPr>
                <w:sz w:val="20"/>
                <w:szCs w:val="20"/>
                <w:color w:val="auto"/>
              </w:rPr>
            </w:pPr>
            <w:r>
              <w:rPr>
                <w:rFonts w:ascii="Arial" w:cs="Arial" w:eastAsia="Arial" w:hAnsi="Arial"/>
                <w:sz w:val="14"/>
                <w:szCs w:val="14"/>
                <w:color w:val="auto"/>
              </w:rPr>
              <w:t>(235,568,012)</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320" w:type="dxa"/>
            <w:vAlign w:val="bottom"/>
            <w:gridSpan w:val="4"/>
            <w:shd w:val="clear" w:color="auto" w:fill="CCECFF"/>
          </w:tcPr>
          <w:p>
            <w:pPr>
              <w:jc w:val="right"/>
              <w:ind w:right="60"/>
              <w:spacing w:after="0"/>
              <w:rPr>
                <w:sz w:val="20"/>
                <w:szCs w:val="20"/>
                <w:color w:val="auto"/>
              </w:rPr>
            </w:pPr>
            <w:r>
              <w:rPr>
                <w:rFonts w:ascii="Arial" w:cs="Arial" w:eastAsia="Arial" w:hAnsi="Arial"/>
                <w:sz w:val="14"/>
                <w:szCs w:val="14"/>
                <w:color w:val="auto"/>
              </w:rPr>
              <w:t>(5,246,231)</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(240,814,243)</w:t>
            </w: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2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60" w:type="dxa"/>
            <w:vAlign w:val="bottom"/>
            <w:tcBorders>
              <w:top w:val="single" w:sz="8" w:color="CCECFF"/>
              <w:bottom w:val="single" w:sz="8" w:color="CCECFF"/>
            </w:tcBorders>
            <w:shd w:val="clear" w:color="auto" w:fill="CCECFF"/>
          </w:tcPr>
          <w:p>
            <w:pPr>
              <w:spacing w:after="0"/>
              <w:rPr>
                <w:sz w:val="13"/>
                <w:szCs w:val="13"/>
                <w:color w:val="auto"/>
              </w:rPr>
            </w:pPr>
          </w:p>
        </w:tc>
        <w:tc>
          <w:tcPr>
            <w:tcW w:w="112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4"/>
            <w:shd w:val="clear" w:color="auto" w:fill="CCECFF"/>
          </w:tcPr>
          <w:p>
            <w:pPr>
              <w:jc w:val="right"/>
              <w:spacing w:after="0" w:line="155" w:lineRule="exact"/>
              <w:rPr>
                <w:sz w:val="20"/>
                <w:szCs w:val="20"/>
                <w:color w:val="auto"/>
              </w:rPr>
            </w:pPr>
            <w:r>
              <w:rPr>
                <w:rFonts w:ascii="Arial" w:cs="Arial" w:eastAsia="Arial" w:hAnsi="Arial"/>
                <w:sz w:val="14"/>
                <w:szCs w:val="14"/>
                <w:color w:val="auto"/>
              </w:rPr>
              <w:t>1,086,443,847</w:t>
            </w: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CCECFF"/>
              <w:bottom w:val="single" w:sz="8" w:color="CCECFF"/>
            </w:tcBorders>
            <w:gridSpan w:val="2"/>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3"/>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156,981,842</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CCECFF"/>
              <w:bottom w:val="single" w:sz="8" w:color="CCECFF"/>
            </w:tcBorders>
            <w:gridSpan w:val="2"/>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1,243,425,689</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160" w:type="dxa"/>
            <w:vAlign w:val="bottom"/>
            <w:gridSpan w:val="5"/>
            <w:vMerge w:val="restart"/>
          </w:tcPr>
          <w:p>
            <w:pPr>
              <w:spacing w:after="0"/>
              <w:rPr>
                <w:sz w:val="20"/>
                <w:szCs w:val="20"/>
                <w:color w:val="auto"/>
              </w:rPr>
            </w:pPr>
            <w:r>
              <w:rPr>
                <w:rFonts w:ascii="Arial" w:cs="Arial" w:eastAsia="Arial" w:hAnsi="Arial"/>
                <w:sz w:val="14"/>
                <w:szCs w:val="14"/>
                <w:color w:val="auto"/>
              </w:rPr>
              <w:t>Net change in unrealized appreciation (depreciation) reported within the net change in unrealized</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16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60" w:type="dxa"/>
            <w:vAlign w:val="bottom"/>
            <w:gridSpan w:val="8"/>
          </w:tcPr>
          <w:p>
            <w:pPr>
              <w:spacing w:after="0" w:line="149" w:lineRule="exact"/>
              <w:rPr>
                <w:sz w:val="20"/>
                <w:szCs w:val="20"/>
                <w:color w:val="auto"/>
              </w:rPr>
            </w:pPr>
            <w:r>
              <w:rPr>
                <w:rFonts w:ascii="Arial" w:cs="Arial" w:eastAsia="Arial" w:hAnsi="Arial"/>
                <w:sz w:val="14"/>
                <w:szCs w:val="14"/>
                <w:color w:val="auto"/>
                <w:w w:val="97"/>
              </w:rPr>
              <w:t>depreciation on investments in our Consolidated Statements of Operations attributable to our Level 3 assets</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60" w:type="dxa"/>
            <w:vAlign w:val="bottom"/>
          </w:tcPr>
          <w:p>
            <w:pPr>
              <w:spacing w:after="0"/>
              <w:rPr>
                <w:sz w:val="20"/>
                <w:szCs w:val="20"/>
                <w:color w:val="auto"/>
              </w:rPr>
            </w:pPr>
            <w:r>
              <w:rPr>
                <w:rFonts w:ascii="Arial" w:cs="Arial" w:eastAsia="Arial" w:hAnsi="Arial"/>
                <w:sz w:val="14"/>
                <w:szCs w:val="14"/>
                <w:color w:val="auto"/>
              </w:rPr>
              <w:t>still held at the reporting date.</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gridSpan w:val="3"/>
            <w:vMerge w:val="restart"/>
          </w:tcPr>
          <w:p>
            <w:pPr>
              <w:jc w:val="right"/>
              <w:ind w:right="49"/>
              <w:spacing w:after="0"/>
              <w:rPr>
                <w:sz w:val="20"/>
                <w:szCs w:val="20"/>
                <w:color w:val="auto"/>
              </w:rPr>
            </w:pPr>
            <w:r>
              <w:rPr>
                <w:rFonts w:ascii="Arial" w:cs="Arial" w:eastAsia="Arial" w:hAnsi="Arial"/>
                <w:sz w:val="14"/>
                <w:szCs w:val="14"/>
                <w:color w:val="auto"/>
              </w:rPr>
              <w:t>$</w:t>
            </w:r>
          </w:p>
        </w:tc>
        <w:tc>
          <w:tcPr>
            <w:tcW w:w="1300" w:type="dxa"/>
            <w:vAlign w:val="bottom"/>
            <w:gridSpan w:val="5"/>
            <w:vMerge w:val="restart"/>
          </w:tcPr>
          <w:p>
            <w:pPr>
              <w:jc w:val="right"/>
              <w:ind w:right="20"/>
              <w:spacing w:after="0"/>
              <w:rPr>
                <w:sz w:val="20"/>
                <w:szCs w:val="20"/>
                <w:color w:val="auto"/>
              </w:rPr>
            </w:pPr>
            <w:r>
              <w:rPr>
                <w:rFonts w:ascii="Arial" w:cs="Arial" w:eastAsia="Arial" w:hAnsi="Arial"/>
                <w:sz w:val="14"/>
                <w:szCs w:val="14"/>
                <w:color w:val="auto"/>
              </w:rPr>
              <w:t>(4,016,698)</w:t>
            </w:r>
          </w:p>
        </w:tc>
        <w:tc>
          <w:tcPr>
            <w:tcW w:w="380" w:type="dxa"/>
            <w:vAlign w:val="bottom"/>
            <w:gridSpan w:val="3"/>
            <w:vMerge w:val="restart"/>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gridSpan w:val="4"/>
            <w:vMerge w:val="restart"/>
          </w:tcPr>
          <w:p>
            <w:pPr>
              <w:jc w:val="right"/>
              <w:ind w:right="60"/>
              <w:spacing w:after="0"/>
              <w:rPr>
                <w:sz w:val="20"/>
                <w:szCs w:val="20"/>
                <w:color w:val="auto"/>
              </w:rPr>
            </w:pPr>
            <w:r>
              <w:rPr>
                <w:rFonts w:ascii="Arial" w:cs="Arial" w:eastAsia="Arial" w:hAnsi="Arial"/>
                <w:sz w:val="14"/>
                <w:szCs w:val="14"/>
                <w:color w:val="auto"/>
              </w:rPr>
              <w:t>(27,186,365)</w:t>
            </w:r>
          </w:p>
        </w:tc>
        <w:tc>
          <w:tcPr>
            <w:tcW w:w="440" w:type="dxa"/>
            <w:vAlign w:val="bottom"/>
            <w:gridSpan w:val="3"/>
            <w:vMerge w:val="restart"/>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(31,203,063)</w:t>
            </w:r>
          </w:p>
        </w:tc>
        <w:tc>
          <w:tcPr>
            <w:tcW w:w="0" w:type="dxa"/>
            <w:vAlign w:val="bottom"/>
          </w:tcPr>
          <w:p>
            <w:pPr>
              <w:spacing w:after="0"/>
              <w:rPr>
                <w:sz w:val="1"/>
                <w:szCs w:val="1"/>
                <w:color w:val="auto"/>
              </w:rPr>
            </w:pPr>
          </w:p>
        </w:tc>
      </w:tr>
      <w:tr>
        <w:trPr>
          <w:trHeight w:val="93"/>
        </w:trPr>
        <w:tc>
          <w:tcPr>
            <w:tcW w:w="4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gridSpan w:val="3"/>
            <w:vMerge w:val="continue"/>
          </w:tcPr>
          <w:p>
            <w:pPr>
              <w:spacing w:after="0"/>
              <w:rPr>
                <w:sz w:val="8"/>
                <w:szCs w:val="8"/>
                <w:color w:val="auto"/>
              </w:rPr>
            </w:pPr>
          </w:p>
        </w:tc>
        <w:tc>
          <w:tcPr>
            <w:tcW w:w="1300" w:type="dxa"/>
            <w:vAlign w:val="bottom"/>
            <w:gridSpan w:val="5"/>
            <w:vMerge w:val="continue"/>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1320" w:type="dxa"/>
            <w:vAlign w:val="bottom"/>
            <w:gridSpan w:val="4"/>
            <w:vMerge w:val="continue"/>
          </w:tcPr>
          <w:p>
            <w:pPr>
              <w:spacing w:after="0"/>
              <w:rPr>
                <w:sz w:val="8"/>
                <w:szCs w:val="8"/>
                <w:color w:val="auto"/>
              </w:rPr>
            </w:pPr>
          </w:p>
        </w:tc>
        <w:tc>
          <w:tcPr>
            <w:tcW w:w="440" w:type="dxa"/>
            <w:vAlign w:val="bottom"/>
            <w:gridSpan w:val="3"/>
            <w:vMerge w:val="continue"/>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13"/>
          </w:tcPr>
          <w:p>
            <w:pPr>
              <w:jc w:val="center"/>
              <w:ind w:right="48"/>
              <w:spacing w:after="0"/>
              <w:rPr>
                <w:sz w:val="20"/>
                <w:szCs w:val="20"/>
                <w:color w:val="auto"/>
              </w:rPr>
            </w:pPr>
            <w:r>
              <w:rPr>
                <w:rFonts w:ascii="Arial" w:cs="Arial" w:eastAsia="Arial" w:hAnsi="Arial"/>
                <w:sz w:val="14"/>
                <w:szCs w:val="14"/>
                <w:b w:val="1"/>
                <w:bCs w:val="1"/>
                <w:color w:val="auto"/>
                <w:w w:val="94"/>
              </w:rPr>
              <w:t>Six Months Ended March 31, 2018</w:t>
            </w: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5"/>
          </w:tcPr>
          <w:p>
            <w:pPr>
              <w:jc w:val="center"/>
              <w:ind w:right="260"/>
              <w:spacing w:after="0" w:line="133" w:lineRule="exact"/>
              <w:rPr>
                <w:sz w:val="20"/>
                <w:szCs w:val="20"/>
                <w:color w:val="auto"/>
              </w:rPr>
            </w:pPr>
            <w:r>
              <w:rPr>
                <w:rFonts w:ascii="Arial" w:cs="Arial" w:eastAsia="Arial" w:hAnsi="Arial"/>
                <w:sz w:val="14"/>
                <w:szCs w:val="14"/>
                <w:b w:val="1"/>
                <w:bCs w:val="1"/>
                <w:color w:val="auto"/>
                <w:w w:val="89"/>
              </w:rPr>
              <w:t>Debt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4"/>
          </w:tcPr>
          <w:p>
            <w:pPr>
              <w:jc w:val="center"/>
              <w:ind w:right="300"/>
              <w:spacing w:after="0" w:line="133"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05"/>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2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5"/>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60" w:type="dxa"/>
            <w:vAlign w:val="bottom"/>
            <w:tcBorders>
              <w:top w:val="single" w:sz="8" w:color="auto"/>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gridSpan w:val="4"/>
            <w:shd w:val="clear" w:color="auto" w:fill="CCECFF"/>
          </w:tcPr>
          <w:p>
            <w:pPr>
              <w:jc w:val="right"/>
              <w:spacing w:after="0" w:line="155" w:lineRule="exact"/>
              <w:rPr>
                <w:sz w:val="20"/>
                <w:szCs w:val="20"/>
                <w:color w:val="auto"/>
              </w:rPr>
            </w:pPr>
            <w:r>
              <w:rPr>
                <w:rFonts w:ascii="Arial" w:cs="Arial" w:eastAsia="Arial" w:hAnsi="Arial"/>
                <w:sz w:val="14"/>
                <w:szCs w:val="14"/>
                <w:color w:val="auto"/>
              </w:rPr>
              <w:t>986,328,498</w:t>
            </w:r>
          </w:p>
        </w:tc>
        <w:tc>
          <w:tcPr>
            <w:tcW w:w="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CCECFF"/>
            </w:tcBorders>
            <w:gridSpan w:val="2"/>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gridSpan w:val="3"/>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166,268,568</w:t>
            </w:r>
          </w:p>
        </w:tc>
        <w:tc>
          <w:tcPr>
            <w:tcW w:w="10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CCECFF"/>
            </w:tcBorders>
            <w:gridSpan w:val="2"/>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1,152,597,066</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Net realized gains</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color w:val="auto"/>
              </w:rPr>
              <w:t>228,516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4"/>
                <w:szCs w:val="14"/>
                <w:color w:val="auto"/>
              </w:rPr>
              <w:t>25,180,672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25,409,188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depreciation</w:t>
            </w:r>
          </w:p>
        </w:tc>
        <w:tc>
          <w:tcPr>
            <w:tcW w:w="16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1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5"/>
            <w:shd w:val="clear" w:color="auto" w:fill="CCECFF"/>
          </w:tcPr>
          <w:p>
            <w:pPr>
              <w:jc w:val="right"/>
              <w:ind w:right="20"/>
              <w:spacing w:after="0"/>
              <w:rPr>
                <w:sz w:val="20"/>
                <w:szCs w:val="20"/>
                <w:color w:val="auto"/>
              </w:rPr>
            </w:pPr>
            <w:r>
              <w:rPr>
                <w:rFonts w:ascii="Arial" w:cs="Arial" w:eastAsia="Arial" w:hAnsi="Arial"/>
                <w:sz w:val="14"/>
                <w:szCs w:val="14"/>
                <w:color w:val="auto"/>
              </w:rPr>
              <w:t>(7,727,570)</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320" w:type="dxa"/>
            <w:vAlign w:val="bottom"/>
            <w:gridSpan w:val="4"/>
            <w:shd w:val="clear" w:color="auto" w:fill="CCECFF"/>
          </w:tcPr>
          <w:p>
            <w:pPr>
              <w:jc w:val="right"/>
              <w:ind w:right="60"/>
              <w:spacing w:after="0"/>
              <w:rPr>
                <w:sz w:val="20"/>
                <w:szCs w:val="20"/>
                <w:color w:val="auto"/>
              </w:rPr>
            </w:pPr>
            <w:r>
              <w:rPr>
                <w:rFonts w:ascii="Arial" w:cs="Arial" w:eastAsia="Arial" w:hAnsi="Arial"/>
                <w:sz w:val="14"/>
                <w:szCs w:val="14"/>
                <w:color w:val="auto"/>
              </w:rPr>
              <w:t>(28,603,544)</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(36,331,114)</w:t>
            </w:r>
          </w:p>
        </w:tc>
        <w:tc>
          <w:tcPr>
            <w:tcW w:w="0" w:type="dxa"/>
            <w:vAlign w:val="bottom"/>
          </w:tcPr>
          <w:p>
            <w:pPr>
              <w:spacing w:after="0"/>
              <w:rPr>
                <w:sz w:val="1"/>
                <w:szCs w:val="1"/>
                <w:color w:val="auto"/>
              </w:rPr>
            </w:pPr>
          </w:p>
        </w:tc>
      </w:tr>
      <w:tr>
        <w:trPr>
          <w:trHeight w:val="162"/>
        </w:trPr>
        <w:tc>
          <w:tcPr>
            <w:tcW w:w="4780" w:type="dxa"/>
            <w:vAlign w:val="bottom"/>
            <w:gridSpan w:val="3"/>
          </w:tcPr>
          <w:p>
            <w:pPr>
              <w:ind w:left="500"/>
              <w:spacing w:after="0"/>
              <w:rPr>
                <w:sz w:val="20"/>
                <w:szCs w:val="20"/>
                <w:color w:val="auto"/>
              </w:rPr>
            </w:pPr>
            <w:r>
              <w:rPr>
                <w:rFonts w:ascii="Arial" w:cs="Arial" w:eastAsia="Arial" w:hAnsi="Arial"/>
                <w:sz w:val="14"/>
                <w:szCs w:val="14"/>
                <w:color w:val="auto"/>
                <w:w w:val="94"/>
              </w:rPr>
              <w:t>Purchases, PIK interest, net discount accretion and non-cash exchanges</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color w:val="auto"/>
              </w:rPr>
              <w:t>196,129,942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4"/>
                <w:szCs w:val="14"/>
                <w:color w:val="auto"/>
              </w:rPr>
              <w:t>47,748,598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243,878,540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6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1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5"/>
            <w:shd w:val="clear" w:color="auto" w:fill="CCECFF"/>
          </w:tcPr>
          <w:p>
            <w:pPr>
              <w:jc w:val="right"/>
              <w:ind w:right="20"/>
              <w:spacing w:after="0"/>
              <w:rPr>
                <w:sz w:val="20"/>
                <w:szCs w:val="20"/>
                <w:color w:val="auto"/>
              </w:rPr>
            </w:pPr>
            <w:r>
              <w:rPr>
                <w:rFonts w:ascii="Arial" w:cs="Arial" w:eastAsia="Arial" w:hAnsi="Arial"/>
                <w:sz w:val="14"/>
                <w:szCs w:val="14"/>
                <w:color w:val="auto"/>
              </w:rPr>
              <w:t>(391,606,458)</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320" w:type="dxa"/>
            <w:vAlign w:val="bottom"/>
            <w:gridSpan w:val="4"/>
            <w:shd w:val="clear" w:color="auto" w:fill="CCECFF"/>
          </w:tcPr>
          <w:p>
            <w:pPr>
              <w:jc w:val="right"/>
              <w:ind w:right="60"/>
              <w:spacing w:after="0"/>
              <w:rPr>
                <w:sz w:val="20"/>
                <w:szCs w:val="20"/>
                <w:color w:val="auto"/>
              </w:rPr>
            </w:pPr>
            <w:r>
              <w:rPr>
                <w:rFonts w:ascii="Arial" w:cs="Arial" w:eastAsia="Arial" w:hAnsi="Arial"/>
                <w:sz w:val="14"/>
                <w:szCs w:val="14"/>
                <w:color w:val="auto"/>
              </w:rPr>
              <w:t>(47,079,655)</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(438,686,113)</w:t>
            </w: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2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60" w:type="dxa"/>
            <w:vAlign w:val="bottom"/>
            <w:tcBorders>
              <w:top w:val="single" w:sz="8" w:color="CCECFF"/>
              <w:bottom w:val="single" w:sz="8" w:color="CCECFF"/>
            </w:tcBorders>
            <w:shd w:val="clear" w:color="auto" w:fill="CCECFF"/>
          </w:tcPr>
          <w:p>
            <w:pPr>
              <w:spacing w:after="0"/>
              <w:rPr>
                <w:sz w:val="13"/>
                <w:szCs w:val="13"/>
                <w:color w:val="auto"/>
              </w:rPr>
            </w:pPr>
          </w:p>
        </w:tc>
        <w:tc>
          <w:tcPr>
            <w:tcW w:w="112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CCECFF"/>
              <w:bottom w:val="single" w:sz="8" w:color="CCECFF"/>
            </w:tcBorders>
            <w:gridSpan w:val="2"/>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4"/>
            <w:shd w:val="clear" w:color="auto" w:fill="CCECFF"/>
          </w:tcPr>
          <w:p>
            <w:pPr>
              <w:jc w:val="right"/>
              <w:spacing w:after="0" w:line="155" w:lineRule="exact"/>
              <w:rPr>
                <w:sz w:val="20"/>
                <w:szCs w:val="20"/>
                <w:color w:val="auto"/>
              </w:rPr>
            </w:pPr>
            <w:r>
              <w:rPr>
                <w:rFonts w:ascii="Arial" w:cs="Arial" w:eastAsia="Arial" w:hAnsi="Arial"/>
                <w:sz w:val="14"/>
                <w:szCs w:val="14"/>
                <w:color w:val="auto"/>
              </w:rPr>
              <w:t>783,352,928</w:t>
            </w: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CCECFF"/>
              <w:bottom w:val="single" w:sz="8" w:color="CCECFF"/>
            </w:tcBorders>
            <w:gridSpan w:val="2"/>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3"/>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163,514,639</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CCECFF"/>
              <w:bottom w:val="single" w:sz="8" w:color="CCECFF"/>
            </w:tcBorders>
            <w:gridSpan w:val="2"/>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946,867,567</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160" w:type="dxa"/>
            <w:vAlign w:val="bottom"/>
            <w:gridSpan w:val="5"/>
            <w:vMerge w:val="restart"/>
          </w:tcPr>
          <w:p>
            <w:pPr>
              <w:spacing w:after="0"/>
              <w:rPr>
                <w:sz w:val="20"/>
                <w:szCs w:val="20"/>
                <w:color w:val="auto"/>
              </w:rPr>
            </w:pPr>
            <w:r>
              <w:rPr>
                <w:rFonts w:ascii="Arial" w:cs="Arial" w:eastAsia="Arial" w:hAnsi="Arial"/>
                <w:sz w:val="14"/>
                <w:szCs w:val="14"/>
                <w:color w:val="auto"/>
              </w:rPr>
              <w:t>Net change in unrealized appreciation (depreciation) reported within the net change in unrealized</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16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60" w:type="dxa"/>
            <w:vAlign w:val="bottom"/>
            <w:gridSpan w:val="8"/>
          </w:tcPr>
          <w:p>
            <w:pPr>
              <w:spacing w:after="0" w:line="149" w:lineRule="exact"/>
              <w:rPr>
                <w:sz w:val="20"/>
                <w:szCs w:val="20"/>
                <w:color w:val="auto"/>
              </w:rPr>
            </w:pPr>
            <w:r>
              <w:rPr>
                <w:rFonts w:ascii="Arial" w:cs="Arial" w:eastAsia="Arial" w:hAnsi="Arial"/>
                <w:sz w:val="14"/>
                <w:szCs w:val="14"/>
                <w:color w:val="auto"/>
                <w:w w:val="98"/>
              </w:rPr>
              <w:t>(depreciation) appreciation on investments in our Consolidated Statements of Operations attributable to our</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tcPr>
          <w:p>
            <w:pPr>
              <w:spacing w:after="0"/>
              <w:rPr>
                <w:sz w:val="20"/>
                <w:szCs w:val="20"/>
                <w:color w:val="auto"/>
              </w:rPr>
            </w:pPr>
            <w:r>
              <w:rPr>
                <w:rFonts w:ascii="Arial" w:cs="Arial" w:eastAsia="Arial" w:hAnsi="Arial"/>
                <w:sz w:val="14"/>
                <w:szCs w:val="14"/>
                <w:color w:val="auto"/>
              </w:rPr>
              <w:t>Level 3 assets still held at the reporting date.</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gridSpan w:val="3"/>
          </w:tcPr>
          <w:p>
            <w:pPr>
              <w:jc w:val="right"/>
              <w:ind w:right="49"/>
              <w:spacing w:after="0"/>
              <w:rPr>
                <w:sz w:val="20"/>
                <w:szCs w:val="20"/>
                <w:color w:val="auto"/>
              </w:rPr>
            </w:pPr>
            <w:r>
              <w:rPr>
                <w:rFonts w:ascii="Arial" w:cs="Arial" w:eastAsia="Arial" w:hAnsi="Arial"/>
                <w:sz w:val="14"/>
                <w:szCs w:val="14"/>
                <w:color w:val="auto"/>
              </w:rPr>
              <w:t>$</w:t>
            </w:r>
          </w:p>
        </w:tc>
        <w:tc>
          <w:tcPr>
            <w:tcW w:w="1220" w:type="dxa"/>
            <w:vAlign w:val="bottom"/>
            <w:gridSpan w:val="4"/>
          </w:tcPr>
          <w:p>
            <w:pPr>
              <w:jc w:val="right"/>
              <w:spacing w:after="0"/>
              <w:rPr>
                <w:sz w:val="20"/>
                <w:szCs w:val="20"/>
                <w:color w:val="auto"/>
              </w:rPr>
            </w:pPr>
            <w:r>
              <w:rPr>
                <w:rFonts w:ascii="Arial" w:cs="Arial" w:eastAsia="Arial" w:hAnsi="Arial"/>
                <w:sz w:val="14"/>
                <w:szCs w:val="14"/>
                <w:color w:val="auto"/>
              </w:rPr>
              <w:t>495,319</w:t>
            </w:r>
          </w:p>
        </w:tc>
        <w:tc>
          <w:tcPr>
            <w:tcW w:w="80" w:type="dxa"/>
            <w:vAlign w:val="bottom"/>
          </w:tcPr>
          <w:p>
            <w:pPr>
              <w:spacing w:after="0"/>
              <w:rPr>
                <w:sz w:val="14"/>
                <w:szCs w:val="14"/>
                <w:color w:val="auto"/>
              </w:rPr>
            </w:pPr>
          </w:p>
        </w:tc>
        <w:tc>
          <w:tcPr>
            <w:tcW w:w="380" w:type="dxa"/>
            <w:vAlign w:val="bottom"/>
            <w:gridSpan w:val="3"/>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gridSpan w:val="4"/>
          </w:tcPr>
          <w:p>
            <w:pPr>
              <w:jc w:val="right"/>
              <w:ind w:right="60"/>
              <w:spacing w:after="0"/>
              <w:rPr>
                <w:sz w:val="20"/>
                <w:szCs w:val="20"/>
                <w:color w:val="auto"/>
              </w:rPr>
            </w:pPr>
            <w:r>
              <w:rPr>
                <w:rFonts w:ascii="Arial" w:cs="Arial" w:eastAsia="Arial" w:hAnsi="Arial"/>
                <w:sz w:val="14"/>
                <w:szCs w:val="14"/>
                <w:color w:val="auto"/>
              </w:rPr>
              <w:t>(8,163,639)</w:t>
            </w:r>
          </w:p>
        </w:tc>
        <w:tc>
          <w:tcPr>
            <w:tcW w:w="440" w:type="dxa"/>
            <w:vAlign w:val="bottom"/>
            <w:gridSpan w:val="3"/>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(7,668,320)</w:t>
            </w:r>
          </w:p>
        </w:tc>
        <w:tc>
          <w:tcPr>
            <w:tcW w:w="0" w:type="dxa"/>
            <w:vAlign w:val="bottom"/>
          </w:tcPr>
          <w:p>
            <w:pPr>
              <w:spacing w:after="0"/>
              <w:rPr>
                <w:sz w:val="1"/>
                <w:szCs w:val="1"/>
                <w:color w:val="auto"/>
              </w:rPr>
            </w:pPr>
          </w:p>
        </w:tc>
      </w:tr>
      <w:tr>
        <w:trPr>
          <w:trHeight w:val="20"/>
        </w:trPr>
        <w:tc>
          <w:tcPr>
            <w:tcW w:w="6400" w:type="dxa"/>
            <w:vAlign w:val="bottom"/>
            <w:gridSpan w:val="7"/>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10000" w:type="dxa"/>
            <w:vAlign w:val="bottom"/>
            <w:gridSpan w:val="23"/>
          </w:tcPr>
          <w:p>
            <w:pPr>
              <w:ind w:left="460"/>
              <w:spacing w:after="0"/>
              <w:rPr>
                <w:sz w:val="20"/>
                <w:szCs w:val="20"/>
                <w:color w:val="auto"/>
              </w:rPr>
            </w:pPr>
            <w:r>
              <w:rPr>
                <w:rFonts w:ascii="Arial" w:cs="Arial" w:eastAsia="Arial" w:hAnsi="Arial"/>
                <w:sz w:val="14"/>
                <w:szCs w:val="14"/>
                <w:color w:val="auto"/>
                <w:w w:val="96"/>
              </w:rPr>
              <w:t>The table below shows a reconciliation of the beginning and ending balances for fair valued liabilities measured using significant unobservable inputs (Level 3):</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10"/>
          </w:tcPr>
          <w:p>
            <w:pPr>
              <w:jc w:val="right"/>
              <w:ind w:right="9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25"/>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Credit Facilities</w:t>
            </w: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2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w w:val="96"/>
              </w:rPr>
              <w:t>Beginning Balance (cost – $80,520,000 and $79,392,900, respectively)</w:t>
            </w:r>
          </w:p>
        </w:tc>
        <w:tc>
          <w:tcPr>
            <w:tcW w:w="16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1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60" w:type="dxa"/>
            <w:vAlign w:val="bottom"/>
            <w:gridSpan w:val="2"/>
            <w:shd w:val="clear" w:color="auto" w:fill="CCECFF"/>
          </w:tcPr>
          <w:p>
            <w:pPr>
              <w:spacing w:after="0"/>
              <w:rPr>
                <w:sz w:val="13"/>
                <w:szCs w:val="13"/>
                <w:color w:val="auto"/>
              </w:rPr>
            </w:pPr>
          </w:p>
        </w:tc>
        <w:tc>
          <w:tcPr>
            <w:tcW w:w="140" w:type="dxa"/>
            <w:vAlign w:val="bottom"/>
            <w:gridSpan w:val="2"/>
            <w:shd w:val="clear" w:color="auto" w:fill="CCECFF"/>
          </w:tcPr>
          <w:p>
            <w:pPr>
              <w:jc w:val="right"/>
              <w:ind w:right="60"/>
              <w:spacing w:after="0" w:line="155" w:lineRule="exact"/>
              <w:rPr>
                <w:sz w:val="20"/>
                <w:szCs w:val="20"/>
                <w:color w:val="auto"/>
              </w:rPr>
            </w:pPr>
            <w:r>
              <w:rPr>
                <w:rFonts w:ascii="Arial" w:cs="Arial" w:eastAsia="Arial" w:hAnsi="Arial"/>
                <w:sz w:val="14"/>
                <w:szCs w:val="14"/>
                <w:color w:val="auto"/>
                <w:w w:val="76"/>
              </w:rPr>
              <w:t>$</w:t>
            </w:r>
          </w:p>
        </w:tc>
        <w:tc>
          <w:tcPr>
            <w:tcW w:w="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77,645,830</w:t>
            </w:r>
          </w:p>
        </w:tc>
        <w:tc>
          <w:tcPr>
            <w:tcW w:w="1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76,037,341</w:t>
            </w: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80" w:type="dxa"/>
            <w:vAlign w:val="bottom"/>
            <w:gridSpan w:val="3"/>
          </w:tcPr>
          <w:p>
            <w:pPr>
              <w:ind w:left="500"/>
              <w:spacing w:after="0"/>
              <w:rPr>
                <w:sz w:val="20"/>
                <w:szCs w:val="20"/>
                <w:color w:val="auto"/>
              </w:rPr>
            </w:pPr>
            <w:r>
              <w:rPr>
                <w:rFonts w:ascii="Arial" w:cs="Arial" w:eastAsia="Arial" w:hAnsi="Arial"/>
                <w:sz w:val="14"/>
                <w:szCs w:val="14"/>
                <w:color w:val="auto"/>
                <w:w w:val="94"/>
              </w:rPr>
              <w:t>Net change in unrealized (depreciation) appreciation included in earnings</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(8,405,135)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3,521,498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16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1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713,500,000</w:t>
            </w: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76,520,000</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(262,384,000)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4"/>
                <w:szCs w:val="14"/>
                <w:color w:val="auto"/>
              </w:rPr>
              <w:t>(114,392,900)</w:t>
            </w: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16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1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320" w:type="dxa"/>
            <w:vAlign w:val="bottom"/>
            <w:gridSpan w:val="4"/>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Pr>
          <w:p>
            <w:pPr>
              <w:spacing w:after="0" w:line="155" w:lineRule="exact"/>
              <w:rPr>
                <w:sz w:val="20"/>
                <w:szCs w:val="20"/>
                <w:color w:val="auto"/>
              </w:rPr>
            </w:pPr>
            <w:r>
              <w:rPr>
                <w:rFonts w:ascii="Arial" w:cs="Arial" w:eastAsia="Arial" w:hAnsi="Arial"/>
                <w:sz w:val="14"/>
                <w:szCs w:val="14"/>
                <w:color w:val="auto"/>
                <w:w w:val="98"/>
              </w:rPr>
              <w:t>Ending Balance (cost – $531,636,000 and $41,520,000, respectively)</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40" w:type="dxa"/>
            <w:vAlign w:val="bottom"/>
            <w:tcBorders>
              <w:top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520,356,695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41,685,939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Temporary draws outstanding, at cost</w:t>
            </w:r>
          </w:p>
        </w:tc>
        <w:tc>
          <w:tcPr>
            <w:tcW w:w="16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1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320" w:type="dxa"/>
            <w:vAlign w:val="bottom"/>
            <w:gridSpan w:val="4"/>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Pr>
          <w:p>
            <w:pPr>
              <w:spacing w:after="0" w:line="155" w:lineRule="exact"/>
              <w:rPr>
                <w:sz w:val="20"/>
                <w:szCs w:val="20"/>
                <w:color w:val="auto"/>
              </w:rPr>
            </w:pPr>
            <w:r>
              <w:rPr>
                <w:rFonts w:ascii="Arial" w:cs="Arial" w:eastAsia="Arial" w:hAnsi="Arial"/>
                <w:sz w:val="14"/>
                <w:szCs w:val="14"/>
                <w:color w:val="auto"/>
                <w:w w:val="98"/>
              </w:rPr>
              <w:t>Ending Balance (cost – $531,636,000 and $41,520,000, respectively)</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40" w:type="dxa"/>
            <w:vAlign w:val="bottom"/>
            <w:tcBorders>
              <w:top w:val="single" w:sz="8" w:color="auto"/>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520,356,695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41,685,939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455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204"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136" w:lineRule="exact"/>
        <w:rPr>
          <w:sz w:val="20"/>
          <w:szCs w:val="20"/>
          <w:color w:val="auto"/>
        </w:rPr>
      </w:pPr>
    </w:p>
    <w:p>
      <w:pPr>
        <w:ind w:right="380" w:firstLine="443"/>
        <w:spacing w:after="0" w:line="253" w:lineRule="auto"/>
        <w:rPr>
          <w:sz w:val="20"/>
          <w:szCs w:val="20"/>
          <w:color w:val="auto"/>
        </w:rPr>
      </w:pPr>
      <w:r>
        <w:rPr>
          <w:rFonts w:ascii="Arial" w:cs="Arial" w:eastAsia="Arial" w:hAnsi="Arial"/>
          <w:sz w:val="14"/>
          <w:szCs w:val="14"/>
          <w:color w:val="auto"/>
        </w:rPr>
        <w:t>As of March 31, 2019, we had outstanding non-U.S. dollar borrowings on our Credit Facilities. Net change in fair value on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c>
          <w:tcPr>
            <w:tcW w:w="20" w:type="dxa"/>
            <w:vAlign w:val="bottom"/>
          </w:tcPr>
          <w:p>
            <w:pPr>
              <w:spacing w:after="0"/>
              <w:rPr>
                <w:sz w:val="14"/>
                <w:szCs w:val="14"/>
                <w:color w:val="auto"/>
              </w:rPr>
            </w:pPr>
          </w:p>
        </w:tc>
      </w:tr>
      <w:tr>
        <w:trPr>
          <w:trHeight w:val="155"/>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40,136,000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37,788,450</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0"/>
              </w:rPr>
              <w:t>June 14, 2019</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(2,347,550)</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528"/>
        </w:trPr>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19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0" w:name="page21"/>
    <w:bookmarkEnd w:id="20"/>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right="500" w:firstLine="443"/>
        <w:spacing w:after="0" w:line="253" w:lineRule="auto"/>
        <w:rPr>
          <w:sz w:val="20"/>
          <w:szCs w:val="20"/>
          <w:color w:val="auto"/>
        </w:rPr>
      </w:pPr>
      <w:r>
        <w:rPr>
          <w:rFonts w:ascii="Arial" w:cs="Arial" w:eastAsia="Arial" w:hAnsi="Arial"/>
          <w:sz w:val="14"/>
          <w:szCs w:val="14"/>
          <w:color w:val="auto"/>
        </w:rPr>
        <w:t>As of September 30, 2018, we had outstanding non-U.S. dollar borrowings on the SunTrust Credit Facility. Net change in fair value on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5"/>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41,520,000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39,121,590</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2"/>
              </w:rPr>
              <w:t>December 14, 2018</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(2,398,410)</w:t>
            </w:r>
          </w:p>
        </w:tc>
        <w:tc>
          <w:tcPr>
            <w:tcW w:w="100" w:type="dxa"/>
            <w:vAlign w:val="bottom"/>
            <w:tcBorders>
              <w:top w:val="single" w:sz="8" w:color="CCECFF"/>
            </w:tcBorders>
            <w:shd w:val="clear" w:color="auto" w:fill="CCECFF"/>
          </w:tcPr>
          <w:p>
            <w:pPr>
              <w:spacing w:after="0"/>
              <w:rPr>
                <w:sz w:val="13"/>
                <w:szCs w:val="13"/>
                <w:color w:val="auto"/>
              </w:rPr>
            </w:pPr>
          </w:p>
        </w:tc>
      </w:tr>
    </w:tbl>
    <w:p>
      <w:pPr>
        <w:spacing w:after="0" w:line="130" w:lineRule="exact"/>
        <w:rPr>
          <w:sz w:val="20"/>
          <w:szCs w:val="20"/>
          <w:color w:val="auto"/>
        </w:rPr>
      </w:pPr>
    </w:p>
    <w:p>
      <w:pPr>
        <w:ind w:right="340" w:firstLine="443"/>
        <w:spacing w:after="0" w:line="242" w:lineRule="auto"/>
        <w:rPr>
          <w:sz w:val="20"/>
          <w:szCs w:val="20"/>
          <w:color w:val="auto"/>
        </w:rPr>
      </w:pPr>
      <w:r>
        <w:rPr>
          <w:rFonts w:ascii="Arial" w:cs="Arial" w:eastAsia="Arial" w:hAnsi="Arial"/>
          <w:sz w:val="13"/>
          <w:szCs w:val="13"/>
          <w:color w:val="auto"/>
        </w:rPr>
        <w:t>The carrying value of our consolidated financial liabilities approximates fair value. We have adopted the principles under ASC Subtopic ASC 825-10, Financial Instruments, or ASC 825-10, which provides companies with an option to report selected financial assets and liabilities at fair value, and made an irrevocable election to apply ASC 825-10 to our Credit Facilities and the 2019 Notes. We elected to use the fair value option for the Credit Facilities and the 2019 Notes to align the measurement attributes of both our assets and liabilities while mitigating volatility in earnings from using different measurement attributes. Due to that election and in accordance with GAAP, we incurred expenses of $4.9 million relating to debt issuance costs on the BNP Credit Facility and the prepayment of the 2019 Notes for both the three and six months ended March 31, 2019. During both the three and six months ended March 31, 2018 we did not incur any expenses relating to amendment costs on the SunTrust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Facilities and the 2019 Notes are reported in our Consolidated Statements of Operations. We elected not to apply ASC 825-10 to any other financial assets or liabilities, including the SBA debentures. For the three and six months ended March 31, 2019, our Credit Facilities and the 2019 Notes had a net change in unrealized depreciation of $3.7 million and $9.7 million, respectively. For the three and six months ended March 31, 2018, the SunTrust Credit Facility and the 2019 Notes had a net change in unrealized depreciation of $0.4 million and $1.5 million, respectively. As of March 31, 2019, the net unrealized depreciation on our Credit Facilities totaled $11.3 million. As of September 30, 2018, the net unrealized depreciation on the SunTrust Credit Facility and the 2019 Notes totaled $1.6 million. We use a nationally recognized independent valuation service to measure the fair value of our Credit Facilities and the 2019 Notes in a manner consistent with the valuation process that the board of directors uses to value our investments.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40" w:lineRule="exact"/>
        <w:rPr>
          <w:sz w:val="20"/>
          <w:szCs w:val="20"/>
          <w:color w:val="auto"/>
        </w:rPr>
      </w:pPr>
    </w:p>
    <w:p>
      <w:pPr>
        <w:ind w:right="420" w:firstLine="435"/>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six months ended March 31, 2019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 at</w:t>
            </w:r>
          </w:p>
        </w:tc>
        <w:tc>
          <w:tcPr>
            <w:tcW w:w="60" w:type="dxa"/>
            <w:vAlign w:val="bottom"/>
          </w:tcPr>
          <w:p>
            <w:pPr>
              <w:spacing w:after="0"/>
              <w:rPr>
                <w:sz w:val="14"/>
                <w:szCs w:val="14"/>
                <w:color w:val="auto"/>
              </w:rPr>
            </w:pPr>
          </w:p>
        </w:tc>
        <w:tc>
          <w:tcPr>
            <w:tcW w:w="102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Purchases of /</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Sale of /</w:t>
            </w:r>
          </w:p>
        </w:tc>
        <w:tc>
          <w:tcPr>
            <w:tcW w:w="80" w:type="dxa"/>
            <w:vAlign w:val="bottom"/>
          </w:tcPr>
          <w:p>
            <w:pPr>
              <w:spacing w:after="0"/>
              <w:rPr>
                <w:sz w:val="14"/>
                <w:szCs w:val="14"/>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Net Change in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 Value at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1860" w:type="dxa"/>
            <w:vAlign w:val="bottom"/>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88"/>
              </w:rPr>
              <w:t>Advances to</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Appreciation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6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Realized Gains</w:t>
            </w:r>
          </w:p>
        </w:tc>
        <w:tc>
          <w:tcPr>
            <w:tcW w:w="0" w:type="dxa"/>
            <w:vAlign w:val="bottom"/>
          </w:tcPr>
          <w:p>
            <w:pPr>
              <w:spacing w:after="0"/>
              <w:rPr>
                <w:sz w:val="1"/>
                <w:szCs w:val="1"/>
                <w:color w:val="auto"/>
              </w:rPr>
            </w:pPr>
          </w:p>
        </w:tc>
      </w:tr>
      <w:tr>
        <w:trPr>
          <w:trHeight w:val="171"/>
        </w:trPr>
        <w:tc>
          <w:tcPr>
            <w:tcW w:w="1860" w:type="dxa"/>
            <w:vAlign w:val="bottom"/>
            <w:vMerge w:val="continue"/>
          </w:tcPr>
          <w:p>
            <w:pPr>
              <w:spacing w:after="0"/>
              <w:rPr>
                <w:sz w:val="14"/>
                <w:szCs w:val="14"/>
                <w:color w:val="auto"/>
              </w:rPr>
            </w:pPr>
          </w:p>
        </w:tc>
        <w:tc>
          <w:tcPr>
            <w:tcW w:w="1720" w:type="dxa"/>
            <w:vAlign w:val="bottom"/>
            <w:gridSpan w:val="4"/>
          </w:tcPr>
          <w:p>
            <w:pPr>
              <w:ind w:left="100"/>
              <w:spacing w:after="0"/>
              <w:rPr>
                <w:sz w:val="20"/>
                <w:szCs w:val="20"/>
                <w:color w:val="auto"/>
              </w:rPr>
            </w:pPr>
            <w:r>
              <w:rPr>
                <w:rFonts w:ascii="Arial" w:cs="Arial" w:eastAsia="Arial" w:hAnsi="Arial"/>
                <w:sz w:val="14"/>
                <w:szCs w:val="14"/>
                <w:b w:val="1"/>
                <w:bCs w:val="1"/>
                <w:color w:val="auto"/>
              </w:rPr>
              <w:t xml:space="preserve">September 30, 2018 </w:t>
            </w:r>
            <w:r>
              <w:rPr>
                <w:rFonts w:ascii="Arial" w:cs="Arial" w:eastAsia="Arial" w:hAnsi="Arial"/>
                <w:sz w:val="12"/>
                <w:szCs w:val="12"/>
                <w:b w:val="1"/>
                <w:bCs w:val="1"/>
                <w:color w:val="auto"/>
              </w:rPr>
              <w:t>(1)</w:t>
            </w:r>
          </w:p>
        </w:tc>
        <w:tc>
          <w:tcPr>
            <w:tcW w:w="60" w:type="dxa"/>
            <w:vAlign w:val="bottom"/>
          </w:tcPr>
          <w:p>
            <w:pPr>
              <w:spacing w:after="0"/>
              <w:rPr>
                <w:sz w:val="14"/>
                <w:szCs w:val="14"/>
                <w:color w:val="auto"/>
              </w:rPr>
            </w:pPr>
          </w:p>
        </w:tc>
        <w:tc>
          <w:tcPr>
            <w:tcW w:w="102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 xml:space="preserve">Affiliates </w:t>
            </w:r>
            <w:r>
              <w:rPr>
                <w:rFonts w:ascii="Arial" w:cs="Arial" w:eastAsia="Arial" w:hAnsi="Arial"/>
                <w:sz w:val="12"/>
                <w:szCs w:val="12"/>
                <w:b w:val="1"/>
                <w:bCs w:val="1"/>
                <w:color w:val="auto"/>
                <w:w w:val="94"/>
              </w:rPr>
              <w:t>(1), (2)</w:t>
            </w:r>
          </w:p>
        </w:tc>
        <w:tc>
          <w:tcPr>
            <w:tcW w:w="220" w:type="dxa"/>
            <w:vAlign w:val="bottom"/>
          </w:tcPr>
          <w:p>
            <w:pPr>
              <w:spacing w:after="0"/>
              <w:rPr>
                <w:sz w:val="14"/>
                <w:szCs w:val="14"/>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 xml:space="preserve">from Affiliates </w:t>
            </w:r>
            <w:r>
              <w:rPr>
                <w:rFonts w:ascii="Arial" w:cs="Arial" w:eastAsia="Arial" w:hAnsi="Arial"/>
                <w:sz w:val="12"/>
                <w:szCs w:val="12"/>
                <w:b w:val="1"/>
                <w:bCs w:val="1"/>
                <w:color w:val="auto"/>
                <w:w w:val="94"/>
              </w:rPr>
              <w:t>(1)</w:t>
            </w: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w w:val="92"/>
              </w:rPr>
              <w:t>Accrued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(Depreciation)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108"/>
              <w:spacing w:after="0"/>
              <w:rPr>
                <w:sz w:val="20"/>
                <w:szCs w:val="20"/>
                <w:color w:val="auto"/>
              </w:rPr>
            </w:pPr>
            <w:r>
              <w:rPr>
                <w:rFonts w:ascii="Arial" w:cs="Arial" w:eastAsia="Arial" w:hAnsi="Arial"/>
                <w:sz w:val="14"/>
                <w:szCs w:val="14"/>
                <w:b w:val="1"/>
                <w:bCs w:val="1"/>
                <w:color w:val="auto"/>
                <w:w w:val="98"/>
              </w:rPr>
              <w:t xml:space="preserve">March 31, 2019 </w:t>
            </w:r>
            <w:r>
              <w:rPr>
                <w:rFonts w:ascii="Arial" w:cs="Arial" w:eastAsia="Arial" w:hAnsi="Arial"/>
                <w:sz w:val="12"/>
                <w:szCs w:val="12"/>
                <w:b w:val="1"/>
                <w:bCs w:val="1"/>
                <w:color w:val="auto"/>
                <w:w w:val="98"/>
              </w:rPr>
              <w:t>(1)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(Losses)</w:t>
            </w:r>
          </w:p>
        </w:tc>
        <w:tc>
          <w:tcPr>
            <w:tcW w:w="0" w:type="dxa"/>
            <w:vAlign w:val="bottom"/>
          </w:tcPr>
          <w:p>
            <w:pPr>
              <w:spacing w:after="0"/>
              <w:rPr>
                <w:sz w:val="1"/>
                <w:szCs w:val="1"/>
                <w:color w:val="auto"/>
              </w:rPr>
            </w:pPr>
          </w:p>
        </w:tc>
      </w:tr>
      <w:tr>
        <w:trPr>
          <w:trHeight w:val="156"/>
        </w:trPr>
        <w:tc>
          <w:tcPr>
            <w:tcW w:w="18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Controlled Affiliates</w:t>
            </w:r>
          </w:p>
        </w:tc>
        <w:tc>
          <w:tcPr>
            <w:tcW w:w="10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12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auto"/>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66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36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AKW Holdings Limited</w:t>
            </w:r>
          </w:p>
        </w:tc>
        <w:tc>
          <w:tcPr>
            <w:tcW w:w="2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40,501,278</w:t>
            </w:r>
          </w:p>
        </w:tc>
        <w:tc>
          <w:tcPr>
            <w:tcW w:w="2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9"/>
              </w:rPr>
              <w:t>1,192,618</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1,199,449</w:t>
            </w:r>
          </w:p>
        </w:tc>
        <w:tc>
          <w:tcPr>
            <w:tcW w:w="140" w:type="dxa"/>
            <w:vAlign w:val="bottom"/>
          </w:tcPr>
          <w:p>
            <w:pPr>
              <w:spacing w:after="0"/>
              <w:rPr>
                <w:sz w:val="14"/>
                <w:szCs w:val="1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41,700,727</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86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MidOcean JF Holdings Corp.</w:t>
            </w: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3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60" w:type="dxa"/>
            <w:vAlign w:val="bottom"/>
            <w:shd w:val="clear" w:color="auto" w:fill="CCECFF"/>
          </w:tcPr>
          <w:p>
            <w:pPr>
              <w:ind w:left="120"/>
              <w:spacing w:after="0"/>
              <w:rPr>
                <w:sz w:val="20"/>
                <w:szCs w:val="20"/>
                <w:color w:val="auto"/>
              </w:rPr>
            </w:pPr>
            <w:r>
              <w:rPr>
                <w:rFonts w:ascii="Arial" w:cs="Arial" w:eastAsia="Arial" w:hAnsi="Arial"/>
                <w:sz w:val="14"/>
                <w:szCs w:val="14"/>
                <w:color w:val="auto"/>
              </w:rPr>
              <w:t>(JF Acquisition, LLC)</w:t>
            </w:r>
          </w:p>
        </w:tc>
        <w:tc>
          <w:tcPr>
            <w:tcW w:w="1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12,099,647</w:t>
            </w:r>
          </w:p>
        </w:tc>
        <w:tc>
          <w:tcPr>
            <w:tcW w:w="2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2,671,084</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14,770,731</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RAM Energy LLC</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78,914,960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20,000,000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2,218,889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12,417,791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111,332,750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86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Superior Digital Displays</w:t>
            </w: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3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60" w:type="dxa"/>
            <w:vAlign w:val="bottom"/>
            <w:shd w:val="clear" w:color="auto" w:fill="CCECFF"/>
          </w:tcPr>
          <w:p>
            <w:pPr>
              <w:ind w:left="120"/>
              <w:spacing w:after="0"/>
              <w:rPr>
                <w:sz w:val="20"/>
                <w:szCs w:val="20"/>
                <w:color w:val="auto"/>
              </w:rPr>
            </w:pPr>
            <w:r>
              <w:rPr>
                <w:rFonts w:ascii="Arial" w:cs="Arial" w:eastAsia="Arial" w:hAnsi="Arial"/>
                <w:sz w:val="14"/>
                <w:szCs w:val="14"/>
                <w:color w:val="auto"/>
              </w:rPr>
              <w:t>Holdings, Inc.</w:t>
            </w:r>
          </w:p>
        </w:tc>
        <w:tc>
          <w:tcPr>
            <w:tcW w:w="1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17,220,000</w:t>
            </w:r>
          </w:p>
        </w:tc>
        <w:tc>
          <w:tcPr>
            <w:tcW w:w="2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23,530,403</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(22,668,567)</w:t>
            </w:r>
          </w:p>
        </w:tc>
        <w:tc>
          <w:tcPr>
            <w:tcW w:w="8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484,865</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(17,507,585)</w:t>
            </w:r>
          </w:p>
        </w:tc>
        <w:tc>
          <w:tcPr>
            <w:tcW w:w="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1,000,000</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20"/>
                <w:szCs w:val="20"/>
                <w:color w:val="auto"/>
              </w:rPr>
            </w:pPr>
            <w:r>
              <w:rPr>
                <w:rFonts w:ascii="Arial" w:cs="Arial" w:eastAsia="Arial" w:hAnsi="Arial"/>
                <w:sz w:val="14"/>
                <w:szCs w:val="14"/>
                <w:b w:val="1"/>
                <w:bCs w:val="1"/>
                <w:color w:val="auto"/>
              </w:rPr>
              <w:t>Non-Controlled Affiliates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CECFF"/>
          </w:tcPr>
          <w:p>
            <w:pPr>
              <w:spacing w:after="0"/>
              <w:rPr>
                <w:sz w:val="20"/>
                <w:szCs w:val="20"/>
                <w:color w:val="auto"/>
              </w:rPr>
            </w:pPr>
            <w:r>
              <w:rPr>
                <w:rFonts w:ascii="Arial" w:cs="Arial" w:eastAsia="Arial" w:hAnsi="Arial"/>
                <w:sz w:val="14"/>
                <w:szCs w:val="14"/>
                <w:color w:val="auto"/>
              </w:rPr>
              <w:t>Affinion Group Holdings, Inc.</w:t>
            </w:r>
          </w:p>
        </w:tc>
        <w:tc>
          <w:tcPr>
            <w:tcW w:w="1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18,166,922</w:t>
            </w:r>
          </w:p>
        </w:tc>
        <w:tc>
          <w:tcPr>
            <w:tcW w:w="2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(16,040,151)</w:t>
            </w:r>
          </w:p>
        </w:tc>
        <w:tc>
          <w:tcPr>
            <w:tcW w:w="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2,126,771</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Big Run, Inc.</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397,025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(447,844)</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277,918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(227,099)</w:t>
            </w:r>
          </w:p>
        </w:tc>
        <w:tc>
          <w:tcPr>
            <w:tcW w:w="0" w:type="dxa"/>
            <w:vAlign w:val="bottom"/>
          </w:tcPr>
          <w:p>
            <w:pPr>
              <w:spacing w:after="0"/>
              <w:rPr>
                <w:sz w:val="1"/>
                <w:szCs w:val="1"/>
                <w:color w:val="auto"/>
              </w:rPr>
            </w:pPr>
          </w:p>
        </w:tc>
      </w:tr>
      <w:tr>
        <w:trPr>
          <w:trHeight w:val="162"/>
        </w:trPr>
        <w:tc>
          <w:tcPr>
            <w:tcW w:w="1860" w:type="dxa"/>
            <w:vAlign w:val="bottom"/>
            <w:shd w:val="clear" w:color="auto" w:fill="CCECFF"/>
          </w:tcPr>
          <w:p>
            <w:pPr>
              <w:spacing w:after="0"/>
              <w:rPr>
                <w:sz w:val="20"/>
                <w:szCs w:val="20"/>
                <w:color w:val="auto"/>
              </w:rPr>
            </w:pPr>
            <w:r>
              <w:rPr>
                <w:rFonts w:ascii="Arial" w:cs="Arial" w:eastAsia="Arial" w:hAnsi="Arial"/>
                <w:sz w:val="14"/>
                <w:szCs w:val="14"/>
                <w:color w:val="auto"/>
              </w:rPr>
              <w:t>ETX Energy, LLC</w:t>
            </w:r>
          </w:p>
        </w:tc>
        <w:tc>
          <w:tcPr>
            <w:tcW w:w="1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34,801,373</w:t>
            </w:r>
          </w:p>
        </w:tc>
        <w:tc>
          <w:tcPr>
            <w:tcW w:w="2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2,326,900</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(3,950,459)</w:t>
            </w:r>
          </w:p>
        </w:tc>
        <w:tc>
          <w:tcPr>
            <w:tcW w:w="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33,177,814</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 xml:space="preserve">U.S. Well Services, LLC </w:t>
            </w:r>
            <w:r>
              <w:rPr>
                <w:rFonts w:ascii="Arial" w:cs="Arial" w:eastAsia="Arial" w:hAnsi="Arial"/>
                <w:sz w:val="12"/>
                <w:szCs w:val="12"/>
                <w:color w:val="auto"/>
              </w:rPr>
              <w:t>(3)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24,713,011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225,253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(11,252,488)</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217,529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(5,910,108)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4,859,930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60" w:type="dxa"/>
            <w:vAlign w:val="bottom"/>
            <w:tcBorders>
              <w:top w:val="single" w:sz="8" w:color="CCECFF"/>
            </w:tcBorders>
            <w:shd w:val="clear" w:color="auto" w:fill="CCECFF"/>
          </w:tcPr>
          <w:p>
            <w:pPr>
              <w:spacing w:after="0" w:line="133" w:lineRule="exact"/>
              <w:rPr>
                <w:sz w:val="20"/>
                <w:szCs w:val="20"/>
                <w:color w:val="auto"/>
              </w:rPr>
            </w:pPr>
            <w:r>
              <w:rPr>
                <w:rFonts w:ascii="Arial" w:cs="Arial" w:eastAsia="Arial" w:hAnsi="Arial"/>
                <w:sz w:val="14"/>
                <w:szCs w:val="14"/>
                <w:b w:val="1"/>
                <w:bCs w:val="1"/>
                <w:color w:val="auto"/>
              </w:rPr>
              <w:t>Total Controlled and</w:t>
            </w:r>
          </w:p>
        </w:tc>
        <w:tc>
          <w:tcPr>
            <w:tcW w:w="100" w:type="dxa"/>
            <w:vAlign w:val="bottom"/>
            <w:tcBorders>
              <w:top w:val="single" w:sz="8" w:color="CCECFF"/>
            </w:tcBorders>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122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spacing w:after="0"/>
              <w:rPr>
                <w:sz w:val="11"/>
                <w:szCs w:val="11"/>
                <w:color w:val="auto"/>
              </w:rPr>
            </w:pPr>
          </w:p>
        </w:tc>
        <w:tc>
          <w:tcPr>
            <w:tcW w:w="102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10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10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13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80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860" w:type="dxa"/>
            <w:vAlign w:val="bottom"/>
            <w:shd w:val="clear" w:color="auto" w:fill="CCECFF"/>
          </w:tcPr>
          <w:p>
            <w:pPr>
              <w:ind w:left="120"/>
              <w:spacing w:after="0"/>
              <w:rPr>
                <w:sz w:val="20"/>
                <w:szCs w:val="20"/>
                <w:color w:val="auto"/>
              </w:rPr>
            </w:pPr>
            <w:r>
              <w:rPr>
                <w:rFonts w:ascii="Arial" w:cs="Arial" w:eastAsia="Arial" w:hAnsi="Arial"/>
                <w:sz w:val="14"/>
                <w:szCs w:val="14"/>
                <w:b w:val="1"/>
                <w:bCs w:val="1"/>
                <w:color w:val="auto"/>
              </w:rPr>
              <w:t>Non-Controlled Affiliates</w:t>
            </w:r>
          </w:p>
        </w:tc>
        <w:tc>
          <w:tcPr>
            <w:tcW w:w="280" w:type="dxa"/>
            <w:vAlign w:val="bottom"/>
            <w:gridSpan w:val="2"/>
            <w:shd w:val="clear" w:color="auto" w:fill="CCECFF"/>
          </w:tcPr>
          <w:p>
            <w:pPr>
              <w:ind w:left="10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226,814,216</w:t>
            </w:r>
          </w:p>
        </w:tc>
        <w:tc>
          <w:tcPr>
            <w:tcW w:w="220" w:type="dxa"/>
            <w:vAlign w:val="bottom"/>
            <w:shd w:val="clear" w:color="auto" w:fill="CCECFF"/>
          </w:tcPr>
          <w:p>
            <w:pPr>
              <w:spacing w:after="0"/>
              <w:rPr>
                <w:sz w:val="14"/>
                <w:szCs w:val="14"/>
                <w:color w:val="auto"/>
              </w:rPr>
            </w:pPr>
          </w:p>
        </w:tc>
        <w:tc>
          <w:tcPr>
            <w:tcW w:w="6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46,082,556</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(34,368,899)</w:t>
            </w: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9"/>
              </w:rPr>
              <w:t>4,113,901</w:t>
            </w:r>
          </w:p>
        </w:tc>
        <w:tc>
          <w:tcPr>
            <w:tcW w:w="30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(26,842,061)</w:t>
            </w:r>
          </w:p>
        </w:tc>
        <w:tc>
          <w:tcPr>
            <w:tcW w:w="20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204,108,793</w:t>
            </w:r>
          </w:p>
        </w:tc>
        <w:tc>
          <w:tcPr>
            <w:tcW w:w="360" w:type="dxa"/>
            <w:vAlign w:val="bottom"/>
            <w:gridSpan w:val="2"/>
            <w:shd w:val="clear" w:color="auto" w:fill="CCECFF"/>
          </w:tcPr>
          <w:p>
            <w:pPr>
              <w:ind w:lef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4,632,831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2"/>
          <w:szCs w:val="12"/>
          <w:color w:val="auto"/>
        </w:rPr>
      </w:pPr>
      <w:r>
        <w:rPr>
          <w:rFonts w:ascii="Arial" w:cs="Arial" w:eastAsia="Arial" w:hAnsi="Arial"/>
          <w:sz w:val="14"/>
          <w:szCs w:val="14"/>
          <w:color w:val="auto"/>
        </w:rPr>
        <w:t>Excluding delayed draw investments.</w:t>
      </w:r>
    </w:p>
    <w:p>
      <w:pPr>
        <w:ind w:left="380" w:hanging="372"/>
        <w:spacing w:after="0" w:line="221" w:lineRule="auto"/>
        <w:tabs>
          <w:tab w:leader="none" w:pos="380" w:val="left"/>
        </w:tabs>
        <w:numPr>
          <w:ilvl w:val="0"/>
          <w:numId w:val="17"/>
        </w:numPr>
        <w:rPr>
          <w:rFonts w:ascii="Arial" w:cs="Arial" w:eastAsia="Arial" w:hAnsi="Arial"/>
          <w:sz w:val="12"/>
          <w:szCs w:val="12"/>
          <w:color w:val="auto"/>
        </w:rPr>
      </w:pPr>
      <w:r>
        <w:rPr>
          <w:rFonts w:ascii="Arial" w:cs="Arial" w:eastAsia="Arial" w:hAnsi="Arial"/>
          <w:sz w:val="14"/>
          <w:szCs w:val="14"/>
          <w:color w:val="auto"/>
        </w:rPr>
        <w:t>Includes PIK.</w:t>
      </w:r>
    </w:p>
    <w:p>
      <w:pPr>
        <w:ind w:left="380" w:hanging="372"/>
        <w:spacing w:after="0"/>
        <w:tabs>
          <w:tab w:leader="none" w:pos="380" w:val="left"/>
        </w:tabs>
        <w:numPr>
          <w:ilvl w:val="0"/>
          <w:numId w:val="17"/>
        </w:numPr>
        <w:rPr>
          <w:rFonts w:ascii="Arial" w:cs="Arial" w:eastAsia="Arial" w:hAnsi="Arial"/>
          <w:sz w:val="12"/>
          <w:szCs w:val="12"/>
          <w:color w:val="auto"/>
        </w:rPr>
      </w:pPr>
      <w:r>
        <w:rPr>
          <w:rFonts w:ascii="Arial" w:cs="Arial" w:eastAsia="Arial" w:hAnsi="Arial"/>
          <w:sz w:val="14"/>
          <w:szCs w:val="14"/>
          <w:color w:val="auto"/>
        </w:rPr>
        <w:t>Ceased to be an affiliate during the three months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13455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252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March 31,</w:t>
            </w:r>
          </w:p>
        </w:tc>
      </w:tr>
      <w:tr>
        <w:trPr>
          <w:trHeight w:val="25"/>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5"/>
        </w:trPr>
        <w:tc>
          <w:tcPr>
            <w:tcW w:w="56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CFF"/>
            </w:tcBorders>
          </w:tcPr>
          <w:p>
            <w:pPr>
              <w:spacing w:after="0"/>
              <w:rPr>
                <w:sz w:val="13"/>
                <w:szCs w:val="13"/>
                <w:color w:val="auto"/>
              </w:rPr>
            </w:pPr>
          </w:p>
        </w:tc>
      </w:tr>
      <w:tr>
        <w:trPr>
          <w:trHeight w:val="155"/>
        </w:trPr>
        <w:tc>
          <w:tcPr>
            <w:tcW w:w="56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Numerator for net (decrease) increase in net assets resulting from operations</w:t>
            </w:r>
          </w:p>
        </w:tc>
        <w:tc>
          <w:tcPr>
            <w:tcW w:w="200" w:type="dxa"/>
            <w:vAlign w:val="bottom"/>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(4,746,497)</w:t>
            </w:r>
          </w:p>
        </w:tc>
        <w:tc>
          <w:tcPr>
            <w:tcW w:w="26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6,035,010</w:t>
            </w:r>
          </w:p>
        </w:tc>
        <w:tc>
          <w:tcPr>
            <w:tcW w:w="26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2,031,692</w:t>
            </w:r>
          </w:p>
        </w:tc>
        <w:tc>
          <w:tcPr>
            <w:tcW w:w="26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18,330,407</w:t>
            </w:r>
          </w:p>
        </w:tc>
        <w:tc>
          <w:tcPr>
            <w:tcW w:w="120" w:type="dxa"/>
            <w:vAlign w:val="bottom"/>
            <w:shd w:val="clear" w:color="auto" w:fill="CCECFF"/>
          </w:tcPr>
          <w:p>
            <w:pPr>
              <w:spacing w:after="0"/>
              <w:rPr>
                <w:sz w:val="13"/>
                <w:szCs w:val="13"/>
                <w:color w:val="auto"/>
              </w:rPr>
            </w:pPr>
          </w:p>
        </w:tc>
      </w:tr>
      <w:tr>
        <w:trPr>
          <w:trHeight w:val="162"/>
        </w:trPr>
        <w:tc>
          <w:tcPr>
            <w:tcW w:w="562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67,831,051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71,060,836</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68,375,908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71,060,836</w:t>
            </w:r>
          </w:p>
        </w:tc>
        <w:tc>
          <w:tcPr>
            <w:tcW w:w="120" w:type="dxa"/>
            <w:vAlign w:val="bottom"/>
          </w:tcPr>
          <w:p>
            <w:pPr>
              <w:spacing w:after="0"/>
              <w:rPr>
                <w:sz w:val="14"/>
                <w:szCs w:val="14"/>
                <w:color w:val="auto"/>
              </w:rPr>
            </w:pPr>
          </w:p>
        </w:tc>
      </w:tr>
      <w:tr>
        <w:trPr>
          <w:trHeight w:val="162"/>
        </w:trPr>
        <w:tc>
          <w:tcPr>
            <w:tcW w:w="5620" w:type="dxa"/>
            <w:vAlign w:val="bottom"/>
            <w:shd w:val="clear" w:color="auto" w:fill="CCECFF"/>
          </w:tcPr>
          <w:p>
            <w:pPr>
              <w:spacing w:after="0"/>
              <w:rPr>
                <w:sz w:val="20"/>
                <w:szCs w:val="20"/>
                <w:color w:val="auto"/>
              </w:rPr>
            </w:pPr>
            <w:r>
              <w:rPr>
                <w:rFonts w:ascii="Arial" w:cs="Arial" w:eastAsia="Arial" w:hAnsi="Arial"/>
                <w:sz w:val="14"/>
                <w:szCs w:val="14"/>
                <w:color w:val="auto"/>
                <w:w w:val="99"/>
              </w:rPr>
              <w:t>Basic and diluted net (decrease) increase in net assets per share resulting from operations</w:t>
            </w:r>
          </w:p>
        </w:tc>
        <w:tc>
          <w:tcPr>
            <w:tcW w:w="20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(0.07)</w:t>
            </w: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0.08</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0.03</w:t>
            </w:r>
          </w:p>
        </w:tc>
        <w:tc>
          <w:tcPr>
            <w:tcW w:w="500" w:type="dxa"/>
            <w:vAlign w:val="bottom"/>
            <w:gridSpan w:val="2"/>
            <w:shd w:val="clear" w:color="auto" w:fill="CCECFF"/>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0.26</w:t>
            </w:r>
          </w:p>
        </w:tc>
        <w:tc>
          <w:tcPr>
            <w:tcW w:w="120" w:type="dxa"/>
            <w:vAlign w:val="bottom"/>
            <w:shd w:val="clear" w:color="auto" w:fill="CCECFF"/>
          </w:tcPr>
          <w:p>
            <w:pPr>
              <w:spacing w:after="0"/>
              <w:rPr>
                <w:sz w:val="14"/>
                <w:szCs w:val="14"/>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40" w:lineRule="exact"/>
        <w:rPr>
          <w:sz w:val="20"/>
          <w:szCs w:val="20"/>
          <w:color w:val="auto"/>
        </w:rPr>
      </w:pPr>
    </w:p>
    <w:p>
      <w:pPr>
        <w:ind w:right="160" w:firstLine="432"/>
        <w:spacing w:after="0" w:line="229" w:lineRule="auto"/>
        <w:rPr>
          <w:sz w:val="20"/>
          <w:szCs w:val="20"/>
          <w:color w:val="auto"/>
        </w:rPr>
      </w:pPr>
      <w:r>
        <w:rPr>
          <w:rFonts w:ascii="Arial" w:cs="Arial" w:eastAsia="Arial" w:hAnsi="Arial"/>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Facilities, or utilizing repurchase agreements or other balance sheet transactions as are deemed appropriate for this purpose. These amounts are excluded from average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right="220"/>
        <w:spacing w:after="0" w:line="238" w:lineRule="auto"/>
        <w:rPr>
          <w:sz w:val="20"/>
          <w:szCs w:val="20"/>
          <w:color w:val="auto"/>
        </w:rPr>
      </w:pPr>
      <w:r>
        <w:rPr>
          <w:rFonts w:ascii="Arial" w:cs="Arial" w:eastAsia="Arial" w:hAnsi="Arial"/>
          <w:sz w:val="14"/>
          <w:szCs w:val="14"/>
          <w:color w:val="auto"/>
        </w:rPr>
        <w:t>adjusted gross assets for purposes of computing the Investment Adviser’s management fee. U.S. Treasury Bills with maturities greater than 60 days from the time of purchase are valued consistent with our valuation policy. As of March 31, 2019 and September 30, 2018, cash and cash equivalents consisted of money market funds in the amounts of $30.3 million and $19.5 million at fair value, respectively.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6820" w:type="dxa"/>
            <w:vAlign w:val="bottom"/>
          </w:tcPr>
          <w:p>
            <w:pPr>
              <w:ind w:left="160"/>
              <w:spacing w:after="0"/>
              <w:rPr>
                <w:sz w:val="20"/>
                <w:szCs w:val="20"/>
                <w:color w:val="auto"/>
              </w:rPr>
            </w:pPr>
            <w:r>
              <w:rPr>
                <w:rFonts w:ascii="Arial" w:cs="Arial" w:eastAsia="Arial" w:hAnsi="Arial"/>
                <w:sz w:val="14"/>
                <w:szCs w:val="14"/>
                <w:color w:val="auto"/>
              </w:rPr>
              <w:t>Below are the financial highlights:</w:t>
            </w: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20" w:type="dxa"/>
            <w:vAlign w:val="bottom"/>
            <w:gridSpan w:val="3"/>
          </w:tcPr>
          <w:p>
            <w:pPr>
              <w:jc w:val="right"/>
              <w:ind w:right="9"/>
              <w:spacing w:after="0"/>
              <w:rPr>
                <w:sz w:val="20"/>
                <w:szCs w:val="20"/>
                <w:color w:val="auto"/>
              </w:rPr>
            </w:pPr>
            <w:r>
              <w:rPr>
                <w:rFonts w:ascii="Arial" w:cs="Arial" w:eastAsia="Arial" w:hAnsi="Arial"/>
                <w:sz w:val="14"/>
                <w:szCs w:val="14"/>
                <w:b w:val="1"/>
                <w:bCs w:val="1"/>
                <w:color w:val="auto"/>
                <w:w w:val="96"/>
              </w:rPr>
              <w:t>Six Months Ended March 31,</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8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820" w:type="dxa"/>
            <w:vAlign w:val="bottom"/>
            <w:tcBorders>
              <w:bottom w:val="single" w:sz="8" w:color="CCECFF"/>
            </w:tcBorders>
          </w:tcPr>
          <w:p>
            <w:pPr>
              <w:spacing w:after="0"/>
              <w:rPr>
                <w:sz w:val="13"/>
                <w:szCs w:val="13"/>
                <w:color w:val="auto"/>
              </w:rPr>
            </w:pPr>
          </w:p>
        </w:tc>
        <w:tc>
          <w:tcPr>
            <w:tcW w:w="1140" w:type="dxa"/>
            <w:vAlign w:val="bottom"/>
            <w:tcBorders>
              <w:bottom w:val="single" w:sz="8" w:color="auto"/>
            </w:tcBorders>
          </w:tcPr>
          <w:p>
            <w:pPr>
              <w:jc w:val="right"/>
              <w:ind w:right="6"/>
              <w:spacing w:after="0" w:line="155"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3"/>
                <w:szCs w:val="13"/>
                <w:color w:val="auto"/>
              </w:rPr>
            </w:pPr>
          </w:p>
        </w:tc>
        <w:tc>
          <w:tcPr>
            <w:tcW w:w="420" w:type="dxa"/>
            <w:vAlign w:val="bottom"/>
            <w:tcBorders>
              <w:bottom w:val="single" w:sz="8" w:color="CCEC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68"/>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114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42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11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Net asset value, beginning of period</w:t>
            </w:r>
          </w:p>
        </w:tc>
        <w:tc>
          <w:tcPr>
            <w:tcW w:w="1140" w:type="dxa"/>
            <w:vAlign w:val="bottom"/>
          </w:tcPr>
          <w:p>
            <w:pPr>
              <w:jc w:val="right"/>
              <w:ind w:right="1026"/>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9.11</w:t>
            </w:r>
          </w:p>
        </w:tc>
        <w:tc>
          <w:tcPr>
            <w:tcW w:w="420" w:type="dxa"/>
            <w:vAlign w:val="bottom"/>
          </w:tcPr>
          <w:p>
            <w:pPr>
              <w:spacing w:after="0"/>
              <w:rPr>
                <w:sz w:val="14"/>
                <w:szCs w:val="14"/>
                <w:color w:val="auto"/>
              </w:rPr>
            </w:pPr>
          </w:p>
        </w:tc>
        <w:tc>
          <w:tcPr>
            <w:tcW w:w="740" w:type="dxa"/>
            <w:vAlign w:val="bottom"/>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9.10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140" w:type="dxa"/>
            <w:vAlign w:val="bottom"/>
            <w:shd w:val="clear" w:color="auto" w:fill="CCECFF"/>
          </w:tcPr>
          <w:p>
            <w:pPr>
              <w:spacing w:after="0"/>
              <w:rPr>
                <w:sz w:val="14"/>
                <w:szCs w:val="14"/>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0.34</w:t>
            </w:r>
          </w:p>
        </w:tc>
        <w:tc>
          <w:tcPr>
            <w:tcW w:w="42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0.39</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 xml:space="preserve">Net change in realized and unrealized loss </w:t>
            </w:r>
            <w:r>
              <w:rPr>
                <w:rFonts w:ascii="Arial" w:cs="Arial" w:eastAsia="Arial" w:hAnsi="Arial"/>
                <w:sz w:val="12"/>
                <w:szCs w:val="12"/>
                <w:color w:val="auto"/>
              </w:rPr>
              <w:t>(1)</w:t>
            </w:r>
          </w:p>
        </w:tc>
        <w:tc>
          <w:tcPr>
            <w:tcW w:w="114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(0.31)</w:t>
            </w:r>
          </w:p>
        </w:tc>
        <w:tc>
          <w:tcPr>
            <w:tcW w:w="74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56"/>
        </w:trPr>
        <w:tc>
          <w:tcPr>
            <w:tcW w:w="68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1140" w:type="dxa"/>
            <w:vAlign w:val="bottom"/>
            <w:tcBorders>
              <w:top w:val="single" w:sz="8" w:color="auto"/>
            </w:tcBorders>
            <w:shd w:val="clear" w:color="auto" w:fill="CCECFF"/>
          </w:tcPr>
          <w:p>
            <w:pPr>
              <w:spacing w:after="0"/>
              <w:rPr>
                <w:sz w:val="13"/>
                <w:szCs w:val="13"/>
                <w:color w:val="auto"/>
              </w:rPr>
            </w:pPr>
          </w:p>
        </w:tc>
        <w:tc>
          <w:tcPr>
            <w:tcW w:w="7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0.03</w:t>
            </w:r>
          </w:p>
        </w:tc>
        <w:tc>
          <w:tcPr>
            <w:tcW w:w="420" w:type="dxa"/>
            <w:vAlign w:val="bottom"/>
            <w:tcBorders>
              <w:top w:val="single" w:sz="8" w:color="CCECFF"/>
            </w:tcBorders>
            <w:shd w:val="clear" w:color="auto" w:fill="CCECFF"/>
          </w:tcPr>
          <w:p>
            <w:pPr>
              <w:spacing w:after="0"/>
              <w:rPr>
                <w:sz w:val="13"/>
                <w:szCs w:val="13"/>
                <w:color w:val="auto"/>
              </w:rPr>
            </w:pPr>
          </w:p>
        </w:tc>
        <w:tc>
          <w:tcPr>
            <w:tcW w:w="74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0.26</w:t>
            </w:r>
          </w:p>
        </w:tc>
        <w:tc>
          <w:tcPr>
            <w:tcW w:w="18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14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(0.36)</w:t>
            </w:r>
          </w:p>
        </w:tc>
        <w:tc>
          <w:tcPr>
            <w:tcW w:w="74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162"/>
        </w:trPr>
        <w:tc>
          <w:tcPr>
            <w:tcW w:w="68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Repurchase of common stock </w:t>
            </w:r>
            <w:r>
              <w:rPr>
                <w:rFonts w:ascii="Arial" w:cs="Arial" w:eastAsia="Arial" w:hAnsi="Arial"/>
                <w:sz w:val="12"/>
                <w:szCs w:val="12"/>
                <w:color w:val="auto"/>
              </w:rPr>
              <w:t>(1)</w:t>
            </w:r>
          </w:p>
        </w:tc>
        <w:tc>
          <w:tcPr>
            <w:tcW w:w="1140" w:type="dxa"/>
            <w:vAlign w:val="bottom"/>
            <w:shd w:val="clear" w:color="auto" w:fill="CCECFF"/>
          </w:tcPr>
          <w:p>
            <w:pPr>
              <w:spacing w:after="0"/>
              <w:rPr>
                <w:sz w:val="14"/>
                <w:szCs w:val="14"/>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0.05</w:t>
            </w:r>
          </w:p>
        </w:tc>
        <w:tc>
          <w:tcPr>
            <w:tcW w:w="42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136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68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1140" w:type="dxa"/>
            <w:vAlign w:val="bottom"/>
            <w:tcBorders>
              <w:top w:val="single" w:sz="8" w:color="auto"/>
              <w:bottom w:val="single" w:sz="8" w:color="auto"/>
            </w:tcBorders>
          </w:tcPr>
          <w:p>
            <w:pPr>
              <w:jc w:val="right"/>
              <w:ind w:right="1026"/>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8.83</w:t>
            </w:r>
          </w:p>
        </w:tc>
        <w:tc>
          <w:tcPr>
            <w:tcW w:w="420" w:type="dxa"/>
            <w:vAlign w:val="bottom"/>
            <w:tcBorders>
              <w:bottom w:val="single" w:sz="8" w:color="CCECFF"/>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9.00</w:t>
            </w:r>
          </w:p>
        </w:tc>
        <w:tc>
          <w:tcPr>
            <w:tcW w:w="18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8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Per share market value, end of period</w:t>
            </w:r>
          </w:p>
        </w:tc>
        <w:tc>
          <w:tcPr>
            <w:tcW w:w="1140" w:type="dxa"/>
            <w:vAlign w:val="bottom"/>
            <w:tcBorders>
              <w:bottom w:val="single" w:sz="8" w:color="auto"/>
            </w:tcBorders>
            <w:shd w:val="clear" w:color="auto" w:fill="CCECFF"/>
          </w:tcPr>
          <w:p>
            <w:pPr>
              <w:jc w:val="right"/>
              <w:ind w:right="1026"/>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6.91</w:t>
            </w:r>
          </w:p>
        </w:tc>
        <w:tc>
          <w:tcPr>
            <w:tcW w:w="420" w:type="dxa"/>
            <w:vAlign w:val="bottom"/>
            <w:tcBorders>
              <w:bottom w:val="single" w:sz="8" w:color="CCECFF"/>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6.68</w:t>
            </w:r>
          </w:p>
        </w:tc>
        <w:tc>
          <w:tcPr>
            <w:tcW w:w="18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(2.55)%</w:t>
            </w:r>
          </w:p>
        </w:tc>
        <w:tc>
          <w:tcPr>
            <w:tcW w:w="740" w:type="dxa"/>
            <w:vAlign w:val="bottom"/>
          </w:tcPr>
          <w:p>
            <w:pPr>
              <w:spacing w:after="0"/>
              <w:rPr>
                <w:sz w:val="12"/>
                <w:szCs w:val="12"/>
                <w:color w:val="auto"/>
              </w:rPr>
            </w:pPr>
          </w:p>
        </w:tc>
        <w:tc>
          <w:tcPr>
            <w:tcW w:w="13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162"/>
        </w:trPr>
        <w:tc>
          <w:tcPr>
            <w:tcW w:w="682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4"/>
                <w:szCs w:val="14"/>
                <w:color w:val="auto"/>
              </w:rPr>
              <w:t>Shares outstanding at end of period</w:t>
            </w:r>
          </w:p>
        </w:tc>
        <w:tc>
          <w:tcPr>
            <w:tcW w:w="1140" w:type="dxa"/>
            <w:vAlign w:val="bottom"/>
            <w:tcBorders>
              <w:bottom w:val="single" w:sz="8" w:color="auto"/>
            </w:tcBorders>
            <w:shd w:val="clear" w:color="auto" w:fill="CCECFF"/>
          </w:tcPr>
          <w:p>
            <w:pPr>
              <w:spacing w:after="0"/>
              <w:rPr>
                <w:sz w:val="14"/>
                <w:szCs w:val="14"/>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67,045,105</w:t>
            </w:r>
          </w:p>
        </w:tc>
        <w:tc>
          <w:tcPr>
            <w:tcW w:w="420" w:type="dxa"/>
            <w:vAlign w:val="bottom"/>
            <w:tcBorders>
              <w:bottom w:val="single" w:sz="8" w:color="CCECFF"/>
            </w:tcBorders>
            <w:shd w:val="clear" w:color="auto" w:fill="CCECFF"/>
          </w:tcPr>
          <w:p>
            <w:pPr>
              <w:spacing w:after="0"/>
              <w:rPr>
                <w:sz w:val="14"/>
                <w:szCs w:val="14"/>
                <w:color w:val="auto"/>
              </w:rPr>
            </w:pPr>
          </w:p>
        </w:tc>
        <w:tc>
          <w:tcPr>
            <w:tcW w:w="74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71,060,836</w:t>
            </w:r>
          </w:p>
        </w:tc>
        <w:tc>
          <w:tcPr>
            <w:tcW w:w="18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4"/>
                <w:szCs w:val="14"/>
                <w:b w:val="1"/>
                <w:bCs w:val="1"/>
                <w:color w:val="auto"/>
              </w:rPr>
              <w:t>Ratios**/ Supplemental Data:</w:t>
            </w: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 (5), (6)</w:t>
            </w:r>
          </w:p>
        </w:tc>
        <w:tc>
          <w:tcPr>
            <w:tcW w:w="114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4.69%</w:t>
            </w:r>
          </w:p>
        </w:tc>
        <w:tc>
          <w:tcPr>
            <w:tcW w:w="740" w:type="dxa"/>
            <w:vAlign w:val="bottom"/>
            <w:shd w:val="clear" w:color="auto" w:fill="CCECFF"/>
          </w:tcPr>
          <w:p>
            <w:pPr>
              <w:spacing w:after="0"/>
              <w:rPr>
                <w:sz w:val="14"/>
                <w:szCs w:val="14"/>
                <w:color w:val="auto"/>
              </w:rPr>
            </w:pPr>
          </w:p>
        </w:tc>
        <w:tc>
          <w:tcPr>
            <w:tcW w:w="13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Ratio of interest and expenses on debt to average net assets</w:t>
            </w:r>
          </w:p>
        </w:tc>
        <w:tc>
          <w:tcPr>
            <w:tcW w:w="114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5.07%</w:t>
            </w:r>
          </w:p>
        </w:tc>
        <w:tc>
          <w:tcPr>
            <w:tcW w:w="74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20"/>
        </w:trPr>
        <w:tc>
          <w:tcPr>
            <w:tcW w:w="6820" w:type="dxa"/>
            <w:vAlign w:val="bottom"/>
            <w:vMerge w:val="restart"/>
            <w:shd w:val="clear" w:color="auto" w:fill="CCECFF"/>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 (6)</w:t>
            </w:r>
          </w:p>
        </w:tc>
        <w:tc>
          <w:tcPr>
            <w:tcW w:w="1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CCEC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20" w:type="dxa"/>
            <w:vAlign w:val="bottom"/>
            <w:vMerge w:val="continue"/>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300"/>
              <w:spacing w:after="0" w:line="155" w:lineRule="exact"/>
              <w:rPr>
                <w:sz w:val="20"/>
                <w:szCs w:val="20"/>
                <w:color w:val="auto"/>
              </w:rPr>
            </w:pPr>
            <w:r>
              <w:rPr>
                <w:rFonts w:ascii="Arial" w:cs="Arial" w:eastAsia="Arial" w:hAnsi="Arial"/>
                <w:sz w:val="14"/>
                <w:szCs w:val="14"/>
                <w:color w:val="auto"/>
              </w:rPr>
              <w:t>9.76%</w:t>
            </w:r>
          </w:p>
        </w:tc>
        <w:tc>
          <w:tcPr>
            <w:tcW w:w="740" w:type="dxa"/>
            <w:vAlign w:val="bottom"/>
            <w:shd w:val="clear" w:color="auto" w:fill="CCECFF"/>
          </w:tcPr>
          <w:p>
            <w:pPr>
              <w:spacing w:after="0"/>
              <w:rPr>
                <w:sz w:val="13"/>
                <w:szCs w:val="13"/>
                <w:color w:val="auto"/>
              </w:rPr>
            </w:pPr>
          </w:p>
        </w:tc>
        <w:tc>
          <w:tcPr>
            <w:tcW w:w="1360" w:type="dxa"/>
            <w:vAlign w:val="bottom"/>
            <w:gridSpan w:val="2"/>
            <w:shd w:val="clear" w:color="auto" w:fill="CCECFF"/>
          </w:tcPr>
          <w:p>
            <w:pPr>
              <w:jc w:val="right"/>
              <w:ind w:right="60"/>
              <w:spacing w:after="0" w:line="155" w:lineRule="exact"/>
              <w:rPr>
                <w:sz w:val="20"/>
                <w:szCs w:val="20"/>
                <w:color w:val="auto"/>
              </w:rPr>
            </w:pPr>
            <w:r>
              <w:rPr>
                <w:rFonts w:ascii="Arial" w:cs="Arial" w:eastAsia="Arial" w:hAnsi="Arial"/>
                <w:sz w:val="14"/>
                <w:szCs w:val="14"/>
                <w:color w:val="auto"/>
              </w:rPr>
              <w:t>8.73%</w:t>
            </w:r>
          </w:p>
        </w:tc>
        <w:tc>
          <w:tcPr>
            <w:tcW w:w="0" w:type="dxa"/>
            <w:vAlign w:val="bottom"/>
          </w:tcPr>
          <w:p>
            <w:pPr>
              <w:spacing w:after="0"/>
              <w:rPr>
                <w:sz w:val="1"/>
                <w:szCs w:val="1"/>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(6)</w:t>
            </w:r>
          </w:p>
        </w:tc>
        <w:tc>
          <w:tcPr>
            <w:tcW w:w="114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8.29%</w:t>
            </w:r>
          </w:p>
        </w:tc>
        <w:tc>
          <w:tcPr>
            <w:tcW w:w="74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8.51%</w:t>
            </w:r>
          </w:p>
        </w:tc>
        <w:tc>
          <w:tcPr>
            <w:tcW w:w="0" w:type="dxa"/>
            <w:vAlign w:val="bottom"/>
          </w:tcPr>
          <w:p>
            <w:pPr>
              <w:spacing w:after="0"/>
              <w:rPr>
                <w:sz w:val="1"/>
                <w:szCs w:val="1"/>
                <w:color w:val="auto"/>
              </w:rPr>
            </w:pPr>
          </w:p>
        </w:tc>
      </w:tr>
      <w:tr>
        <w:trPr>
          <w:trHeight w:val="162"/>
        </w:trPr>
        <w:tc>
          <w:tcPr>
            <w:tcW w:w="6820" w:type="dxa"/>
            <w:vAlign w:val="bottom"/>
            <w:shd w:val="clear" w:color="auto" w:fill="CCECFF"/>
          </w:tcPr>
          <w:p>
            <w:pPr>
              <w:spacing w:after="0"/>
              <w:rPr>
                <w:sz w:val="20"/>
                <w:szCs w:val="20"/>
                <w:color w:val="auto"/>
              </w:rPr>
            </w:pPr>
            <w:r>
              <w:rPr>
                <w:rFonts w:ascii="Arial" w:cs="Arial" w:eastAsia="Arial" w:hAnsi="Arial"/>
                <w:sz w:val="14"/>
                <w:szCs w:val="14"/>
                <w:color w:val="auto"/>
              </w:rPr>
              <w:t>Net assets at end of period</w:t>
            </w:r>
          </w:p>
        </w:tc>
        <w:tc>
          <w:tcPr>
            <w:tcW w:w="1140" w:type="dxa"/>
            <w:vAlign w:val="bottom"/>
            <w:tcBorders>
              <w:bottom w:val="single" w:sz="8" w:color="auto"/>
            </w:tcBorders>
            <w:shd w:val="clear" w:color="auto" w:fill="CCECFF"/>
          </w:tcPr>
          <w:p>
            <w:pPr>
              <w:jc w:val="right"/>
              <w:ind w:right="1026"/>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95"/>
              </w:rPr>
              <w:t>592,148,791</w:t>
            </w:r>
          </w:p>
        </w:tc>
        <w:tc>
          <w:tcPr>
            <w:tcW w:w="420" w:type="dxa"/>
            <w:vAlign w:val="bottom"/>
            <w:shd w:val="clear" w:color="auto" w:fill="CCECFF"/>
          </w:tcPr>
          <w:p>
            <w:pPr>
              <w:spacing w:after="0"/>
              <w:rPr>
                <w:sz w:val="14"/>
                <w:szCs w:val="14"/>
                <w:color w:val="auto"/>
              </w:rPr>
            </w:pPr>
          </w:p>
        </w:tc>
        <w:tc>
          <w:tcPr>
            <w:tcW w:w="740" w:type="dxa"/>
            <w:vAlign w:val="bottom"/>
            <w:tcBorders>
              <w:bottom w:val="single" w:sz="8" w:color="auto"/>
            </w:tcBorders>
            <w:shd w:val="clear" w:color="auto" w:fill="CCECFF"/>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639,556,977</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(7)</w:t>
            </w:r>
          </w:p>
        </w:tc>
        <w:tc>
          <w:tcPr>
            <w:tcW w:w="1140" w:type="dxa"/>
            <w:vAlign w:val="bottom"/>
            <w:tcBorders>
              <w:bottom w:val="single" w:sz="8" w:color="auto"/>
            </w:tcBorders>
          </w:tcPr>
          <w:p>
            <w:pPr>
              <w:jc w:val="right"/>
              <w:ind w:right="1026"/>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451,444,179</w:t>
            </w:r>
          </w:p>
        </w:tc>
        <w:tc>
          <w:tcPr>
            <w:tcW w:w="420" w:type="dxa"/>
            <w:vAlign w:val="bottom"/>
            <w:tcBorders>
              <w:bottom w:val="single" w:sz="8" w:color="CCECFF"/>
            </w:tcBorders>
          </w:tcPr>
          <w:p>
            <w:pPr>
              <w:spacing w:after="0"/>
              <w:rPr>
                <w:sz w:val="13"/>
                <w:szCs w:val="13"/>
                <w:color w:val="auto"/>
              </w:rPr>
            </w:pPr>
          </w:p>
        </w:tc>
        <w:tc>
          <w:tcPr>
            <w:tcW w:w="740" w:type="dxa"/>
            <w:vAlign w:val="bottom"/>
            <w:tcBorders>
              <w:bottom w:val="single" w:sz="8" w:color="auto"/>
            </w:tcBorders>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515,320,931</w:t>
            </w:r>
          </w:p>
        </w:tc>
        <w:tc>
          <w:tcPr>
            <w:tcW w:w="18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 (7)</w:t>
            </w:r>
          </w:p>
        </w:tc>
        <w:tc>
          <w:tcPr>
            <w:tcW w:w="1140" w:type="dxa"/>
            <w:vAlign w:val="bottom"/>
            <w:shd w:val="clear" w:color="auto" w:fill="CCECFF"/>
          </w:tcPr>
          <w:p>
            <w:pPr>
              <w:jc w:val="right"/>
              <w:ind w:right="1026"/>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6.60</w:t>
            </w:r>
          </w:p>
        </w:tc>
        <w:tc>
          <w:tcPr>
            <w:tcW w:w="420" w:type="dxa"/>
            <w:vAlign w:val="bottom"/>
            <w:shd w:val="clear" w:color="auto" w:fill="CCECFF"/>
          </w:tcPr>
          <w:p>
            <w:pPr>
              <w:spacing w:after="0"/>
              <w:rPr>
                <w:sz w:val="13"/>
                <w:szCs w:val="13"/>
                <w:color w:val="auto"/>
              </w:rPr>
            </w:pPr>
          </w:p>
        </w:tc>
        <w:tc>
          <w:tcPr>
            <w:tcW w:w="740" w:type="dxa"/>
            <w:vAlign w:val="bottom"/>
            <w:shd w:val="clear" w:color="auto" w:fill="CCECFF"/>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7.25</w:t>
            </w:r>
          </w:p>
        </w:tc>
        <w:tc>
          <w:tcPr>
            <w:tcW w:w="1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(8)</w:t>
            </w:r>
          </w:p>
        </w:tc>
        <w:tc>
          <w:tcPr>
            <w:tcW w:w="1140" w:type="dxa"/>
            <w:vAlign w:val="bottom"/>
          </w:tcPr>
          <w:p>
            <w:pPr>
              <w:jc w:val="right"/>
              <w:ind w:right="1026"/>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2,119</w:t>
            </w:r>
          </w:p>
        </w:tc>
        <w:tc>
          <w:tcPr>
            <w:tcW w:w="420" w:type="dxa"/>
            <w:vAlign w:val="bottom"/>
          </w:tcPr>
          <w:p>
            <w:pPr>
              <w:spacing w:after="0"/>
              <w:rPr>
                <w:sz w:val="14"/>
                <w:szCs w:val="14"/>
                <w:color w:val="auto"/>
              </w:rPr>
            </w:pPr>
          </w:p>
        </w:tc>
        <w:tc>
          <w:tcPr>
            <w:tcW w:w="740" w:type="dxa"/>
            <w:vAlign w:val="bottom"/>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3,190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20" w:type="dxa"/>
            <w:vAlign w:val="bottom"/>
            <w:shd w:val="clear" w:color="auto" w:fill="CCECFF"/>
          </w:tcPr>
          <w:p>
            <w:pPr>
              <w:spacing w:after="0"/>
              <w:rPr>
                <w:sz w:val="20"/>
                <w:szCs w:val="20"/>
                <w:color w:val="auto"/>
              </w:rPr>
            </w:pPr>
            <w:r>
              <w:rPr>
                <w:rFonts w:ascii="Arial" w:cs="Arial" w:eastAsia="Arial" w:hAnsi="Arial"/>
                <w:sz w:val="14"/>
                <w:szCs w:val="14"/>
                <w:color w:val="auto"/>
              </w:rPr>
              <w:t>Portfolio turnover ratio</w:t>
            </w:r>
          </w:p>
        </w:tc>
        <w:tc>
          <w:tcPr>
            <w:tcW w:w="114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41.26%</w:t>
            </w:r>
          </w:p>
        </w:tc>
        <w:tc>
          <w:tcPr>
            <w:tcW w:w="740" w:type="dxa"/>
            <w:vAlign w:val="bottom"/>
            <w:shd w:val="clear" w:color="auto" w:fill="CCECFF"/>
          </w:tcPr>
          <w:p>
            <w:pPr>
              <w:spacing w:after="0"/>
              <w:rPr>
                <w:sz w:val="14"/>
                <w:szCs w:val="14"/>
                <w:color w:val="auto"/>
              </w:rPr>
            </w:pPr>
          </w:p>
        </w:tc>
        <w:tc>
          <w:tcPr>
            <w:tcW w:w="13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43.45%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455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4" w:lineRule="exact"/>
        <w:rPr>
          <w:sz w:val="20"/>
          <w:szCs w:val="20"/>
          <w:color w:val="auto"/>
        </w:rPr>
      </w:pPr>
    </w:p>
    <w:p>
      <w:pPr>
        <w:ind w:right="8240" w:firstLine="8"/>
        <w:spacing w:after="0" w:line="276" w:lineRule="auto"/>
        <w:tabs>
          <w:tab w:leader="none" w:pos="364" w:val="left"/>
        </w:tabs>
        <w:numPr>
          <w:ilvl w:val="0"/>
          <w:numId w:val="18"/>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ind w:left="380" w:hanging="372"/>
        <w:spacing w:after="0"/>
        <w:tabs>
          <w:tab w:leader="none" w:pos="380" w:val="left"/>
        </w:tabs>
        <w:numPr>
          <w:ilvl w:val="0"/>
          <w:numId w:val="19"/>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spacing w:after="0" w:line="14" w:lineRule="exact"/>
        <w:rPr>
          <w:rFonts w:ascii="Arial" w:cs="Arial" w:eastAsia="Arial" w:hAnsi="Arial"/>
          <w:sz w:val="12"/>
          <w:szCs w:val="12"/>
          <w:color w:val="auto"/>
        </w:rPr>
      </w:pPr>
    </w:p>
    <w:p>
      <w:pPr>
        <w:ind w:left="380" w:right="20" w:hanging="372"/>
        <w:spacing w:after="0" w:line="261" w:lineRule="auto"/>
        <w:tabs>
          <w:tab w:leader="none" w:pos="380" w:val="left"/>
        </w:tabs>
        <w:numPr>
          <w:ilvl w:val="0"/>
          <w:numId w:val="19"/>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60" w:hanging="352"/>
        <w:spacing w:after="0"/>
        <w:tabs>
          <w:tab w:leader="none" w:pos="360" w:val="left"/>
        </w:tabs>
        <w:numPr>
          <w:ilvl w:val="0"/>
          <w:numId w:val="19"/>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spacing w:after="0" w:line="14" w:lineRule="exact"/>
        <w:rPr>
          <w:rFonts w:ascii="Arial" w:cs="Arial" w:eastAsia="Arial" w:hAnsi="Arial"/>
          <w:sz w:val="12"/>
          <w:szCs w:val="12"/>
          <w:color w:val="auto"/>
        </w:rPr>
      </w:pPr>
    </w:p>
    <w:p>
      <w:pPr>
        <w:ind w:left="360" w:hanging="352"/>
        <w:spacing w:after="0"/>
        <w:tabs>
          <w:tab w:leader="none" w:pos="360" w:val="left"/>
        </w:tabs>
        <w:numPr>
          <w:ilvl w:val="0"/>
          <w:numId w:val="19"/>
        </w:numPr>
        <w:rPr>
          <w:rFonts w:ascii="Arial" w:cs="Arial" w:eastAsia="Arial" w:hAnsi="Arial"/>
          <w:sz w:val="12"/>
          <w:szCs w:val="12"/>
          <w:color w:val="auto"/>
        </w:rPr>
      </w:pPr>
      <w:r>
        <w:rPr>
          <w:rFonts w:ascii="Arial" w:cs="Arial" w:eastAsia="Arial" w:hAnsi="Arial"/>
          <w:sz w:val="14"/>
          <w:szCs w:val="14"/>
          <w:color w:val="auto"/>
        </w:rPr>
        <w:t>Excludes debt related costs.</w:t>
      </w:r>
    </w:p>
    <w:p>
      <w:pPr>
        <w:spacing w:after="0" w:line="14" w:lineRule="exact"/>
        <w:rPr>
          <w:rFonts w:ascii="Arial" w:cs="Arial" w:eastAsia="Arial" w:hAnsi="Arial"/>
          <w:sz w:val="12"/>
          <w:szCs w:val="12"/>
          <w:color w:val="auto"/>
        </w:rPr>
      </w:pPr>
    </w:p>
    <w:p>
      <w:pPr>
        <w:ind w:left="360" w:right="380" w:hanging="352"/>
        <w:spacing w:after="0" w:line="261" w:lineRule="auto"/>
        <w:tabs>
          <w:tab w:leader="none" w:pos="360" w:val="left"/>
        </w:tabs>
        <w:numPr>
          <w:ilvl w:val="0"/>
          <w:numId w:val="19"/>
        </w:numPr>
        <w:rPr>
          <w:rFonts w:ascii="Arial" w:cs="Arial" w:eastAsia="Arial" w:hAnsi="Arial"/>
          <w:sz w:val="12"/>
          <w:szCs w:val="12"/>
          <w:color w:val="auto"/>
        </w:rPr>
      </w:pPr>
      <w:r>
        <w:rPr>
          <w:rFonts w:ascii="Arial" w:cs="Arial" w:eastAsia="Arial" w:hAnsi="Arial"/>
          <w:sz w:val="14"/>
          <w:szCs w:val="14"/>
          <w:color w:val="auto"/>
        </w:rPr>
        <w:t>For the six months ended March 31, 2018, the ratio of operating expenses to average net assets before the waiver of certain Management Fees to average net assets was 5.53% and the ratio of total expenses before the waiver of certain Management Fees to average net assets was 9.17%.</w:t>
      </w:r>
    </w:p>
    <w:p>
      <w:pPr>
        <w:ind w:left="360" w:hanging="352"/>
        <w:spacing w:after="0"/>
        <w:tabs>
          <w:tab w:leader="none" w:pos="360" w:val="left"/>
        </w:tabs>
        <w:numPr>
          <w:ilvl w:val="0"/>
          <w:numId w:val="19"/>
        </w:numPr>
        <w:rPr>
          <w:rFonts w:ascii="Arial" w:cs="Arial" w:eastAsia="Arial" w:hAnsi="Arial"/>
          <w:sz w:val="12"/>
          <w:szCs w:val="12"/>
          <w:color w:val="auto"/>
        </w:rPr>
      </w:pPr>
      <w:r>
        <w:rPr>
          <w:rFonts w:ascii="Arial" w:cs="Arial" w:eastAsia="Arial" w:hAnsi="Arial"/>
          <w:sz w:val="14"/>
          <w:szCs w:val="14"/>
          <w:color w:val="auto"/>
        </w:rPr>
        <w:t>Does not annualize non-recurring provision for taxes.</w:t>
      </w:r>
    </w:p>
    <w:p>
      <w:pPr>
        <w:spacing w:after="0" w:line="14" w:lineRule="exact"/>
        <w:rPr>
          <w:rFonts w:ascii="Arial" w:cs="Arial" w:eastAsia="Arial" w:hAnsi="Arial"/>
          <w:sz w:val="12"/>
          <w:szCs w:val="12"/>
          <w:color w:val="auto"/>
        </w:rPr>
      </w:pPr>
    </w:p>
    <w:p>
      <w:pPr>
        <w:ind w:left="360" w:hanging="352"/>
        <w:spacing w:after="0"/>
        <w:tabs>
          <w:tab w:leader="none" w:pos="360" w:val="left"/>
        </w:tabs>
        <w:numPr>
          <w:ilvl w:val="0"/>
          <w:numId w:val="19"/>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spacing w:after="0" w:line="14" w:lineRule="exact"/>
        <w:rPr>
          <w:rFonts w:ascii="Arial" w:cs="Arial" w:eastAsia="Arial" w:hAnsi="Arial"/>
          <w:sz w:val="12"/>
          <w:szCs w:val="12"/>
          <w:color w:val="auto"/>
        </w:rPr>
      </w:pPr>
    </w:p>
    <w:p>
      <w:pPr>
        <w:jc w:val="both"/>
        <w:ind w:left="360" w:right="120" w:hanging="352"/>
        <w:spacing w:after="0" w:line="302" w:lineRule="auto"/>
        <w:tabs>
          <w:tab w:leader="none" w:pos="360" w:val="left"/>
        </w:tabs>
        <w:numPr>
          <w:ilvl w:val="0"/>
          <w:numId w:val="19"/>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 These amounts exclude SBA debentures from our asset coverage per unit computation pursuant to exemptive relief received from the SEC in June 2011.</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40"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The annualized weighted average cost of debt for the six months ended March 31, 2019 and 2018, inclusive of the fee on the undrawn commitment under the SunTrust Credit Facility, debt issuance costs on the BNP Credit Facility and amortized upfront fees on SBA debentures, was 6.97% and 4.58%, respectively. As of March 31, 2019, in accordance with the 1940 Act, with certain limited exceptions, we were only allowed to borrow amounts such that we are in compliance with a 150% asset coverage ratio requirement after such borrowing, excluding SBA debentures, pursuant to exemptive relief from the SEC received in June 2011.</w:t>
      </w:r>
    </w:p>
    <w:p>
      <w:pPr>
        <w:spacing w:after="0" w:line="117" w:lineRule="exact"/>
        <w:rPr>
          <w:sz w:val="20"/>
          <w:szCs w:val="20"/>
          <w:color w:val="auto"/>
        </w:rPr>
      </w:pPr>
    </w:p>
    <w:p>
      <w:pPr>
        <w:ind w:right="360" w:firstLine="434"/>
        <w:spacing w:after="0" w:line="231" w:lineRule="auto"/>
        <w:rPr>
          <w:sz w:val="20"/>
          <w:szCs w:val="20"/>
          <w:color w:val="auto"/>
        </w:rPr>
      </w:pPr>
      <w:r>
        <w:rPr>
          <w:rFonts w:ascii="Arial" w:cs="Arial" w:eastAsia="Arial" w:hAnsi="Arial"/>
          <w:sz w:val="14"/>
          <w:szCs w:val="14"/>
          <w:color w:val="auto"/>
        </w:rPr>
        <w:t>On February 5, 2019, our stockholders approved the application of the modified asset coverage requirements set forth in Section 61(a)(2) of the 1940 Act, as amended by the Consolidated Appropriations Act of 2018 (which includes the Small Business Credit Availability Act, or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March 31, 2019 and September 30, 2018, our asset coverage ratio, as computed in accordance with the 1940 Act, was 212% and 292%,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BNP Credit Facility</w:t>
      </w:r>
    </w:p>
    <w:p>
      <w:pPr>
        <w:spacing w:after="0" w:line="136" w:lineRule="exact"/>
        <w:rPr>
          <w:sz w:val="20"/>
          <w:szCs w:val="20"/>
          <w:color w:val="auto"/>
        </w:rPr>
      </w:pPr>
    </w:p>
    <w:p>
      <w:pPr>
        <w:ind w:right="200" w:firstLine="456"/>
        <w:spacing w:after="0" w:line="238" w:lineRule="auto"/>
        <w:rPr>
          <w:sz w:val="20"/>
          <w:szCs w:val="20"/>
          <w:color w:val="auto"/>
        </w:rPr>
      </w:pPr>
      <w:r>
        <w:rPr>
          <w:rFonts w:ascii="Arial" w:cs="Arial" w:eastAsia="Arial" w:hAnsi="Arial"/>
          <w:sz w:val="14"/>
          <w:szCs w:val="14"/>
          <w:color w:val="auto"/>
        </w:rPr>
        <w:t>On February 22, 2019, Funding I closed the BNP Credit Facility for up to $250.0 million in borrowings with certain lenders and BNP Paribas, as administrative agent, and The Bank of New York Mellon Trust Company, N.A., as collateral agent. As of March 31, 2019, Funding I had $142.5 million in outstanding borrowings under the BNP Credit Facility. The BNP Credit Facility had a weighted average interest rate of 5.10% as of March 31, 2019. The BNP Credit Facility is a five-year revolving</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right="40"/>
        <w:spacing w:after="0" w:line="290" w:lineRule="auto"/>
        <w:rPr>
          <w:sz w:val="20"/>
          <w:szCs w:val="20"/>
          <w:color w:val="auto"/>
        </w:rPr>
      </w:pPr>
      <w:r>
        <w:rPr>
          <w:rFonts w:ascii="Arial" w:cs="Arial" w:eastAsia="Arial" w:hAnsi="Arial"/>
          <w:sz w:val="13"/>
          <w:szCs w:val="13"/>
          <w:color w:val="auto"/>
        </w:rPr>
        <w:t>facility with a stated maturity date of February 22, 2024 and pricing set at 260 basis points over LIBOR. The BNP Credit Facility is secured by all of the assets of Funding I. We own 100% of the equity interest in Funding I and treat the indebtedness of Funding I as our leverage. Our Investment Adviser serves as the servicer to Funding I in connection with the BNP Credit Facility.</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SunTrust Credit Facility</w:t>
      </w:r>
    </w:p>
    <w:p>
      <w:pPr>
        <w:spacing w:after="0" w:line="136" w:lineRule="exact"/>
        <w:rPr>
          <w:sz w:val="20"/>
          <w:szCs w:val="20"/>
          <w:color w:val="auto"/>
        </w:rPr>
      </w:pPr>
    </w:p>
    <w:p>
      <w:pPr>
        <w:ind w:right="100" w:firstLine="438"/>
        <w:spacing w:after="0" w:line="229" w:lineRule="auto"/>
        <w:rPr>
          <w:sz w:val="20"/>
          <w:szCs w:val="20"/>
          <w:color w:val="auto"/>
        </w:rPr>
      </w:pPr>
      <w:r>
        <w:rPr>
          <w:rFonts w:ascii="Arial" w:cs="Arial" w:eastAsia="Arial" w:hAnsi="Arial"/>
          <w:sz w:val="14"/>
          <w:szCs w:val="14"/>
          <w:color w:val="auto"/>
        </w:rPr>
        <w:t>As of March 31, 2019, we had the multi-currency SunTrust Credit Facility for up to $445.0 million in borrowings with certain lenders and SunTrust Bank, acting as administrative agent, and JPMorgan Chase Bank, N.A., acting as syndication agent for the lenders. As of March 31, 2019 and September 30, 2018, we had $389.1 million and $80.5 million (including a $2.0 million temporary draw), respectively, in outstanding borrowings under the SunTrust Credit Facility. The SunTrust Credit Facility had a weighted average interest rate of 4.58% and 3.79%, respectively, exclusive of the fee on undrawn commitments of 0.375%, as of March 31, 2019 and September 30, 2018. The SunTrust Credit Facility is a five-year revolving facility with a stated maturity date of May 25, 2022, a one-year term-out period following its fourth year and pricing set at 225 basis points over LIBOR. The SunTrust Credit Facility is secured by substantially all of our assets excluding assets held by Funding I and our SBIC Funds.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136" w:lineRule="exact"/>
        <w:rPr>
          <w:sz w:val="20"/>
          <w:szCs w:val="20"/>
          <w:color w:val="auto"/>
        </w:rPr>
      </w:pPr>
    </w:p>
    <w:p>
      <w:pPr>
        <w:ind w:right="180" w:firstLine="434"/>
        <w:spacing w:after="0" w:line="248" w:lineRule="auto"/>
        <w:rPr>
          <w:sz w:val="20"/>
          <w:szCs w:val="20"/>
          <w:color w:val="auto"/>
        </w:rPr>
      </w:pPr>
      <w:r>
        <w:rPr>
          <w:rFonts w:ascii="Arial" w:cs="Arial" w:eastAsia="Arial" w:hAnsi="Arial"/>
          <w:sz w:val="13"/>
          <w:szCs w:val="13"/>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zero SBA debentures outstanding as of March 31, 2019. We repaid the remaining $30.0 million in SBIC I debentures in the three months ended December 31, 2018. We have funded SBIC II with $75.0 million of equity capital and it had SBA debentures outstanding of $150.0 million as of March 31, 2019.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$350.0 million in the aggregate.</w:t>
      </w:r>
    </w:p>
    <w:p>
      <w:pPr>
        <w:spacing w:after="0" w:line="113" w:lineRule="exact"/>
        <w:rPr>
          <w:sz w:val="20"/>
          <w:szCs w:val="20"/>
          <w:color w:val="auto"/>
        </w:rPr>
      </w:pPr>
    </w:p>
    <w:p>
      <w:pPr>
        <w:ind w:right="120" w:firstLine="434"/>
        <w:spacing w:after="0" w:line="238" w:lineRule="auto"/>
        <w:rPr>
          <w:sz w:val="20"/>
          <w:szCs w:val="20"/>
          <w:color w:val="auto"/>
        </w:rPr>
      </w:pPr>
      <w:r>
        <w:rPr>
          <w:rFonts w:ascii="Arial" w:cs="Arial" w:eastAsia="Arial" w:hAnsi="Arial"/>
          <w:sz w:val="14"/>
          <w:szCs w:val="14"/>
          <w:color w:val="auto"/>
        </w:rPr>
        <w:t>As of March 31, 2019 and September 30, 2018, our SBIC Funds had $150.0 million and $300.0 million in debt commitments, respectively, of which $150.0 million and $180.0 million was drawn, respectively. As of March 31, 2019 and September 30, 2018, the unamortized fees on the SBA debentures was $4.1 million and $4.6 million, respectively. The SBA debentures’ upfront fees of 3.43% consist of a commitment fee of 1.00% and an issuance discount of 2.43%, which are being amortized.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20" w:type="dxa"/>
            <w:vAlign w:val="bottom"/>
            <w:gridSpan w:val="2"/>
          </w:tcPr>
          <w:p>
            <w:pPr>
              <w:ind w:left="440"/>
              <w:spacing w:after="0"/>
              <w:rPr>
                <w:sz w:val="20"/>
                <w:szCs w:val="20"/>
                <w:color w:val="auto"/>
              </w:rPr>
            </w:pPr>
            <w:r>
              <w:rPr>
                <w:rFonts w:ascii="Arial" w:cs="Arial" w:eastAsia="Arial" w:hAnsi="Arial"/>
                <w:sz w:val="14"/>
                <w:szCs w:val="14"/>
                <w:color w:val="auto"/>
              </w:rPr>
              <w:t>Our fixed-rate SBA debentures were as follows:</w:t>
            </w:r>
          </w:p>
        </w:tc>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As of March 31, 2019</w:t>
            </w: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24"/>
        </w:trPr>
        <w:tc>
          <w:tcPr>
            <w:tcW w:w="368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vMerge w:val="restart"/>
          </w:tcPr>
          <w:p>
            <w:pPr>
              <w:spacing w:after="0"/>
              <w:rPr>
                <w:sz w:val="10"/>
                <w:szCs w:val="10"/>
                <w:color w:val="auto"/>
              </w:rPr>
            </w:pPr>
          </w:p>
        </w:tc>
        <w:tc>
          <w:tcPr>
            <w:tcW w:w="224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10"/>
                <w:szCs w:val="10"/>
                <w:color w:val="auto"/>
              </w:rPr>
            </w:pPr>
          </w:p>
        </w:tc>
        <w:tc>
          <w:tcPr>
            <w:tcW w:w="21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8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2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10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CFF"/>
            </w:tcBorders>
            <w:vMerge w:val="continue"/>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400" w:type="dxa"/>
            <w:vAlign w:val="bottom"/>
            <w:tcBorders>
              <w:bottom w:val="single" w:sz="8" w:color="auto"/>
            </w:tcBorders>
          </w:tcPr>
          <w:p>
            <w:pPr>
              <w:jc w:val="center"/>
              <w:ind w:left="698"/>
              <w:spacing w:after="0"/>
              <w:rPr>
                <w:sz w:val="20"/>
                <w:szCs w:val="20"/>
                <w:color w:val="auto"/>
              </w:rPr>
            </w:pPr>
            <w:r>
              <w:rPr>
                <w:rFonts w:ascii="Arial" w:cs="Arial" w:eastAsia="Arial" w:hAnsi="Arial"/>
                <w:sz w:val="14"/>
                <w:szCs w:val="14"/>
                <w:b w:val="1"/>
                <w:bCs w:val="1"/>
                <w:color w:val="auto"/>
                <w:w w:val="89"/>
              </w:rPr>
              <w:t>Balance</w:t>
            </w: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23, 2016</w:t>
            </w:r>
          </w:p>
        </w:tc>
        <w:tc>
          <w:tcPr>
            <w:tcW w:w="240" w:type="dxa"/>
            <w:vAlign w:val="bottom"/>
            <w:shd w:val="clear" w:color="auto" w:fill="CCECFF"/>
          </w:tcPr>
          <w:p>
            <w:pPr>
              <w:spacing w:after="0"/>
              <w:rPr>
                <w:sz w:val="13"/>
                <w:szCs w:val="13"/>
                <w:color w:val="auto"/>
              </w:rPr>
            </w:pPr>
          </w:p>
        </w:tc>
        <w:tc>
          <w:tcPr>
            <w:tcW w:w="22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2026</w:t>
            </w:r>
          </w:p>
        </w:tc>
        <w:tc>
          <w:tcPr>
            <w:tcW w:w="220" w:type="dxa"/>
            <w:vAlign w:val="bottom"/>
            <w:shd w:val="clear" w:color="auto" w:fill="CCECFF"/>
          </w:tcPr>
          <w:p>
            <w:pPr>
              <w:spacing w:after="0"/>
              <w:rPr>
                <w:sz w:val="13"/>
                <w:szCs w:val="13"/>
                <w:color w:val="auto"/>
              </w:rPr>
            </w:pPr>
          </w:p>
        </w:tc>
        <w:tc>
          <w:tcPr>
            <w:tcW w:w="2580" w:type="dxa"/>
            <w:vAlign w:val="bottom"/>
            <w:gridSpan w:val="2"/>
            <w:shd w:val="clear" w:color="auto" w:fill="CCECFF"/>
          </w:tcPr>
          <w:p>
            <w:pPr>
              <w:ind w:left="1840"/>
              <w:spacing w:after="0" w:line="155" w:lineRule="exact"/>
              <w:rPr>
                <w:sz w:val="20"/>
                <w:szCs w:val="20"/>
                <w:color w:val="auto"/>
              </w:rPr>
            </w:pPr>
            <w:r>
              <w:rPr>
                <w:rFonts w:ascii="Arial" w:cs="Arial" w:eastAsia="Arial" w:hAnsi="Arial"/>
                <w:sz w:val="14"/>
                <w:szCs w:val="14"/>
                <w:color w:val="auto"/>
              </w:rPr>
              <w:t>2.86%</w:t>
            </w:r>
          </w:p>
        </w:tc>
        <w:tc>
          <w:tcPr>
            <w:tcW w:w="20" w:type="dxa"/>
            <w:vAlign w:val="bottom"/>
            <w:shd w:val="clear" w:color="auto" w:fill="CCECFF"/>
          </w:tcPr>
          <w:p>
            <w:pPr>
              <w:spacing w:after="0"/>
              <w:rPr>
                <w:sz w:val="13"/>
                <w:szCs w:val="13"/>
                <w:color w:val="auto"/>
              </w:rPr>
            </w:pPr>
          </w:p>
        </w:tc>
        <w:tc>
          <w:tcPr>
            <w:tcW w:w="1400" w:type="dxa"/>
            <w:vAlign w:val="bottom"/>
            <w:shd w:val="clear" w:color="auto" w:fill="CCECFF"/>
          </w:tcPr>
          <w:p>
            <w:pPr>
              <w:jc w:val="right"/>
              <w:ind w:right="1278"/>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22,500,000</w:t>
            </w:r>
          </w:p>
        </w:tc>
        <w:tc>
          <w:tcPr>
            <w:tcW w:w="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spacing w:after="0"/>
              <w:rPr>
                <w:sz w:val="20"/>
                <w:szCs w:val="20"/>
                <w:color w:val="auto"/>
              </w:rPr>
            </w:pPr>
            <w:r>
              <w:rPr>
                <w:rFonts w:ascii="Arial" w:cs="Arial" w:eastAsia="Arial" w:hAnsi="Arial"/>
                <w:sz w:val="14"/>
                <w:szCs w:val="14"/>
                <w:color w:val="auto"/>
              </w:rPr>
              <w:t>September 21, 2016</w:t>
            </w:r>
          </w:p>
        </w:tc>
        <w:tc>
          <w:tcPr>
            <w:tcW w:w="2460" w:type="dxa"/>
            <w:vAlign w:val="bottom"/>
            <w:gridSpan w:val="2"/>
          </w:tcPr>
          <w:p>
            <w:pPr>
              <w:spacing w:after="0"/>
              <w:rPr>
                <w:sz w:val="20"/>
                <w:szCs w:val="20"/>
                <w:color w:val="auto"/>
              </w:rPr>
            </w:pPr>
            <w:r>
              <w:rPr>
                <w:rFonts w:ascii="Arial" w:cs="Arial" w:eastAsia="Arial" w:hAnsi="Arial"/>
                <w:sz w:val="14"/>
                <w:szCs w:val="14"/>
                <w:color w:val="auto"/>
              </w:rPr>
              <w:t>September 1, 2026</w:t>
            </w:r>
          </w:p>
        </w:tc>
        <w:tc>
          <w:tcPr>
            <w:tcW w:w="2100" w:type="dxa"/>
            <w:vAlign w:val="bottom"/>
          </w:tcPr>
          <w:p>
            <w:pPr>
              <w:ind w:left="1840"/>
              <w:spacing w:after="0"/>
              <w:rPr>
                <w:sz w:val="20"/>
                <w:szCs w:val="20"/>
                <w:color w:val="auto"/>
              </w:rPr>
            </w:pPr>
            <w:r>
              <w:rPr>
                <w:rFonts w:ascii="Arial" w:cs="Arial" w:eastAsia="Arial" w:hAnsi="Arial"/>
                <w:sz w:val="14"/>
                <w:szCs w:val="14"/>
                <w:color w:val="auto"/>
                <w:w w:val="87"/>
              </w:rPr>
              <w:t>2.41</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25,000,000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4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2100" w:type="dxa"/>
            <w:vAlign w:val="bottom"/>
            <w:shd w:val="clear" w:color="auto" w:fill="CCECFF"/>
          </w:tcPr>
          <w:p>
            <w:pPr>
              <w:ind w:left="1840"/>
              <w:spacing w:after="0"/>
              <w:rPr>
                <w:sz w:val="20"/>
                <w:szCs w:val="20"/>
                <w:color w:val="auto"/>
              </w:rPr>
            </w:pPr>
            <w:r>
              <w:rPr>
                <w:rFonts w:ascii="Arial" w:cs="Arial" w:eastAsia="Arial" w:hAnsi="Arial"/>
                <w:sz w:val="14"/>
                <w:szCs w:val="14"/>
                <w:color w:val="auto"/>
                <w:w w:val="87"/>
              </w:rPr>
              <w:t>2.87</w:t>
            </w:r>
          </w:p>
        </w:tc>
        <w:tc>
          <w:tcPr>
            <w:tcW w:w="4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4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31,500,000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21, 2018</w:t>
            </w:r>
          </w:p>
        </w:tc>
        <w:tc>
          <w:tcPr>
            <w:tcW w:w="246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1, 2028</w:t>
            </w:r>
          </w:p>
        </w:tc>
        <w:tc>
          <w:tcPr>
            <w:tcW w:w="2100" w:type="dxa"/>
            <w:vAlign w:val="bottom"/>
            <w:tcBorders>
              <w:bottom w:val="single" w:sz="8" w:color="auto"/>
            </w:tcBorders>
          </w:tcPr>
          <w:p>
            <w:pPr>
              <w:ind w:left="1840"/>
              <w:spacing w:after="0"/>
              <w:rPr>
                <w:sz w:val="20"/>
                <w:szCs w:val="20"/>
                <w:color w:val="auto"/>
              </w:rPr>
            </w:pPr>
            <w:r>
              <w:rPr>
                <w:rFonts w:ascii="Arial" w:cs="Arial" w:eastAsia="Arial" w:hAnsi="Arial"/>
                <w:sz w:val="14"/>
                <w:szCs w:val="14"/>
                <w:color w:val="auto"/>
                <w:w w:val="87"/>
              </w:rPr>
              <w:t>3.53</w:t>
            </w:r>
          </w:p>
        </w:tc>
        <w:tc>
          <w:tcPr>
            <w:tcW w:w="48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71,000,000</w:t>
            </w:r>
          </w:p>
        </w:tc>
        <w:tc>
          <w:tcPr>
            <w:tcW w:w="6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580" w:type="dxa"/>
            <w:vAlign w:val="bottom"/>
            <w:gridSpan w:val="2"/>
            <w:shd w:val="clear" w:color="auto" w:fill="CCECFF"/>
          </w:tcPr>
          <w:p>
            <w:pPr>
              <w:ind w:left="1840"/>
              <w:spacing w:after="0" w:line="155" w:lineRule="exact"/>
              <w:rPr>
                <w:sz w:val="20"/>
                <w:szCs w:val="20"/>
                <w:color w:val="auto"/>
              </w:rPr>
            </w:pPr>
            <w:r>
              <w:rPr>
                <w:rFonts w:ascii="Arial" w:cs="Arial" w:eastAsia="Arial" w:hAnsi="Arial"/>
                <w:sz w:val="14"/>
                <w:szCs w:val="14"/>
                <w:color w:val="auto"/>
              </w:rPr>
              <w:t>3.11%</w:t>
            </w:r>
          </w:p>
        </w:tc>
        <w:tc>
          <w:tcPr>
            <w:tcW w:w="20" w:type="dxa"/>
            <w:vAlign w:val="bottom"/>
            <w:shd w:val="clear" w:color="auto" w:fill="CCECFF"/>
          </w:tcPr>
          <w:p>
            <w:pPr>
              <w:spacing w:after="0"/>
              <w:rPr>
                <w:sz w:val="13"/>
                <w:szCs w:val="13"/>
                <w:color w:val="auto"/>
              </w:rPr>
            </w:pPr>
          </w:p>
        </w:tc>
        <w:tc>
          <w:tcPr>
            <w:tcW w:w="1400" w:type="dxa"/>
            <w:vAlign w:val="bottom"/>
            <w:shd w:val="clear" w:color="auto" w:fill="CCECFF"/>
          </w:tcPr>
          <w:p>
            <w:pPr>
              <w:jc w:val="right"/>
              <w:ind w:right="1278"/>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150,000,000</w:t>
            </w:r>
          </w:p>
        </w:tc>
        <w:tc>
          <w:tcPr>
            <w:tcW w:w="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24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CFF"/>
            </w:tcBorders>
          </w:tcPr>
          <w:p>
            <w:pPr>
              <w:spacing w:after="0" w:line="20" w:lineRule="exact"/>
              <w:rPr>
                <w:sz w:val="1"/>
                <w:szCs w:val="1"/>
                <w:color w:val="auto"/>
              </w:rPr>
            </w:pPr>
          </w:p>
        </w:tc>
        <w:tc>
          <w:tcPr>
            <w:tcW w:w="20" w:type="dxa"/>
            <w:vAlign w:val="bottom"/>
            <w:tcBorders>
              <w:top w:val="single" w:sz="8" w:color="CCECFF"/>
            </w:tcBorders>
          </w:tcPr>
          <w:p>
            <w:pPr>
              <w:spacing w:after="0" w:line="20" w:lineRule="exact"/>
              <w:rPr>
                <w:sz w:val="1"/>
                <w:szCs w:val="1"/>
                <w:color w:val="auto"/>
              </w:rPr>
            </w:pPr>
          </w:p>
        </w:tc>
        <w:tc>
          <w:tcPr>
            <w:tcW w:w="22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68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vMerge w:val="restart"/>
          </w:tcPr>
          <w:p>
            <w:pPr>
              <w:spacing w:after="0"/>
              <w:rPr>
                <w:sz w:val="24"/>
                <w:szCs w:val="24"/>
                <w:color w:val="auto"/>
              </w:rPr>
            </w:pPr>
          </w:p>
        </w:tc>
        <w:tc>
          <w:tcPr>
            <w:tcW w:w="224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24"/>
                <w:szCs w:val="24"/>
                <w:color w:val="auto"/>
              </w:rPr>
            </w:pPr>
          </w:p>
        </w:tc>
        <w:tc>
          <w:tcPr>
            <w:tcW w:w="21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As of September 30, 2018 Principal</w:t>
            </w:r>
          </w:p>
        </w:tc>
        <w:tc>
          <w:tcPr>
            <w:tcW w:w="0" w:type="dxa"/>
            <w:vAlign w:val="bottom"/>
          </w:tcPr>
          <w:p>
            <w:pPr>
              <w:spacing w:after="0"/>
              <w:rPr>
                <w:sz w:val="1"/>
                <w:szCs w:val="1"/>
                <w:color w:val="auto"/>
              </w:rPr>
            </w:pPr>
          </w:p>
        </w:tc>
      </w:tr>
      <w:tr>
        <w:trPr>
          <w:trHeight w:val="171"/>
        </w:trPr>
        <w:tc>
          <w:tcPr>
            <w:tcW w:w="36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2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10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CFF"/>
            </w:tcBorders>
            <w:vMerge w:val="continue"/>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400" w:type="dxa"/>
            <w:vAlign w:val="bottom"/>
            <w:tcBorders>
              <w:bottom w:val="single" w:sz="8" w:color="auto"/>
            </w:tcBorders>
          </w:tcPr>
          <w:p>
            <w:pPr>
              <w:jc w:val="center"/>
              <w:ind w:left="698"/>
              <w:spacing w:after="0"/>
              <w:rPr>
                <w:sz w:val="20"/>
                <w:szCs w:val="20"/>
                <w:color w:val="auto"/>
              </w:rPr>
            </w:pPr>
            <w:r>
              <w:rPr>
                <w:rFonts w:ascii="Arial" w:cs="Arial" w:eastAsia="Arial" w:hAnsi="Arial"/>
                <w:sz w:val="14"/>
                <w:szCs w:val="14"/>
                <w:b w:val="1"/>
                <w:bCs w:val="1"/>
                <w:color w:val="auto"/>
                <w:w w:val="89"/>
              </w:rPr>
              <w:t>Balance</w:t>
            </w: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21, 2011</w:t>
            </w:r>
          </w:p>
        </w:tc>
        <w:tc>
          <w:tcPr>
            <w:tcW w:w="240" w:type="dxa"/>
            <w:vAlign w:val="bottom"/>
            <w:shd w:val="clear" w:color="auto" w:fill="CCECFF"/>
          </w:tcPr>
          <w:p>
            <w:pPr>
              <w:spacing w:after="0"/>
              <w:rPr>
                <w:sz w:val="13"/>
                <w:szCs w:val="13"/>
                <w:color w:val="auto"/>
              </w:rPr>
            </w:pPr>
          </w:p>
        </w:tc>
        <w:tc>
          <w:tcPr>
            <w:tcW w:w="22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1, 2021</w:t>
            </w:r>
          </w:p>
        </w:tc>
        <w:tc>
          <w:tcPr>
            <w:tcW w:w="220" w:type="dxa"/>
            <w:vAlign w:val="bottom"/>
            <w:shd w:val="clear" w:color="auto" w:fill="CCECFF"/>
          </w:tcPr>
          <w:p>
            <w:pPr>
              <w:spacing w:after="0"/>
              <w:rPr>
                <w:sz w:val="13"/>
                <w:szCs w:val="13"/>
                <w:color w:val="auto"/>
              </w:rPr>
            </w:pPr>
          </w:p>
        </w:tc>
        <w:tc>
          <w:tcPr>
            <w:tcW w:w="2580" w:type="dxa"/>
            <w:vAlign w:val="bottom"/>
            <w:gridSpan w:val="2"/>
            <w:shd w:val="clear" w:color="auto" w:fill="CCECFF"/>
          </w:tcPr>
          <w:p>
            <w:pPr>
              <w:ind w:left="1840"/>
              <w:spacing w:after="0" w:line="155" w:lineRule="exact"/>
              <w:rPr>
                <w:sz w:val="20"/>
                <w:szCs w:val="20"/>
                <w:color w:val="auto"/>
              </w:rPr>
            </w:pPr>
            <w:r>
              <w:rPr>
                <w:rFonts w:ascii="Arial" w:cs="Arial" w:eastAsia="Arial" w:hAnsi="Arial"/>
                <w:sz w:val="14"/>
                <w:szCs w:val="14"/>
                <w:color w:val="auto"/>
              </w:rPr>
              <w:t>3.35%</w:t>
            </w:r>
          </w:p>
        </w:tc>
        <w:tc>
          <w:tcPr>
            <w:tcW w:w="20" w:type="dxa"/>
            <w:vAlign w:val="bottom"/>
            <w:shd w:val="clear" w:color="auto" w:fill="CCECFF"/>
          </w:tcPr>
          <w:p>
            <w:pPr>
              <w:spacing w:after="0"/>
              <w:rPr>
                <w:sz w:val="13"/>
                <w:szCs w:val="13"/>
                <w:color w:val="auto"/>
              </w:rPr>
            </w:pPr>
          </w:p>
        </w:tc>
        <w:tc>
          <w:tcPr>
            <w:tcW w:w="1400" w:type="dxa"/>
            <w:vAlign w:val="bottom"/>
            <w:shd w:val="clear" w:color="auto" w:fill="CCECFF"/>
          </w:tcPr>
          <w:p>
            <w:pPr>
              <w:jc w:val="right"/>
              <w:ind w:right="1278"/>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30,000,000</w:t>
            </w:r>
          </w:p>
        </w:tc>
        <w:tc>
          <w:tcPr>
            <w:tcW w:w="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spacing w:after="0"/>
              <w:rPr>
                <w:sz w:val="20"/>
                <w:szCs w:val="20"/>
                <w:color w:val="auto"/>
              </w:rPr>
            </w:pPr>
            <w:r>
              <w:rPr>
                <w:rFonts w:ascii="Arial" w:cs="Arial" w:eastAsia="Arial" w:hAnsi="Arial"/>
                <w:sz w:val="14"/>
                <w:szCs w:val="14"/>
                <w:color w:val="auto"/>
              </w:rPr>
              <w:t>March 23, 2016</w:t>
            </w:r>
          </w:p>
        </w:tc>
        <w:tc>
          <w:tcPr>
            <w:tcW w:w="2460" w:type="dxa"/>
            <w:vAlign w:val="bottom"/>
            <w:gridSpan w:val="2"/>
          </w:tcPr>
          <w:p>
            <w:pPr>
              <w:spacing w:after="0"/>
              <w:rPr>
                <w:sz w:val="20"/>
                <w:szCs w:val="20"/>
                <w:color w:val="auto"/>
              </w:rPr>
            </w:pPr>
            <w:r>
              <w:rPr>
                <w:rFonts w:ascii="Arial" w:cs="Arial" w:eastAsia="Arial" w:hAnsi="Arial"/>
                <w:sz w:val="14"/>
                <w:szCs w:val="14"/>
                <w:color w:val="auto"/>
              </w:rPr>
              <w:t>March 1, 2026</w:t>
            </w:r>
          </w:p>
        </w:tc>
        <w:tc>
          <w:tcPr>
            <w:tcW w:w="2100" w:type="dxa"/>
            <w:vAlign w:val="bottom"/>
          </w:tcPr>
          <w:p>
            <w:pPr>
              <w:ind w:left="1840"/>
              <w:spacing w:after="0"/>
              <w:rPr>
                <w:sz w:val="20"/>
                <w:szCs w:val="20"/>
                <w:color w:val="auto"/>
              </w:rPr>
            </w:pPr>
            <w:r>
              <w:rPr>
                <w:rFonts w:ascii="Arial" w:cs="Arial" w:eastAsia="Arial" w:hAnsi="Arial"/>
                <w:sz w:val="14"/>
                <w:szCs w:val="14"/>
                <w:color w:val="auto"/>
                <w:w w:val="87"/>
              </w:rPr>
              <w:t>2.86</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21, 2016</w:t>
            </w:r>
          </w:p>
        </w:tc>
        <w:tc>
          <w:tcPr>
            <w:tcW w:w="24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2026</w:t>
            </w:r>
          </w:p>
        </w:tc>
        <w:tc>
          <w:tcPr>
            <w:tcW w:w="2100" w:type="dxa"/>
            <w:vAlign w:val="bottom"/>
            <w:shd w:val="clear" w:color="auto" w:fill="CCECFF"/>
          </w:tcPr>
          <w:p>
            <w:pPr>
              <w:ind w:left="1840"/>
              <w:spacing w:after="0"/>
              <w:rPr>
                <w:sz w:val="20"/>
                <w:szCs w:val="20"/>
                <w:color w:val="auto"/>
              </w:rPr>
            </w:pPr>
            <w:r>
              <w:rPr>
                <w:rFonts w:ascii="Arial" w:cs="Arial" w:eastAsia="Arial" w:hAnsi="Arial"/>
                <w:sz w:val="14"/>
                <w:szCs w:val="14"/>
                <w:color w:val="auto"/>
                <w:w w:val="87"/>
              </w:rPr>
              <w:t>2.41</w:t>
            </w:r>
          </w:p>
        </w:tc>
        <w:tc>
          <w:tcPr>
            <w:tcW w:w="4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4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spacing w:after="0"/>
              <w:rPr>
                <w:sz w:val="20"/>
                <w:szCs w:val="20"/>
                <w:color w:val="auto"/>
              </w:rPr>
            </w:pPr>
            <w:r>
              <w:rPr>
                <w:rFonts w:ascii="Arial" w:cs="Arial" w:eastAsia="Arial" w:hAnsi="Arial"/>
                <w:sz w:val="14"/>
                <w:szCs w:val="14"/>
                <w:color w:val="auto"/>
              </w:rPr>
              <w:t>September 20, 2017</w:t>
            </w:r>
          </w:p>
        </w:tc>
        <w:tc>
          <w:tcPr>
            <w:tcW w:w="2460" w:type="dxa"/>
            <w:vAlign w:val="bottom"/>
            <w:gridSpan w:val="2"/>
          </w:tcPr>
          <w:p>
            <w:pPr>
              <w:spacing w:after="0"/>
              <w:rPr>
                <w:sz w:val="20"/>
                <w:szCs w:val="20"/>
                <w:color w:val="auto"/>
              </w:rPr>
            </w:pPr>
            <w:r>
              <w:rPr>
                <w:rFonts w:ascii="Arial" w:cs="Arial" w:eastAsia="Arial" w:hAnsi="Arial"/>
                <w:sz w:val="14"/>
                <w:szCs w:val="14"/>
                <w:color w:val="auto"/>
              </w:rPr>
              <w:t>September 1, 2027</w:t>
            </w:r>
          </w:p>
        </w:tc>
        <w:tc>
          <w:tcPr>
            <w:tcW w:w="2100" w:type="dxa"/>
            <w:vAlign w:val="bottom"/>
          </w:tcPr>
          <w:p>
            <w:pPr>
              <w:ind w:left="1840"/>
              <w:spacing w:after="0"/>
              <w:rPr>
                <w:sz w:val="20"/>
                <w:szCs w:val="20"/>
                <w:color w:val="auto"/>
              </w:rPr>
            </w:pPr>
            <w:r>
              <w:rPr>
                <w:rFonts w:ascii="Arial" w:cs="Arial" w:eastAsia="Arial" w:hAnsi="Arial"/>
                <w:sz w:val="14"/>
                <w:szCs w:val="14"/>
                <w:color w:val="auto"/>
                <w:w w:val="87"/>
              </w:rPr>
              <w:t>2.87</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21, 2018</w:t>
            </w:r>
          </w:p>
        </w:tc>
        <w:tc>
          <w:tcPr>
            <w:tcW w:w="24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1, 2028</w:t>
            </w:r>
          </w:p>
        </w:tc>
        <w:tc>
          <w:tcPr>
            <w:tcW w:w="2100" w:type="dxa"/>
            <w:vAlign w:val="bottom"/>
            <w:tcBorders>
              <w:bottom w:val="single" w:sz="8" w:color="auto"/>
            </w:tcBorders>
            <w:shd w:val="clear" w:color="auto" w:fill="CCECFF"/>
          </w:tcPr>
          <w:p>
            <w:pPr>
              <w:ind w:left="1840"/>
              <w:spacing w:after="0"/>
              <w:rPr>
                <w:sz w:val="20"/>
                <w:szCs w:val="20"/>
                <w:color w:val="auto"/>
              </w:rPr>
            </w:pPr>
            <w:r>
              <w:rPr>
                <w:rFonts w:ascii="Arial" w:cs="Arial" w:eastAsia="Arial" w:hAnsi="Arial"/>
                <w:sz w:val="14"/>
                <w:szCs w:val="14"/>
                <w:color w:val="auto"/>
                <w:w w:val="87"/>
              </w:rPr>
              <w:t>3.53</w:t>
            </w:r>
          </w:p>
        </w:tc>
        <w:tc>
          <w:tcPr>
            <w:tcW w:w="4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spacing w:after="0"/>
              <w:rPr>
                <w:sz w:val="14"/>
                <w:szCs w:val="14"/>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71,000,000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20" w:type="dxa"/>
            <w:vAlign w:val="bottom"/>
            <w:gridSpan w:val="2"/>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80" w:type="dxa"/>
            <w:vAlign w:val="bottom"/>
            <w:gridSpan w:val="2"/>
          </w:tcPr>
          <w:p>
            <w:pPr>
              <w:ind w:left="1840"/>
              <w:spacing w:after="0" w:line="155" w:lineRule="exact"/>
              <w:rPr>
                <w:sz w:val="20"/>
                <w:szCs w:val="20"/>
                <w:color w:val="auto"/>
              </w:rPr>
            </w:pPr>
            <w:r>
              <w:rPr>
                <w:rFonts w:ascii="Arial" w:cs="Arial" w:eastAsia="Arial" w:hAnsi="Arial"/>
                <w:sz w:val="14"/>
                <w:szCs w:val="14"/>
                <w:color w:val="auto"/>
              </w:rPr>
              <w:t>3.15%</w:t>
            </w:r>
          </w:p>
        </w:tc>
        <w:tc>
          <w:tcPr>
            <w:tcW w:w="20" w:type="dxa"/>
            <w:vAlign w:val="bottom"/>
          </w:tcPr>
          <w:p>
            <w:pPr>
              <w:spacing w:after="0"/>
              <w:rPr>
                <w:sz w:val="13"/>
                <w:szCs w:val="13"/>
                <w:color w:val="auto"/>
              </w:rPr>
            </w:pPr>
          </w:p>
        </w:tc>
        <w:tc>
          <w:tcPr>
            <w:tcW w:w="1400" w:type="dxa"/>
            <w:vAlign w:val="bottom"/>
          </w:tcPr>
          <w:p>
            <w:pPr>
              <w:jc w:val="right"/>
              <w:ind w:right="1278"/>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180,000,000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Excluding 3.43%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16" w:lineRule="exact"/>
        <w:rPr>
          <w:sz w:val="20"/>
          <w:szCs w:val="20"/>
          <w:color w:val="auto"/>
        </w:rPr>
      </w:pPr>
    </w:p>
    <w:p>
      <w:pPr>
        <w:ind w:right="220" w:firstLine="456"/>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March 31, 2019, our SBIC Funds were in compliance with their regulatory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136" w:lineRule="exact"/>
        <w:rPr>
          <w:sz w:val="20"/>
          <w:szCs w:val="20"/>
          <w:color w:val="auto"/>
        </w:rPr>
      </w:pPr>
    </w:p>
    <w:p>
      <w:pPr>
        <w:ind w:right="40" w:firstLine="456"/>
        <w:spacing w:after="0" w:line="255" w:lineRule="auto"/>
        <w:rPr>
          <w:sz w:val="20"/>
          <w:szCs w:val="20"/>
          <w:color w:val="auto"/>
        </w:rPr>
      </w:pPr>
      <w:r>
        <w:rPr>
          <w:rFonts w:ascii="Arial" w:cs="Arial" w:eastAsia="Arial" w:hAnsi="Arial"/>
          <w:sz w:val="13"/>
          <w:szCs w:val="13"/>
          <w:color w:val="auto"/>
        </w:rPr>
        <w:t>The 2019 Notes were redeemed on March 4, 2019 at a redemption price equal to $1,008.65 for each $1,000.00 of principal of notes outstanding, plus accrued and unpaid interest to March 4, 2019, pursuant to the indenture governing the 2019 Notes. Interest on the 2019 Notes was paid semi-annually on April 1 and October 1, at a rate of 4.50% per year. The 2019 Notes were scheduled to mature on October 1, 2019. The 2019 Notes were general, unsecured obligations and ranked equal in right of payment with all of our existing and future senior unsecured indebtedness. The 2019 Notes were structurally subordinated to our SBA debentures and the assets pledged or secured under our Credit Facilities.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40" w:lineRule="exact"/>
        <w:rPr>
          <w:sz w:val="20"/>
          <w:szCs w:val="20"/>
          <w:color w:val="auto"/>
        </w:rPr>
      </w:pPr>
    </w:p>
    <w:p>
      <w:pPr>
        <w:ind w:firstLine="456"/>
        <w:spacing w:after="0" w:line="231"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Under these arrangements, we may be required to supply a letter of credit to a third party if the portfolio company were to request a letter of credit. As of March 31, 2019 and September 30, 2018, we had $51.5 million and $60.6 million, respectively, in commitments to fund investments. For the same periods, there were no letters of credit issued.</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UNCONSOLIDATED SIGNIFICANT SUBSIDIARIES</w:t>
      </w:r>
    </w:p>
    <w:p>
      <w:pPr>
        <w:spacing w:after="0" w:line="140"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We must determine which, if any, of our unconsolidated controlled portfolio companies is a "significant subsidiary" within the meaning of Regulation S-X. Superior Digital Displays, LLC became a controlled affiliated investment as of December 31, 2013. We have determined that, as of March 31, 2019, Superior Digital Displays, LLC triggered at least one of the significance tests by 20%. As a result and in accordance with Rule 4-08(g) of Regulation S-K under the Securities Act, presented below is summarized unaudited financial information for Superior Digital Displays, LLC as of March 31, 2019 and September 30, 2018 as well as for the three and six months ended March 31, 2019 and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20" w:type="dxa"/>
            <w:vAlign w:val="bottom"/>
          </w:tcPr>
          <w:p>
            <w:pPr>
              <w:spacing w:after="0"/>
              <w:rPr>
                <w:sz w:val="20"/>
                <w:szCs w:val="20"/>
                <w:color w:val="auto"/>
              </w:rPr>
            </w:pPr>
            <w:r>
              <w:rPr>
                <w:rFonts w:ascii="Arial" w:cs="Arial" w:eastAsia="Arial" w:hAnsi="Arial"/>
                <w:sz w:val="14"/>
                <w:szCs w:val="14"/>
                <w:b w:val="1"/>
                <w:bCs w:val="1"/>
                <w:color w:val="auto"/>
              </w:rPr>
              <w:t xml:space="preserve">Balance Sheet </w:t>
            </w:r>
            <w:r>
              <w:rPr>
                <w:rFonts w:ascii="Arial" w:cs="Arial" w:eastAsia="Arial" w:hAnsi="Arial"/>
                <w:sz w:val="12"/>
                <w:szCs w:val="12"/>
                <w:b w:val="1"/>
                <w:bCs w:val="1"/>
                <w:color w:val="auto"/>
              </w:rPr>
              <w:t>(1)</w:t>
            </w: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 xml:space="preserve">March 31, 2019 </w:t>
            </w:r>
            <w:r>
              <w:rPr>
                <w:rFonts w:ascii="Arial" w:cs="Arial" w:eastAsia="Arial" w:hAnsi="Arial"/>
                <w:sz w:val="12"/>
                <w:szCs w:val="12"/>
                <w:b w:val="1"/>
                <w:bCs w:val="1"/>
                <w:color w:val="auto"/>
              </w:rPr>
              <w:t>(2)</w:t>
            </w: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91"/>
              </w:rPr>
              <w:t>September 30, 2018</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CCECFF"/>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CCEC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1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Current assets</w:t>
            </w:r>
          </w:p>
        </w:tc>
        <w:tc>
          <w:tcPr>
            <w:tcW w:w="15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500" w:type="dxa"/>
            <w:vAlign w:val="bottom"/>
            <w:shd w:val="clear" w:color="auto" w:fill="CCECFF"/>
          </w:tcPr>
          <w:p>
            <w:pPr>
              <w:jc w:val="right"/>
              <w:ind w:right="1348"/>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707.4</w:t>
            </w:r>
          </w:p>
        </w:tc>
        <w:tc>
          <w:tcPr>
            <w:tcW w:w="380" w:type="dxa"/>
            <w:vAlign w:val="bottom"/>
            <w:shd w:val="clear" w:color="auto" w:fill="CCECFF"/>
          </w:tcPr>
          <w:p>
            <w:pPr>
              <w:spacing w:after="0"/>
              <w:rPr>
                <w:sz w:val="13"/>
                <w:szCs w:val="13"/>
                <w:color w:val="auto"/>
              </w:rPr>
            </w:pPr>
          </w:p>
        </w:tc>
        <w:tc>
          <w:tcPr>
            <w:tcW w:w="540" w:type="dxa"/>
            <w:vAlign w:val="bottom"/>
            <w:shd w:val="clear" w:color="auto" w:fill="CCECFF"/>
          </w:tcPr>
          <w:p>
            <w:pPr>
              <w:jc w:val="right"/>
              <w:ind w:right="429"/>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1,033.7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20"/>
                <w:szCs w:val="20"/>
                <w:color w:val="auto"/>
              </w:rPr>
            </w:pPr>
            <w:r>
              <w:rPr>
                <w:rFonts w:ascii="Arial" w:cs="Arial" w:eastAsia="Arial" w:hAnsi="Arial"/>
                <w:sz w:val="14"/>
                <w:szCs w:val="14"/>
                <w:color w:val="auto"/>
              </w:rPr>
              <w:t>Noncurrent assets</w:t>
            </w: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4,906.3</w:t>
            </w: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6,663.1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CECFF"/>
          </w:tcPr>
          <w:p>
            <w:pPr>
              <w:spacing w:after="0"/>
              <w:rPr>
                <w:sz w:val="20"/>
                <w:szCs w:val="20"/>
                <w:color w:val="auto"/>
              </w:rPr>
            </w:pPr>
            <w:r>
              <w:rPr>
                <w:rFonts w:ascii="Arial" w:cs="Arial" w:eastAsia="Arial" w:hAnsi="Arial"/>
                <w:sz w:val="14"/>
                <w:szCs w:val="14"/>
                <w:color w:val="auto"/>
              </w:rPr>
              <w:t>Current liabilities</w:t>
            </w:r>
          </w:p>
        </w:tc>
        <w:tc>
          <w:tcPr>
            <w:tcW w:w="15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1,104.6</w:t>
            </w:r>
          </w:p>
        </w:tc>
        <w:tc>
          <w:tcPr>
            <w:tcW w:w="380" w:type="dxa"/>
            <w:vAlign w:val="bottom"/>
            <w:shd w:val="clear" w:color="auto" w:fill="CCECFF"/>
          </w:tcPr>
          <w:p>
            <w:pPr>
              <w:spacing w:after="0"/>
              <w:rPr>
                <w:sz w:val="14"/>
                <w:szCs w:val="14"/>
                <w:color w:val="auto"/>
              </w:rPr>
            </w:pPr>
          </w:p>
        </w:tc>
        <w:tc>
          <w:tcPr>
            <w:tcW w:w="54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1,206.7</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120" w:type="dxa"/>
            <w:vAlign w:val="bottom"/>
          </w:tcPr>
          <w:p>
            <w:pPr>
              <w:spacing w:after="0"/>
              <w:rPr>
                <w:sz w:val="20"/>
                <w:szCs w:val="20"/>
                <w:color w:val="auto"/>
              </w:rPr>
            </w:pPr>
            <w:r>
              <w:rPr>
                <w:rFonts w:ascii="Arial" w:cs="Arial" w:eastAsia="Arial" w:hAnsi="Arial"/>
                <w:sz w:val="14"/>
                <w:szCs w:val="14"/>
                <w:color w:val="auto"/>
              </w:rPr>
              <w:t>Noncurrent liabilities</w:t>
            </w: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1,168.1</w:t>
            </w: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23,065.9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120" w:type="dxa"/>
            <w:vAlign w:val="bottom"/>
            <w:tcBorders>
              <w:bottom w:val="single" w:sz="8" w:color="auto"/>
            </w:tcBorders>
          </w:tcPr>
          <w:p>
            <w:pPr>
              <w:spacing w:after="0"/>
              <w:rPr>
                <w:sz w:val="11"/>
                <w:szCs w:val="11"/>
                <w:color w:val="auto"/>
              </w:rPr>
            </w:pPr>
          </w:p>
        </w:tc>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0" w:type="dxa"/>
            <w:vAlign w:val="bottom"/>
            <w:gridSpan w:val="6"/>
            <w:vMerge w:val="restart"/>
          </w:tcPr>
          <w:p>
            <w:pPr>
              <w:jc w:val="right"/>
              <w:ind w:right="940"/>
              <w:spacing w:after="0"/>
              <w:rPr>
                <w:sz w:val="20"/>
                <w:szCs w:val="20"/>
                <w:color w:val="auto"/>
              </w:rPr>
            </w:pPr>
            <w:r>
              <w:rPr>
                <w:rFonts w:ascii="Arial" w:cs="Arial" w:eastAsia="Arial" w:hAnsi="Arial"/>
                <w:sz w:val="14"/>
                <w:szCs w:val="14"/>
                <w:b w:val="1"/>
                <w:bCs w:val="1"/>
                <w:color w:val="auto"/>
              </w:rPr>
              <w:t xml:space="preserve">Three Months Ended March 31, </w:t>
            </w:r>
            <w:r>
              <w:rPr>
                <w:rFonts w:ascii="Arial" w:cs="Arial" w:eastAsia="Arial" w:hAnsi="Arial"/>
                <w:sz w:val="12"/>
                <w:szCs w:val="12"/>
                <w:b w:val="1"/>
                <w:bCs w:val="1"/>
                <w:color w:val="auto"/>
              </w:rPr>
              <w:t>(2)</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60" w:type="dxa"/>
            <w:vAlign w:val="bottom"/>
            <w:gridSpan w:val="5"/>
            <w:vMerge w:val="restart"/>
          </w:tcPr>
          <w:p>
            <w:pPr>
              <w:jc w:val="right"/>
              <w:ind w:right="149"/>
              <w:spacing w:after="0"/>
              <w:rPr>
                <w:sz w:val="20"/>
                <w:szCs w:val="20"/>
                <w:color w:val="auto"/>
              </w:rPr>
            </w:pPr>
            <w:r>
              <w:rPr>
                <w:rFonts w:ascii="Arial" w:cs="Arial" w:eastAsia="Arial" w:hAnsi="Arial"/>
                <w:sz w:val="14"/>
                <w:szCs w:val="14"/>
                <w:b w:val="1"/>
                <w:bCs w:val="1"/>
                <w:color w:val="auto"/>
                <w:w w:val="97"/>
              </w:rPr>
              <w:t xml:space="preserve">Six Months Ended March 31, </w:t>
            </w:r>
            <w:r>
              <w:rPr>
                <w:rFonts w:ascii="Arial" w:cs="Arial" w:eastAsia="Arial" w:hAnsi="Arial"/>
                <w:sz w:val="12"/>
                <w:szCs w:val="12"/>
                <w:b w:val="1"/>
                <w:bCs w:val="1"/>
                <w:color w:val="auto"/>
                <w:w w:val="97"/>
              </w:rPr>
              <w:t>(2)</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gridSpan w:val="6"/>
            <w:vMerge w:val="continue"/>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60" w:type="dxa"/>
            <w:vAlign w:val="bottom"/>
            <w:gridSpan w:val="5"/>
            <w:vMerge w:val="continue"/>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1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Income Statement </w:t>
            </w:r>
            <w:r>
              <w:rPr>
                <w:rFonts w:ascii="Arial" w:cs="Arial" w:eastAsia="Arial" w:hAnsi="Arial"/>
                <w:sz w:val="12"/>
                <w:szCs w:val="12"/>
                <w:b w:val="1"/>
                <w:bCs w:val="1"/>
                <w:color w:val="auto"/>
              </w:rPr>
              <w:t>(1)</w:t>
            </w:r>
          </w:p>
        </w:tc>
        <w:tc>
          <w:tcPr>
            <w:tcW w:w="1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12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ind w:right="58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jc w:val="right"/>
              <w:ind w:right="58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48"/>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tcPr>
          <w:p>
            <w:pPr>
              <w:jc w:val="right"/>
              <w:ind w:right="49"/>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Total revenue</w:t>
            </w:r>
          </w:p>
        </w:tc>
        <w:tc>
          <w:tcPr>
            <w:tcW w:w="158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280.0</w:t>
            </w:r>
          </w:p>
        </w:tc>
        <w:tc>
          <w:tcPr>
            <w:tcW w:w="10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359.7</w:t>
            </w:r>
          </w:p>
        </w:tc>
        <w:tc>
          <w:tcPr>
            <w:tcW w:w="2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647.7</w:t>
            </w:r>
          </w:p>
        </w:tc>
        <w:tc>
          <w:tcPr>
            <w:tcW w:w="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CCECFF"/>
            </w:tcBorders>
            <w:shd w:val="clear" w:color="auto" w:fill="CCECFF"/>
          </w:tcPr>
          <w:p>
            <w:pPr>
              <w:spacing w:after="0"/>
              <w:rPr>
                <w:sz w:val="13"/>
                <w:szCs w:val="13"/>
                <w:color w:val="auto"/>
              </w:rPr>
            </w:pPr>
          </w:p>
        </w:tc>
        <w:tc>
          <w:tcPr>
            <w:tcW w:w="1040" w:type="dxa"/>
            <w:vAlign w:val="bottom"/>
            <w:tcBorders>
              <w:top w:val="single" w:sz="8" w:color="auto"/>
            </w:tcBorders>
            <w:shd w:val="clear" w:color="auto" w:fill="CCECFF"/>
          </w:tcPr>
          <w:p>
            <w:pPr>
              <w:jc w:val="right"/>
              <w:ind w:right="9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772.9</w:t>
            </w: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120" w:type="dxa"/>
            <w:vAlign w:val="bottom"/>
          </w:tcPr>
          <w:p>
            <w:pPr>
              <w:spacing w:after="0" w:line="157" w:lineRule="exact"/>
              <w:rPr>
                <w:sz w:val="20"/>
                <w:szCs w:val="20"/>
                <w:color w:val="auto"/>
              </w:rPr>
            </w:pPr>
            <w:r>
              <w:rPr>
                <w:rFonts w:ascii="Arial" w:cs="Arial" w:eastAsia="Arial" w:hAnsi="Arial"/>
                <w:sz w:val="14"/>
                <w:szCs w:val="14"/>
                <w:color w:val="auto"/>
              </w:rPr>
              <w:t>Total expenses</w:t>
            </w: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spacing w:after="0" w:line="157" w:lineRule="exact"/>
              <w:rPr>
                <w:sz w:val="20"/>
                <w:szCs w:val="20"/>
                <w:color w:val="auto"/>
              </w:rPr>
            </w:pPr>
            <w:r>
              <w:rPr>
                <w:rFonts w:ascii="Arial" w:cs="Arial" w:eastAsia="Arial" w:hAnsi="Arial"/>
                <w:sz w:val="14"/>
                <w:szCs w:val="14"/>
                <w:color w:val="auto"/>
              </w:rPr>
              <w:t>1,607.3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jc w:val="right"/>
              <w:spacing w:after="0" w:line="157" w:lineRule="exact"/>
              <w:rPr>
                <w:sz w:val="20"/>
                <w:szCs w:val="20"/>
                <w:color w:val="auto"/>
              </w:rPr>
            </w:pPr>
            <w:r>
              <w:rPr>
                <w:rFonts w:ascii="Arial" w:cs="Arial" w:eastAsia="Arial" w:hAnsi="Arial"/>
                <w:sz w:val="14"/>
                <w:szCs w:val="14"/>
                <w:color w:val="auto"/>
              </w:rPr>
              <w:t>2,759.6</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3,862.6</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5,751.8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20" w:type="dxa"/>
            <w:vAlign w:val="bottom"/>
          </w:tcPr>
          <w:p>
            <w:pPr>
              <w:spacing w:after="0"/>
              <w:rPr>
                <w:sz w:val="20"/>
                <w:szCs w:val="20"/>
                <w:color w:val="auto"/>
              </w:rPr>
            </w:pPr>
            <w:r>
              <w:rPr>
                <w:rFonts w:ascii="Arial" w:cs="Arial" w:eastAsia="Arial" w:hAnsi="Arial"/>
                <w:sz w:val="14"/>
                <w:szCs w:val="14"/>
                <w:color w:val="auto"/>
              </w:rPr>
              <w:t>Net loss</w:t>
            </w: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4"/>
                <w:szCs w:val="14"/>
                <w:color w:val="auto"/>
              </w:rPr>
              <w:t>(1,327.3)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(2,399.9)</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(3,214.9)</w:t>
            </w: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4"/>
                <w:szCs w:val="14"/>
                <w:color w:val="auto"/>
              </w:rPr>
              <w:t>(4,978.9)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460" w:hanging="371"/>
        <w:spacing w:after="0" w:line="221" w:lineRule="auto"/>
        <w:tabs>
          <w:tab w:leader="none" w:pos="460" w:val="left"/>
        </w:tabs>
        <w:numPr>
          <w:ilvl w:val="1"/>
          <w:numId w:val="20"/>
        </w:numPr>
        <w:rPr>
          <w:rFonts w:ascii="Arial" w:cs="Arial" w:eastAsia="Arial" w:hAnsi="Arial"/>
          <w:sz w:val="12"/>
          <w:szCs w:val="12"/>
          <w:color w:val="auto"/>
        </w:rPr>
      </w:pPr>
      <w:r>
        <w:rPr>
          <w:rFonts w:ascii="Arial" w:cs="Arial" w:eastAsia="Arial" w:hAnsi="Arial"/>
          <w:sz w:val="14"/>
          <w:szCs w:val="14"/>
          <w:color w:val="auto"/>
        </w:rPr>
        <w:t>All amounts are in thousands.</w:t>
      </w:r>
    </w:p>
    <w:p>
      <w:pPr>
        <w:ind w:left="460" w:hanging="371"/>
        <w:spacing w:after="0"/>
        <w:tabs>
          <w:tab w:leader="none" w:pos="460" w:val="left"/>
        </w:tabs>
        <w:numPr>
          <w:ilvl w:val="1"/>
          <w:numId w:val="20"/>
        </w:numPr>
        <w:rPr>
          <w:rFonts w:ascii="Arial" w:cs="Arial" w:eastAsia="Arial" w:hAnsi="Arial"/>
          <w:sz w:val="12"/>
          <w:szCs w:val="12"/>
          <w:color w:val="auto"/>
        </w:rPr>
      </w:pPr>
      <w:r>
        <w:rPr>
          <w:rFonts w:ascii="Arial" w:cs="Arial" w:eastAsia="Arial" w:hAnsi="Arial"/>
          <w:sz w:val="14"/>
          <w:szCs w:val="14"/>
          <w:color w:val="auto"/>
        </w:rPr>
        <w:t>Unaudited.</w:t>
      </w:r>
    </w:p>
    <w:p>
      <w:pPr>
        <w:spacing w:after="0" w:line="120" w:lineRule="exact"/>
        <w:rPr>
          <w:rFonts w:ascii="Arial" w:cs="Arial" w:eastAsia="Arial" w:hAnsi="Arial"/>
          <w:sz w:val="12"/>
          <w:szCs w:val="12"/>
          <w:color w:val="auto"/>
        </w:rPr>
      </w:pPr>
    </w:p>
    <w:p>
      <w:pPr>
        <w:ind w:left="220" w:hanging="212"/>
        <w:spacing w:after="0"/>
        <w:tabs>
          <w:tab w:leader="none" w:pos="220" w:val="left"/>
        </w:tabs>
        <w:numPr>
          <w:ilvl w:val="0"/>
          <w:numId w:val="21"/>
        </w:numPr>
        <w:rPr>
          <w:rFonts w:ascii="Arial" w:cs="Arial" w:eastAsia="Arial" w:hAnsi="Arial"/>
          <w:sz w:val="14"/>
          <w:szCs w:val="14"/>
          <w:b w:val="1"/>
          <w:bCs w:val="1"/>
          <w:color w:val="auto"/>
        </w:rPr>
      </w:pPr>
      <w:r>
        <w:rPr>
          <w:rFonts w:ascii="Arial" w:cs="Arial" w:eastAsia="Arial" w:hAnsi="Arial"/>
          <w:sz w:val="14"/>
          <w:szCs w:val="14"/>
          <w:b w:val="1"/>
          <w:bCs w:val="1"/>
          <w:color w:val="auto"/>
        </w:rPr>
        <w:t>STOCK REPURCHASE PROGRAM</w:t>
      </w:r>
    </w:p>
    <w:p>
      <w:pPr>
        <w:spacing w:after="0" w:line="140"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On May 9, 2018, we announced a share repurchase program which allows us to repurchase up to $30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9, 2019 and the repurchase of $30 million of common stock. For the three and six months ended March 31, 2019, we repurchased 1.0 million and 2.0 million shares of common stock in open market transactions for an aggregate cost (including transaction costs) of $7.0 million and $14.5 million, respectively. During both the three and six months ended March 31, 2018, we did not make any repurchases of our common stock. Over the last four fiscal quarters ended March 31, 2019, we repurchased 4.0 million shares of common stock in open market transactions for an aggregate cost (including transaction costs) of $29.5 million.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SUBSEQUENT EVENTS</w:t>
      </w:r>
    </w:p>
    <w:p>
      <w:pPr>
        <w:spacing w:after="0" w:line="14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3"/>
          <w:szCs w:val="13"/>
          <w:color w:val="auto"/>
        </w:rPr>
        <w:t>On April 12, 2019, we entered into an amended and restated investment advisory management agreement with the Investment Adviser (the “A&amp;R Investment Management Agreement”). Pursuant to the A&amp;R Investment Management Agreement, we reduced our base management fee on gross assets that exceed 200% of our total net assets as of the immediately preceding quarter-end from 1.50% to 1.00%. The A&amp;R Investment Management Agreement is effective as of February 5, 2019, the date our stockholders approved the application of the modified asset coverage requirements set forth in Section 61(a)(2) of the 1940 Act, as modified by Consolidated Appropriations Act of 2018 (which included the SBCAA).</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0" w:lineRule="exact"/>
        <w:rPr>
          <w:sz w:val="20"/>
          <w:szCs w:val="20"/>
          <w:color w:val="auto"/>
        </w:rPr>
      </w:pPr>
    </w:p>
    <w:p>
      <w:pPr>
        <w:spacing w:after="0" w:line="237" w:lineRule="exact"/>
        <w:rPr>
          <w:sz w:val="20"/>
          <w:szCs w:val="20"/>
          <w:color w:val="auto"/>
        </w:rPr>
      </w:pPr>
    </w:p>
    <w:p>
      <w:pPr>
        <w:ind w:right="5220"/>
        <w:spacing w:after="0" w:line="442" w:lineRule="auto"/>
        <w:rPr>
          <w:sz w:val="20"/>
          <w:szCs w:val="20"/>
          <w:color w:val="auto"/>
        </w:rPr>
      </w:pPr>
      <w:r>
        <w:rPr>
          <w:rFonts w:ascii="Arial" w:cs="Arial" w:eastAsia="Arial" w:hAnsi="Arial"/>
          <w:sz w:val="14"/>
          <w:szCs w:val="14"/>
          <w:color w:val="auto"/>
        </w:rPr>
        <w:t xml:space="preserve">To the Stockholders and Board of Directors of PennantPark Investment Corporation and its Subsidiaries </w:t>
      </w:r>
      <w:r>
        <w:rPr>
          <w:rFonts w:ascii="Arial" w:cs="Arial" w:eastAsia="Arial" w:hAnsi="Arial"/>
          <w:sz w:val="14"/>
          <w:szCs w:val="14"/>
          <w:b w:val="1"/>
          <w:bCs w:val="1"/>
          <w:color w:val="auto"/>
        </w:rPr>
        <w:t>Results of Review of Interim Financial Statements</w:t>
      </w:r>
    </w:p>
    <w:p>
      <w:pPr>
        <w:spacing w:after="0" w:line="1" w:lineRule="exact"/>
        <w:rPr>
          <w:sz w:val="20"/>
          <w:szCs w:val="20"/>
          <w:color w:val="auto"/>
        </w:rPr>
      </w:pPr>
    </w:p>
    <w:p>
      <w:pPr>
        <w:ind w:firstLine="365"/>
        <w:spacing w:after="0" w:line="251" w:lineRule="auto"/>
        <w:rPr>
          <w:sz w:val="20"/>
          <w:szCs w:val="20"/>
          <w:color w:val="auto"/>
        </w:rPr>
      </w:pPr>
      <w:r>
        <w:rPr>
          <w:rFonts w:ascii="Arial" w:cs="Arial" w:eastAsia="Arial" w:hAnsi="Arial"/>
          <w:sz w:val="13"/>
          <w:szCs w:val="13"/>
          <w:color w:val="auto"/>
        </w:rPr>
        <w:t>We have reviewed the accompanying consolidated statement of assets and liabilities of PennantPark Investment Corporation and its Subsidiaries (collectively referred to as the “Company”), including the consolidated schedule of investments, as of March 31, 2019, the related consolidated statements of operations and the related consolidated statements of changes in net assets for the three-month and six-month periods ended March 31, 2019 and 2018, and, and cash flows for the six-month periods ended March 31, 2019 and 2018, and the related notes to the consolidated financial statements (collectively, the interim financial information or financial statements). Based on our reviews, we are not aware of any material modifications that should be made to the interim financial statements referred to above for them to be in conformity with accounting principles generally accepted in the United States of America.</w:t>
      </w:r>
    </w:p>
    <w:p>
      <w:pPr>
        <w:spacing w:after="0" w:line="109" w:lineRule="exact"/>
        <w:rPr>
          <w:sz w:val="20"/>
          <w:szCs w:val="20"/>
          <w:color w:val="auto"/>
        </w:rPr>
      </w:pPr>
    </w:p>
    <w:p>
      <w:pPr>
        <w:ind w:right="80" w:firstLine="365"/>
        <w:spacing w:after="0" w:line="231"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2018, and the related consolidated statements of operations, changes in net assets, and cash flows for the year then ended (not presented herein), and in our report dated November 15, 2018, we expressed an unqualified opinion on those consolidated financial statements. In our opinion, the information set forth in the accompanying consolidated statement of assets and liabilities as of September 30, 2018, is fairly stated, in all material respects, in relation to the consolidated statement of assets and liabilities from which it has been derived.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Review Results</w:t>
      </w:r>
    </w:p>
    <w:p>
      <w:pPr>
        <w:spacing w:after="0" w:line="140" w:lineRule="exact"/>
        <w:rPr>
          <w:sz w:val="20"/>
          <w:szCs w:val="20"/>
          <w:color w:val="auto"/>
        </w:rPr>
      </w:pPr>
    </w:p>
    <w:p>
      <w:pPr>
        <w:ind w:firstLine="365"/>
        <w:spacing w:after="0" w:line="231" w:lineRule="auto"/>
        <w:rPr>
          <w:sz w:val="20"/>
          <w:szCs w:val="20"/>
          <w:color w:val="auto"/>
        </w:rPr>
      </w:pPr>
      <w:r>
        <w:rPr>
          <w:rFonts w:ascii="Arial" w:cs="Arial" w:eastAsia="Arial" w:hAnsi="Arial"/>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May 9, 2019</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5" w:name="page26"/>
    <w:bookmarkEnd w:id="25"/>
    <w:p>
      <w:pPr>
        <w:spacing w:after="0"/>
        <w:tabs>
          <w:tab w:leader="none" w:pos="13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40" w:lineRule="exact"/>
        <w:rPr>
          <w:sz w:val="20"/>
          <w:szCs w:val="20"/>
          <w:color w:val="auto"/>
        </w:rPr>
      </w:pPr>
    </w:p>
    <w:p>
      <w:pPr>
        <w:ind w:right="80" w:firstLine="434"/>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920" w:hanging="372"/>
        <w:spacing w:after="0"/>
        <w:tabs>
          <w:tab w:leader="none" w:pos="9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impact of Brexit and other world economic and political issues.</w:t>
      </w:r>
    </w:p>
    <w:p>
      <w:pPr>
        <w:spacing w:after="0" w:line="136" w:lineRule="exact"/>
        <w:rPr>
          <w:sz w:val="20"/>
          <w:szCs w:val="20"/>
          <w:color w:val="auto"/>
        </w:rPr>
      </w:pPr>
    </w:p>
    <w:p>
      <w:pPr>
        <w:ind w:firstLine="434"/>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106" w:lineRule="exact"/>
        <w:rPr>
          <w:sz w:val="20"/>
          <w:szCs w:val="20"/>
          <w:color w:val="auto"/>
        </w:rPr>
      </w:pPr>
    </w:p>
    <w:p>
      <w:pPr>
        <w:jc w:val="both"/>
        <w:ind w:right="280" w:firstLine="434"/>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17" w:lineRule="exact"/>
        <w:rPr>
          <w:sz w:val="20"/>
          <w:szCs w:val="20"/>
          <w:color w:val="auto"/>
        </w:rPr>
      </w:pPr>
    </w:p>
    <w:p>
      <w:pPr>
        <w:ind w:firstLine="434"/>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7" w:lineRule="exact"/>
        <w:rPr>
          <w:sz w:val="20"/>
          <w:szCs w:val="20"/>
          <w:color w:val="auto"/>
        </w:rPr>
      </w:pPr>
    </w:p>
    <w:p>
      <w:pPr>
        <w:ind w:right="160" w:firstLine="434"/>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06" w:lineRule="exact"/>
        <w:rPr>
          <w:sz w:val="20"/>
          <w:szCs w:val="20"/>
          <w:color w:val="auto"/>
        </w:rPr>
      </w:pPr>
    </w:p>
    <w:p>
      <w:pPr>
        <w:ind w:right="200" w:firstLine="434"/>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36" w:lineRule="exact"/>
        <w:rPr>
          <w:sz w:val="20"/>
          <w:szCs w:val="20"/>
          <w:color w:val="auto"/>
        </w:rPr>
      </w:pPr>
    </w:p>
    <w:p>
      <w:pPr>
        <w:ind w:right="460" w:firstLine="434"/>
        <w:spacing w:after="0" w:line="290" w:lineRule="auto"/>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and subordinated debt and equity investments.</w:t>
      </w:r>
    </w:p>
    <w:p>
      <w:pPr>
        <w:spacing w:after="0" w:line="84" w:lineRule="exact"/>
        <w:rPr>
          <w:sz w:val="20"/>
          <w:szCs w:val="20"/>
          <w:color w:val="auto"/>
        </w:rPr>
      </w:pPr>
    </w:p>
    <w:p>
      <w:pPr>
        <w:ind w:firstLine="434"/>
        <w:spacing w:after="0" w:line="245" w:lineRule="auto"/>
        <w:rPr>
          <w:sz w:val="20"/>
          <w:szCs w:val="20"/>
          <w:color w:val="auto"/>
        </w:rPr>
      </w:pPr>
      <w:r>
        <w:rPr>
          <w:rFonts w:ascii="Arial" w:cs="Arial" w:eastAsia="Arial" w:hAnsi="Arial"/>
          <w:sz w:val="13"/>
          <w:szCs w:val="13"/>
          <w:color w:val="auto"/>
        </w:rPr>
        <w:t>We believe middle-market companies offer attractive risk-reward to investors due to a limited amount of capital available for such companies and the potential for rising interest rates.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26" w:name="page27"/>
    <w:bookmarkEnd w:id="26"/>
    <w:p>
      <w:pPr>
        <w:ind w:firstLine="496"/>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136" w:lineRule="exact"/>
        <w:rPr>
          <w:sz w:val="20"/>
          <w:szCs w:val="20"/>
          <w:color w:val="auto"/>
        </w:rPr>
      </w:pPr>
    </w:p>
    <w:p>
      <w:pPr>
        <w:ind w:right="360" w:firstLine="434"/>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84" w:lineRule="exact"/>
        <w:rPr>
          <w:sz w:val="20"/>
          <w:szCs w:val="20"/>
          <w:color w:val="auto"/>
        </w:rPr>
      </w:pPr>
    </w:p>
    <w:p>
      <w:pPr>
        <w:ind w:right="160" w:firstLine="434"/>
        <w:spacing w:after="0" w:line="238" w:lineRule="auto"/>
        <w:rPr>
          <w:sz w:val="20"/>
          <w:szCs w:val="20"/>
          <w:color w:val="auto"/>
        </w:rPr>
      </w:pPr>
      <w:r>
        <w:rPr>
          <w:rFonts w:ascii="Arial" w:cs="Arial" w:eastAsia="Arial" w:hAnsi="Arial"/>
          <w:sz w:val="14"/>
          <w:szCs w:val="14"/>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115" w:lineRule="exact"/>
        <w:rPr>
          <w:sz w:val="20"/>
          <w:szCs w:val="20"/>
          <w:color w:val="auto"/>
        </w:rPr>
      </w:pPr>
    </w:p>
    <w:p>
      <w:pPr>
        <w:ind w:right="80" w:firstLine="434"/>
        <w:spacing w:after="0" w:line="22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provides overall supervision of our activities, and the Investment Adviser supervises our day-to-day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ind w:right="40" w:firstLine="434"/>
        <w:spacing w:after="0" w:line="269" w:lineRule="auto"/>
        <w:rPr>
          <w:sz w:val="20"/>
          <w:szCs w:val="20"/>
          <w:color w:val="auto"/>
        </w:rPr>
      </w:pPr>
      <w:r>
        <w:rPr>
          <w:rFonts w:ascii="Arial" w:cs="Arial" w:eastAsia="Arial" w:hAnsi="Arial"/>
          <w:sz w:val="12"/>
          <w:szCs w:val="12"/>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jc w:val="both"/>
        <w:ind w:right="140" w:firstLine="434"/>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17" w:lineRule="exact"/>
        <w:rPr>
          <w:sz w:val="20"/>
          <w:szCs w:val="20"/>
          <w:color w:val="auto"/>
        </w:rPr>
      </w:pPr>
    </w:p>
    <w:p>
      <w:pPr>
        <w:ind w:left="920" w:hanging="372"/>
        <w:spacing w:after="0"/>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920" w:right="20" w:hanging="372"/>
        <w:spacing w:after="0" w:line="253" w:lineRule="auto"/>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920" w:hanging="372"/>
        <w:spacing w:after="0"/>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36" w:lineRule="exact"/>
        <w:rPr>
          <w:rFonts w:ascii="Arial" w:cs="Arial" w:eastAsia="Arial" w:hAnsi="Arial"/>
          <w:sz w:val="14"/>
          <w:szCs w:val="14"/>
          <w:color w:val="auto"/>
        </w:rPr>
      </w:pPr>
    </w:p>
    <w:p>
      <w:pPr>
        <w:jc w:val="both"/>
        <w:ind w:left="920" w:hanging="372"/>
        <w:spacing w:after="0" w:line="264" w:lineRule="auto"/>
        <w:tabs>
          <w:tab w:leader="none" w:pos="9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27" w:name="page28"/>
    <w:bookmarkEnd w:id="27"/>
    <w:p>
      <w:pPr>
        <w:ind w:right="140" w:firstLine="434"/>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40" w:lineRule="exact"/>
        <w:rPr>
          <w:sz w:val="20"/>
          <w:szCs w:val="20"/>
          <w:color w:val="auto"/>
        </w:rPr>
      </w:pPr>
    </w:p>
    <w:p>
      <w:pPr>
        <w:ind w:right="40" w:firstLine="434"/>
        <w:spacing w:after="0" w:line="251" w:lineRule="auto"/>
        <w:rPr>
          <w:sz w:val="20"/>
          <w:szCs w:val="20"/>
          <w:color w:val="auto"/>
        </w:rPr>
      </w:pPr>
      <w:r>
        <w:rPr>
          <w:rFonts w:ascii="Arial" w:cs="Arial" w:eastAsia="Arial" w:hAnsi="Arial"/>
          <w:sz w:val="13"/>
          <w:szCs w:val="13"/>
          <w:color w:val="auto"/>
        </w:rPr>
        <w:t>As of March 31, 2019, our portfolio totaled $1,244.7 million and consisted of $686.6 million of first lien secured debt, $350.0 million of second lien secured debt, $49.9 million of subordinated debt and $158.2 million of preferred and common equity. Our debt portfolio consisted of 89% variable-rate investments and 11% fixed-rate investments. As of March 31, 2019, we had one portfolio company on non-accrual, representing 1.4% of our overall portfolio on both cost and fair value basis. Overall, the portfolio had net unrealized depreciation of $152.3 million as of March 31, 2019. Our overall portfolio consisted of 66 companies with an average investment size of $18.9 million, had a weighted average yield on interest bearing debt investments of 10.6% and was invested 55% in first lien secured debt, 28% in second lien secured debt, 4% in subordinated debt and 13% in preferred and common equity.</w:t>
      </w:r>
    </w:p>
    <w:p>
      <w:pPr>
        <w:spacing w:after="0" w:line="109" w:lineRule="exact"/>
        <w:rPr>
          <w:sz w:val="20"/>
          <w:szCs w:val="20"/>
          <w:color w:val="auto"/>
        </w:rPr>
      </w:pPr>
    </w:p>
    <w:p>
      <w:pPr>
        <w:ind w:right="20" w:firstLine="434"/>
        <w:spacing w:after="0" w:line="231" w:lineRule="auto"/>
        <w:rPr>
          <w:sz w:val="20"/>
          <w:szCs w:val="20"/>
          <w:color w:val="auto"/>
        </w:rPr>
      </w:pPr>
      <w:r>
        <w:rPr>
          <w:rFonts w:ascii="Arial" w:cs="Arial" w:eastAsia="Arial" w:hAnsi="Arial"/>
          <w:sz w:val="14"/>
          <w:szCs w:val="14"/>
          <w:color w:val="auto"/>
        </w:rPr>
        <w:t>As of September 30, 2018, our portfolio totaled $1,132.1 million and consisted of $531.4 million of first lien secured debt, $391.1 million of second lien secured debt, $48.1 million of subordinated debt and $161.5 million of preferred and common equity. Our debt portfolio consisted of 90% variable-rate investments and 10% fixed-rate investments. As of September 30, 2018, we had no portfolio companies on non-accrual. Overall, the portfolio had net unrealized depreciation of $111.8 million as of September 30, 2018. Our overall portfolio consisted of 53 companies with an average investment size of $21.4 million, had a weighted average yield on interest bearing debt investments of 11.2% and was invested 47% in first lien secured debt, 35% in second lien secured debt, 4% in subordinated debt and 14% in preferred and common equity.</w:t>
      </w:r>
    </w:p>
    <w:p>
      <w:pPr>
        <w:spacing w:after="0" w:line="116" w:lineRule="exact"/>
        <w:rPr>
          <w:sz w:val="20"/>
          <w:szCs w:val="20"/>
          <w:color w:val="auto"/>
        </w:rPr>
      </w:pPr>
    </w:p>
    <w:p>
      <w:pPr>
        <w:jc w:val="both"/>
        <w:ind w:right="220" w:firstLine="434"/>
        <w:spacing w:after="0" w:line="296" w:lineRule="auto"/>
        <w:rPr>
          <w:sz w:val="20"/>
          <w:szCs w:val="20"/>
          <w:color w:val="auto"/>
        </w:rPr>
      </w:pPr>
      <w:r>
        <w:rPr>
          <w:rFonts w:ascii="Arial" w:cs="Arial" w:eastAsia="Arial" w:hAnsi="Arial"/>
          <w:sz w:val="12"/>
          <w:szCs w:val="12"/>
          <w:color w:val="auto"/>
        </w:rPr>
        <w:t>For the three months ended March 31, 2019, we invested $183.9 million in nine new and 13 existing portfolio companies with a weighted average yield on debt investments of 9.1%. Sales and repayments of investments for the three months ended March 31, 2019 totaled $115.1 million. For the six months ended March 31, 2019, we invested $378.4 million in 15 new and 26 existing portfolio companies with a weighted average yield on debt investments of 9.3%. Sales and repayments of investments for the six months ended March 31, 2019 totaled $240.9 million.</w:t>
      </w:r>
    </w:p>
    <w:p>
      <w:pPr>
        <w:spacing w:after="0" w:line="83" w:lineRule="exact"/>
        <w:rPr>
          <w:sz w:val="20"/>
          <w:szCs w:val="20"/>
          <w:color w:val="auto"/>
        </w:rPr>
      </w:pPr>
    </w:p>
    <w:p>
      <w:pPr>
        <w:ind w:firstLine="434"/>
        <w:spacing w:after="0" w:line="296" w:lineRule="auto"/>
        <w:rPr>
          <w:sz w:val="20"/>
          <w:szCs w:val="20"/>
          <w:color w:val="auto"/>
        </w:rPr>
      </w:pPr>
      <w:r>
        <w:rPr>
          <w:rFonts w:ascii="Arial" w:cs="Arial" w:eastAsia="Arial" w:hAnsi="Arial"/>
          <w:sz w:val="12"/>
          <w:szCs w:val="12"/>
          <w:color w:val="auto"/>
        </w:rPr>
        <w:t>For the three months ended March 31, 2018, we invested $97.0 million in three new and six existing portfolio companies with a weighted average yield on debt investments of 8.9%. Sales and repayments of investments for the three months ended March 31, 2018 totaled $246.4 million. For the six months ended March 31, 2018, we invested $235.4 million in eight new and 13 existing portfolio companies with a weighted average yield on debt investments of 10.0%. Sales and repayments of investments for the six months ended March 31, 2018 totaled $438.7 million.</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40" w:lineRule="exact"/>
        <w:rPr>
          <w:sz w:val="20"/>
          <w:szCs w:val="20"/>
          <w:color w:val="auto"/>
        </w:rPr>
      </w:pPr>
    </w:p>
    <w:p>
      <w:pPr>
        <w:ind w:right="20" w:firstLine="434"/>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right="20" w:firstLine="434"/>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1" w:lineRule="exact"/>
        <w:rPr>
          <w:sz w:val="20"/>
          <w:szCs w:val="20"/>
          <w:color w:val="auto"/>
        </w:rPr>
      </w:pPr>
    </w:p>
    <w:p>
      <w:pPr>
        <w:ind w:right="240" w:firstLine="434"/>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820" w:right="20" w:hanging="367"/>
        <w:spacing w:after="0" w:line="253" w:lineRule="auto"/>
        <w:tabs>
          <w:tab w:leader="none" w:pos="8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820" w:hanging="367"/>
        <w:spacing w:after="0"/>
        <w:tabs>
          <w:tab w:leader="none" w:pos="8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136" w:lineRule="exact"/>
        <w:rPr>
          <w:rFonts w:ascii="Arial" w:cs="Arial" w:eastAsia="Arial" w:hAnsi="Arial"/>
          <w:sz w:val="14"/>
          <w:szCs w:val="14"/>
          <w:color w:val="auto"/>
        </w:rPr>
      </w:pPr>
    </w:p>
    <w:p>
      <w:pPr>
        <w:jc w:val="both"/>
        <w:ind w:left="820" w:right="80" w:hanging="367"/>
        <w:spacing w:after="0" w:line="264" w:lineRule="auto"/>
        <w:tabs>
          <w:tab w:leader="none" w:pos="8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820" w:right="340" w:hanging="367"/>
        <w:spacing w:after="0" w:line="238" w:lineRule="auto"/>
        <w:tabs>
          <w:tab w:leader="none" w:pos="8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820" w:right="80" w:hanging="367"/>
        <w:spacing w:after="0" w:line="253" w:lineRule="auto"/>
        <w:tabs>
          <w:tab w:leader="none" w:pos="8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300" w:firstLine="434"/>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28" w:name="page29"/>
    <w:bookmarkEnd w:id="28"/>
    <w:p>
      <w:pPr>
        <w:ind w:firstLine="434"/>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460" w:right="1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60" w:firstLine="434"/>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Facilities are classified as Level 3. Our 2019 Notes are classified as Level 2.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right="100" w:firstLine="434"/>
        <w:spacing w:after="0" w:line="335" w:lineRule="auto"/>
        <w:rPr>
          <w:sz w:val="20"/>
          <w:szCs w:val="20"/>
          <w:color w:val="auto"/>
        </w:rPr>
      </w:pPr>
      <w:r>
        <w:rPr>
          <w:rFonts w:ascii="Arial" w:cs="Arial" w:eastAsia="Arial" w:hAnsi="Arial"/>
          <w:sz w:val="12"/>
          <w:szCs w:val="12"/>
          <w:color w:val="auto"/>
        </w:rPr>
        <w:t>In addition to using the above inputs in cash equivalents, investments, our 2019 Notes and our Credit Facilities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60" w:lineRule="exact"/>
        <w:rPr>
          <w:sz w:val="20"/>
          <w:szCs w:val="20"/>
          <w:color w:val="auto"/>
        </w:rPr>
      </w:pPr>
    </w:p>
    <w:p>
      <w:pPr>
        <w:ind w:right="240" w:firstLine="443"/>
        <w:spacing w:after="0" w:line="242" w:lineRule="auto"/>
        <w:rPr>
          <w:sz w:val="20"/>
          <w:szCs w:val="20"/>
          <w:color w:val="auto"/>
        </w:rPr>
      </w:pPr>
      <w:r>
        <w:rPr>
          <w:rFonts w:ascii="Arial" w:cs="Arial" w:eastAsia="Arial" w:hAnsi="Arial"/>
          <w:sz w:val="13"/>
          <w:szCs w:val="13"/>
          <w:color w:val="auto"/>
        </w:rPr>
        <w:t>The carrying value of our consolidated financial liabilities approximates fair value. We have adopted the principles under ASC 825-10, which provides companies with an option to report selected financial assets and liabilities at fair value, and made an irrevocable election to apply ASC 825-10 to our Credit Facilities and the 2019 Notes. We elected to use the fair value option for the Credit Facilities and the 2019 Notes to align the measurement attributes of both our assets and liabilities while mitigating volatility in earnings from using different measurement attributes. Due to that election and in accordance with GAAP, we incurred expenses of $4.9 million relating to debt issuance costs on the BNP Credit Facility and the prepayment of the 2019 Notes for both the three and six months ended March 31, 2019. During both the three and six months ended March 31, 2018 we did not incur any expenses relating to amendment costs on the SunTrust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Facilities and the 2019 Notes are reported in our Consolidated Statements of Operations. We elected not to apply ASC 825-10 to any other financial assets or liabilities, including the SBA debentures. For the three and six months ended March 31, 2019, our Credit Facilities and the 2019 Notes had a net change in unrealized depreciation of $3.7 million and $9.7 million, respectively. For the three and six months ended March 31, 2018, the SunTrust Credit Facility and the 2019 Notes had a net change in unrealized depreciation of $0.4 million and $1.5 million, respectively. As of March 31, 2019, the net unrealized depreciation on our Credit Facilities totaled $11.3 million. As of September 30, 2018, the net unrealized depreciation on the SunTrust Credit Facility and the 2019 Notes totaled $1.6 million. We use a nationally recognized independent valuation service to measure the fair value of our Credit Facilities and the 2019 Notes in a manner consistent with the valuation process that the board of directors uses to value our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10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36" w:lineRule="exact"/>
        <w:rPr>
          <w:sz w:val="20"/>
          <w:szCs w:val="20"/>
          <w:color w:val="auto"/>
        </w:rPr>
      </w:pPr>
    </w:p>
    <w:p>
      <w:pPr>
        <w:ind w:right="40" w:firstLine="434"/>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our Credit Facilities and the 2019 Notes during the reporting period, including any reversal of previously recorded unrealized appreciation or depreciation, when gains or losses are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1180" w:hanging="362"/>
        <w:spacing w:after="0"/>
        <w:tabs>
          <w:tab w:leader="none" w:pos="11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180" w:hanging="362"/>
        <w:spacing w:after="0"/>
        <w:tabs>
          <w:tab w:leader="none" w:pos="11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160" w:firstLine="45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i w:val="1"/>
          <w:iCs w:val="1"/>
          <w:color w:val="auto"/>
        </w:rPr>
        <w:t>PIK Interest</w:t>
      </w:r>
    </w:p>
    <w:p>
      <w:pPr>
        <w:spacing w:after="0" w:line="136" w:lineRule="exact"/>
        <w:rPr>
          <w:sz w:val="20"/>
          <w:szCs w:val="20"/>
          <w:color w:val="auto"/>
        </w:rPr>
      </w:pPr>
    </w:p>
    <w:p>
      <w:pPr>
        <w:ind w:right="140" w:firstLine="434"/>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36" w:lineRule="exact"/>
        <w:rPr>
          <w:sz w:val="20"/>
          <w:szCs w:val="20"/>
          <w:color w:val="auto"/>
        </w:rPr>
      </w:pPr>
    </w:p>
    <w:p>
      <w:pPr>
        <w:ind w:right="120" w:firstLine="434"/>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7" w:lineRule="exact"/>
        <w:rPr>
          <w:sz w:val="20"/>
          <w:szCs w:val="20"/>
          <w:color w:val="auto"/>
        </w:rPr>
      </w:pPr>
    </w:p>
    <w:p>
      <w:pPr>
        <w:ind w:right="60" w:firstLine="434"/>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11" w:lineRule="exact"/>
        <w:rPr>
          <w:sz w:val="20"/>
          <w:szCs w:val="20"/>
          <w:color w:val="auto"/>
        </w:rPr>
      </w:pPr>
    </w:p>
    <w:p>
      <w:pPr>
        <w:ind w:right="380" w:firstLine="434"/>
        <w:spacing w:after="0" w:line="296" w:lineRule="auto"/>
        <w:rPr>
          <w:sz w:val="20"/>
          <w:szCs w:val="20"/>
          <w:color w:val="auto"/>
        </w:rPr>
      </w:pPr>
      <w:r>
        <w:rPr>
          <w:rFonts w:ascii="Arial" w:cs="Arial" w:eastAsia="Arial" w:hAnsi="Arial"/>
          <w:sz w:val="12"/>
          <w:szCs w:val="12"/>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83" w:lineRule="exact"/>
        <w:rPr>
          <w:sz w:val="20"/>
          <w:szCs w:val="20"/>
          <w:color w:val="auto"/>
        </w:rPr>
      </w:pPr>
    </w:p>
    <w:p>
      <w:pPr>
        <w:ind w:right="60" w:firstLine="434"/>
        <w:spacing w:after="0" w:line="335" w:lineRule="auto"/>
        <w:rPr>
          <w:sz w:val="20"/>
          <w:szCs w:val="20"/>
          <w:color w:val="auto"/>
        </w:rPr>
      </w:pPr>
      <w:r>
        <w:rPr>
          <w:rFonts w:ascii="Arial" w:cs="Arial" w:eastAsia="Arial" w:hAnsi="Arial"/>
          <w:sz w:val="12"/>
          <w:szCs w:val="12"/>
          <w:color w:val="auto"/>
        </w:rPr>
        <w:t>We have formed and expect to continue to form certain taxable subsidiaries, including the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Set forth below are the results of operations for the three and six months ended March 31, 2019 and 2018.</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36" w:lineRule="exact"/>
        <w:rPr>
          <w:sz w:val="20"/>
          <w:szCs w:val="20"/>
          <w:color w:val="auto"/>
        </w:rPr>
      </w:pPr>
    </w:p>
    <w:p>
      <w:pPr>
        <w:ind w:right="20" w:firstLine="434"/>
        <w:spacing w:after="0" w:line="231" w:lineRule="auto"/>
        <w:rPr>
          <w:sz w:val="20"/>
          <w:szCs w:val="20"/>
          <w:color w:val="auto"/>
        </w:rPr>
      </w:pPr>
      <w:r>
        <w:rPr>
          <w:rFonts w:ascii="Arial" w:cs="Arial" w:eastAsia="Arial" w:hAnsi="Arial"/>
          <w:sz w:val="14"/>
          <w:szCs w:val="14"/>
          <w:color w:val="auto"/>
        </w:rPr>
        <w:t>Investment income for the three and six months ended March 31, 2019 was $28.7 million and $56.1 million, respectively, and was attributable to $15.7 million and $29.0 million from first lien secured debt, $11.2 million and $23.5 million from second lien secured debt and $1.8 million and $3.6 million from subordinated debt, respectively. This compares to investment income for the three and six months ended March 31, 2018, which was $27.2 million and $55.9 million, respectively, and was attributable to $12.7 million and $25.4 million from first lien secured debt, $11.3 million and $24.2 million from second lien secured debt and $3.2 million and $6.3 million from subordinated debt, preferred and common equity. The increase in investment income compared to the same periods in the prior year was primarily due to the growth of our portfolio.</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right="100" w:firstLine="434"/>
        <w:spacing w:after="0" w:line="226" w:lineRule="auto"/>
        <w:rPr>
          <w:sz w:val="20"/>
          <w:szCs w:val="20"/>
          <w:color w:val="auto"/>
        </w:rPr>
      </w:pPr>
      <w:r>
        <w:rPr>
          <w:rFonts w:ascii="Arial" w:cs="Arial" w:eastAsia="Arial" w:hAnsi="Arial"/>
          <w:sz w:val="14"/>
          <w:szCs w:val="14"/>
          <w:color w:val="auto"/>
        </w:rPr>
        <w:t>Expenses for the three and six months ended March 31, 2019 totaled $17.9 million and $32.7 million, respectively. Base management fee for the same periods totaled $4.5 million and $8.9 million, incentive fee totaled less than $0.1 million and $2.7 million, debt related interest and expenses totaled $11.9 million (including $2.2 million of make-whole premium on the repayment of the 2019 Notes and $2.7 million in debt issuance costs on the BNP Credit Facility) and $18.2 million (including $2.2 million of make-whole premium on the repayment of the 2019 Notes and $2.7 million in debt issuance costs on the BNP Credit Facility), general and administrative expenses totaled $1.2 million and $2.3 million and provision for taxes totaled $0.3 million and $0.6 million, respectively. This compares to net expenses for the three and six months ended March 31, 2018, which totaled $13.8 million and $28.3 million, respectively. Base management fee for the same periods totaled $3.9 million and $8.7 million (after a base management fee waiver of $0.9 million), incentive fee totaled $2.8 million and $5.5 million (after an incentive fee waiver of $0.5 million), debt related interest and expenses totaled $5.9 million and $11.8 million and general and administrative expenses totaled $1.2 million and $2.3 million, respectively. The increase in expenses compared to the same periods in the prior year was primarily due to the expenses related the make-whole premium on the repayment of the 2019 Notes and the debt issuance costs on the BNP Credit Facility.</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36" w:lineRule="exact"/>
        <w:rPr>
          <w:sz w:val="20"/>
          <w:szCs w:val="20"/>
          <w:color w:val="auto"/>
        </w:rPr>
      </w:pPr>
    </w:p>
    <w:p>
      <w:pPr>
        <w:jc w:val="both"/>
        <w:ind w:right="100" w:firstLine="434"/>
        <w:spacing w:after="0" w:line="264" w:lineRule="auto"/>
        <w:rPr>
          <w:sz w:val="20"/>
          <w:szCs w:val="20"/>
          <w:color w:val="auto"/>
        </w:rPr>
      </w:pPr>
      <w:r>
        <w:rPr>
          <w:rFonts w:ascii="Arial" w:cs="Arial" w:eastAsia="Arial" w:hAnsi="Arial"/>
          <w:sz w:val="13"/>
          <w:szCs w:val="13"/>
          <w:color w:val="auto"/>
        </w:rPr>
        <w:t>Net investment income totaled $10.8 million and $23.3 million, or $0.16 and $0.34 per share, for the three and six months ended March 31, 2019, respectively. Net investment income totaled $13.4 million and $27.6 million, or $0.19 and $0.39 per share, for the three and six months ended March 31, 2018, respectively. The decrease in net investment income compared to the same periods in the prior year was primarily due to the expenses related the make-whole premium on the repayment of the 2019 Notes and the debt issuance costs on the BNP Credit Facility.</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36" w:lineRule="exact"/>
        <w:rPr>
          <w:sz w:val="20"/>
          <w:szCs w:val="20"/>
          <w:color w:val="auto"/>
        </w:rPr>
      </w:pPr>
    </w:p>
    <w:p>
      <w:pPr>
        <w:ind w:right="40" w:firstLine="434"/>
        <w:spacing w:after="0" w:line="233" w:lineRule="auto"/>
        <w:rPr>
          <w:sz w:val="20"/>
          <w:szCs w:val="20"/>
          <w:color w:val="auto"/>
        </w:rPr>
      </w:pPr>
      <w:r>
        <w:rPr>
          <w:rFonts w:ascii="Arial" w:cs="Arial" w:eastAsia="Arial" w:hAnsi="Arial"/>
          <w:sz w:val="14"/>
          <w:szCs w:val="14"/>
          <w:color w:val="auto"/>
        </w:rPr>
        <w:t>Sales and repayments of investments for the three and six months ended March 31, 2019 totaled $115.1 million and $240.9 million, respectively, and net realized gains totaled $1.0 million and $9.5 million, respectively. Sales and repayments of investments for the three and six months ended March 31, 2018 totaled $246.4 million and $438.7 million, respectively, and net realized gains totaled $21.8 million and $25.5 million, respectively. The change in realized gains/losses was primarily due to changes in the market conditions of our investments and the values at which they were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the Credit Facilities and the 2019 Notes</w:t>
      </w:r>
    </w:p>
    <w:p>
      <w:pPr>
        <w:spacing w:after="0" w:line="136" w:lineRule="exact"/>
        <w:rPr>
          <w:sz w:val="20"/>
          <w:szCs w:val="20"/>
          <w:color w:val="auto"/>
        </w:rPr>
      </w:pPr>
    </w:p>
    <w:p>
      <w:pPr>
        <w:ind w:firstLine="456"/>
        <w:spacing w:after="0" w:line="231" w:lineRule="auto"/>
        <w:rPr>
          <w:sz w:val="20"/>
          <w:szCs w:val="20"/>
          <w:color w:val="auto"/>
        </w:rPr>
      </w:pPr>
      <w:r>
        <w:rPr>
          <w:rFonts w:ascii="Arial" w:cs="Arial" w:eastAsia="Arial" w:hAnsi="Arial"/>
          <w:sz w:val="14"/>
          <w:szCs w:val="14"/>
          <w:color w:val="auto"/>
        </w:rPr>
        <w:t>For the three and six months ended March 31, 2019, we reported net change in unrealized depreciation on investments of $20.1 million and $40.5 million, respectively. For the three and six months ended March 31, 2018, we reported net change in unrealized depreciation on investments of $29.5 million and $36.3 million, respectively. As of March 31, 2019 and September 30, 2018, our net unrealized depreciation on investments totaled $152.3 million and $111.8 million, respectively. The net change in unrealized appreciation/depreciation on our investments compared to the same periods in the prior year was primarily due to changes in the capital market conditions, the financial performance of certain portfolio companies and the reversal of unrealized appreciation/depreciation on investments that were realized.</w:t>
      </w: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30" w:name="page31"/>
    <w:bookmarkEnd w:id="30"/>
    <w:p>
      <w:pPr>
        <w:ind w:right="20" w:firstLine="456"/>
        <w:spacing w:after="0" w:line="255" w:lineRule="auto"/>
        <w:rPr>
          <w:sz w:val="20"/>
          <w:szCs w:val="20"/>
          <w:color w:val="auto"/>
        </w:rPr>
      </w:pPr>
      <w:r>
        <w:rPr>
          <w:rFonts w:ascii="Arial" w:cs="Arial" w:eastAsia="Arial" w:hAnsi="Arial"/>
          <w:sz w:val="13"/>
          <w:szCs w:val="13"/>
          <w:color w:val="auto"/>
        </w:rPr>
        <w:t>For the three and six months ended March 31, 2019, our Credit Facilities and the 2019 Notes had a net change in unrealized depreciation of $3.7 million and $9.7 million, respectively. For the three and six months ended March 31, 2018, the SunTrust Credit Facility and the 2019 Notes had a net change in unrealized depreciation of $0.4 million and $1.5 million, respectively. As of March 31, 2019, the net unrealized depreciation on the Credit Facilities totaled $11.3 million. As of September 30, 2018, the net unrealized depreciation on the SunTrust Credit Facility and the 2019 Notes totaled $1.6 million. The net change in net unrealized depreciation compared to the same periods in the prior year was primarily due to changes in the capital markets.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36" w:lineRule="exact"/>
        <w:rPr>
          <w:sz w:val="20"/>
          <w:szCs w:val="20"/>
          <w:color w:val="auto"/>
        </w:rPr>
      </w:pPr>
    </w:p>
    <w:p>
      <w:pPr>
        <w:ind w:right="100" w:firstLine="434"/>
        <w:spacing w:after="0" w:line="238" w:lineRule="auto"/>
        <w:rPr>
          <w:sz w:val="20"/>
          <w:szCs w:val="20"/>
          <w:color w:val="auto"/>
        </w:rPr>
      </w:pPr>
      <w:r>
        <w:rPr>
          <w:rFonts w:ascii="Arial" w:cs="Arial" w:eastAsia="Arial" w:hAnsi="Arial"/>
          <w:sz w:val="14"/>
          <w:szCs w:val="14"/>
          <w:color w:val="auto"/>
        </w:rPr>
        <w:t>Net change in net assets resulting from operations totaled $(4.7) million and $2.0 million, or $(0.07) and $0.03 per share, for the three and six months ended March 31, 2019. Net change in net assets resulting from operations totaled $6.0 million and $18.3 million, or $0.08 and $0.26 per share, for the three and six months ended March 31, 2018. The decrease in the net change in net assets from operations compared to the same periods in the prior year was primarily due to depreciation of the portfolio in the current period.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ind w:right="100" w:firstLine="434"/>
        <w:spacing w:after="0" w:line="231" w:lineRule="auto"/>
        <w:rPr>
          <w:sz w:val="20"/>
          <w:szCs w:val="20"/>
          <w:color w:val="auto"/>
        </w:rPr>
      </w:pPr>
      <w:r>
        <w:rPr>
          <w:rFonts w:ascii="Arial" w:cs="Arial" w:eastAsia="Arial" w:hAnsi="Arial"/>
          <w:sz w:val="14"/>
          <w:szCs w:val="14"/>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March 31, 2019, in accordance with the 1940 Act, with certain limited exceptions, we were only allowed to borrow amounts such that we are in compliance with a 150% asset coverage ratio requirement after such borrowing, excluding SBA debentures pursuant to exemptive relief from the SEC received in June 2011.</w:t>
      </w:r>
    </w:p>
    <w:p>
      <w:pPr>
        <w:spacing w:after="0" w:line="116" w:lineRule="exact"/>
        <w:rPr>
          <w:sz w:val="20"/>
          <w:szCs w:val="20"/>
          <w:color w:val="auto"/>
        </w:rPr>
      </w:pPr>
    </w:p>
    <w:p>
      <w:pPr>
        <w:ind w:right="340" w:firstLine="434"/>
        <w:spacing w:after="0" w:line="255" w:lineRule="auto"/>
        <w:rPr>
          <w:sz w:val="20"/>
          <w:szCs w:val="20"/>
          <w:color w:val="auto"/>
        </w:rPr>
      </w:pPr>
      <w:r>
        <w:rPr>
          <w:rFonts w:ascii="Arial" w:cs="Arial" w:eastAsia="Arial" w:hAnsi="Arial"/>
          <w:sz w:val="13"/>
          <w:szCs w:val="13"/>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March 31, 2019 and September 30, 2018, our asset coverage ratio, as computed in accordance with the 1940 Act, was 212% and 292%, respectively.</w:t>
      </w:r>
    </w:p>
    <w:p>
      <w:pPr>
        <w:spacing w:after="0" w:line="107" w:lineRule="exact"/>
        <w:rPr>
          <w:sz w:val="20"/>
          <w:szCs w:val="20"/>
          <w:color w:val="auto"/>
        </w:rPr>
      </w:pPr>
    </w:p>
    <w:p>
      <w:pPr>
        <w:ind w:right="160" w:firstLine="434"/>
        <w:spacing w:after="0" w:line="238" w:lineRule="auto"/>
        <w:rPr>
          <w:sz w:val="20"/>
          <w:szCs w:val="20"/>
          <w:color w:val="auto"/>
        </w:rPr>
      </w:pPr>
      <w:r>
        <w:rPr>
          <w:rFonts w:ascii="Arial" w:cs="Arial" w:eastAsia="Arial" w:hAnsi="Arial"/>
          <w:sz w:val="14"/>
          <w:szCs w:val="14"/>
          <w:color w:val="auto"/>
        </w:rPr>
        <w:t>The annualized weighted average cost of debt for the six months ended March 31, 2019 and 2018, inclusive of the fee on the undrawn commitment under the SunTrust Credit Facility, debt issuance costs on the BNP Credit Facility, prepayment penalties on the 2019 Notes and amortized upfront fees on SBA debentures, was 6.97% and 4.58%, respectively (excluding debt issuance costs and prepayment penalties, amounts were 5.90% and 4.58%, respectively).</w:t>
      </w:r>
    </w:p>
    <w:p>
      <w:pPr>
        <w:spacing w:after="0" w:line="115" w:lineRule="exact"/>
        <w:rPr>
          <w:sz w:val="20"/>
          <w:szCs w:val="20"/>
          <w:color w:val="auto"/>
        </w:rPr>
      </w:pPr>
    </w:p>
    <w:p>
      <w:pPr>
        <w:ind w:right="200" w:firstLine="434"/>
        <w:spacing w:after="0" w:line="233" w:lineRule="auto"/>
        <w:rPr>
          <w:sz w:val="20"/>
          <w:szCs w:val="20"/>
          <w:color w:val="auto"/>
        </w:rPr>
      </w:pPr>
      <w:r>
        <w:rPr>
          <w:rFonts w:ascii="Arial" w:cs="Arial" w:eastAsia="Arial" w:hAnsi="Arial"/>
          <w:sz w:val="14"/>
          <w:szCs w:val="14"/>
          <w:color w:val="auto"/>
        </w:rPr>
        <w:t>On February 22, 2019, Funding I closed the BNP Credit Facility for up to $250.0 million in borrowings with certain lenders and BNP Paribas, as administrative agent, and The Bank of New York Mellon Trust Company, N.A., as collateral agent. As of March 31, 2019, Funding I had $142.5 million in outstanding borrowings under the BNP Credit Facility. The BNP Credit Facility had a weighted average interest rate of 5.10% as of March 31, 2019. The BNP Credit Facility is a five-year revolving facility with a stated maturity date of February 22, 2024 and pricing set at 260 basis points over LIBOR. The BNP Credit Facility is secured by all of our assets held by Funding I.</w:t>
      </w:r>
    </w:p>
    <w:p>
      <w:pPr>
        <w:spacing w:after="0" w:line="117" w:lineRule="exact"/>
        <w:rPr>
          <w:sz w:val="20"/>
          <w:szCs w:val="20"/>
          <w:color w:val="auto"/>
        </w:rPr>
      </w:pPr>
    </w:p>
    <w:p>
      <w:pPr>
        <w:ind w:right="320" w:firstLine="434"/>
        <w:spacing w:after="0" w:line="253" w:lineRule="auto"/>
        <w:rPr>
          <w:sz w:val="20"/>
          <w:szCs w:val="20"/>
          <w:color w:val="auto"/>
        </w:rPr>
      </w:pPr>
      <w:r>
        <w:rPr>
          <w:rFonts w:ascii="Arial" w:cs="Arial" w:eastAsia="Arial" w:hAnsi="Arial"/>
          <w:sz w:val="14"/>
          <w:szCs w:val="14"/>
          <w:color w:val="auto"/>
        </w:rPr>
        <w:t>Please refer to the revolving credit and security agreement filed as Exhibit 10.1 to our 8-K filed on February 26, 2019 and incorporated by reference for more information. As of March 31, 2019, we were in compliance with the terms of the BNP Credit Facility.</w:t>
      </w:r>
    </w:p>
    <w:p>
      <w:pPr>
        <w:spacing w:after="0" w:line="106" w:lineRule="exact"/>
        <w:rPr>
          <w:sz w:val="20"/>
          <w:szCs w:val="20"/>
          <w:color w:val="auto"/>
        </w:rPr>
      </w:pPr>
    </w:p>
    <w:p>
      <w:pPr>
        <w:ind w:right="80" w:firstLine="438"/>
        <w:spacing w:after="0" w:line="228" w:lineRule="auto"/>
        <w:rPr>
          <w:sz w:val="20"/>
          <w:szCs w:val="20"/>
          <w:color w:val="auto"/>
        </w:rPr>
      </w:pPr>
      <w:r>
        <w:rPr>
          <w:rFonts w:ascii="Arial" w:cs="Arial" w:eastAsia="Arial" w:hAnsi="Arial"/>
          <w:sz w:val="14"/>
          <w:szCs w:val="14"/>
          <w:color w:val="auto"/>
        </w:rPr>
        <w:t>As of March 31, 2019, we had the multi-currency SunTrust Credit Facility for up to $445.0 million in borrowings with certain lenders and SunTrust Bank, acting as administrative agent, and JPMorgan Chase Bank, N.A., acting as syndication agent for the lenders. As of March 31, 2019 and September 30, 2018, we had $389.1 million and $80.5 million (including a $2.0 million temporary draw), respectively, in outstanding borrowings under the SunTrust Credit Facility. The SunTrust Credit Facility had a weighted average interest rate of 4.58% and 3.79%, respectively, exclusive of the fee on undrawn commitments of 0.375%, as of March 31, 2019 and September 30, 2018. The SunTrust Credit Facility is a five-year revolving facility with a stated maturity date of May 25, 2022, a one-year term-out period following its fourth year and pricing set at 225 basis points over LIBOR. As of March 31, 2019 and September 30, 2018, we had $55.9 million and $364.5 million of unused borrowing capacity under the SunTrust Credit Facility, respectively, subject to the regulatory restrictions. The SunTrust Credit Facility is secured by substantially all of our assets excluding assets held by Funding I and our SBIC Funds.</w:t>
      </w:r>
    </w:p>
    <w:p>
      <w:pPr>
        <w:spacing w:after="0" w:line="117"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For a complete list of covenants contained in the SunTrust Credit Facility, please refer to the SunTrust Credit Facility agreement filed as Exhibit 10.1 on our Form 10-Q filed August 7, 2017 and incorporated by reference therein. As of March 31, 2019, we were in compliance with the terms of the SunTrust Credit Facility.</w:t>
      </w:r>
    </w:p>
    <w:p>
      <w:pPr>
        <w:spacing w:after="0" w:line="106" w:lineRule="exact"/>
        <w:rPr>
          <w:sz w:val="20"/>
          <w:szCs w:val="20"/>
          <w:color w:val="auto"/>
        </w:rPr>
      </w:pPr>
    </w:p>
    <w:p>
      <w:pPr>
        <w:ind w:right="200" w:firstLine="452"/>
        <w:spacing w:after="0" w:line="251" w:lineRule="auto"/>
        <w:rPr>
          <w:sz w:val="20"/>
          <w:szCs w:val="20"/>
          <w:color w:val="auto"/>
        </w:rPr>
      </w:pPr>
      <w:r>
        <w:rPr>
          <w:rFonts w:ascii="Arial" w:cs="Arial" w:eastAsia="Arial" w:hAnsi="Arial"/>
          <w:sz w:val="13"/>
          <w:szCs w:val="13"/>
          <w:color w:val="auto"/>
        </w:rPr>
        <w:t>In September 2014, we issued $250.0 million in aggregate principal amount of 2019 Notes, for net proceeds of $245.5 million after underwriting discounts and offering costs. Interest on the 2019 Notes was paid semi-annually on April 1 and October 1, at a rate of 4.50% per year. On March 4, 2019 the 2019 Notes were redeemed in full and no amounts were outstanding as of March 31, 2019. The 2019 Notes were redeemed on March 4, 2019 at a redemption price equal to $1,008.65 for each $1,000.00 of principal of notes outstanding, plus accrued and unpaid interest to March 4, 2019, pursuant to the indenture governing the 2019 Notes. Please refer to our indenture agreement filed as Exhibit (d)(8) to our post-effective amendment filed on January 22, 2013 and the supplemental indenture agreement filed as Exhibit (d)(11) to our post-effective amendment filed on September 23, 2014 for more information.</w:t>
      </w:r>
    </w:p>
    <w:p>
      <w:pPr>
        <w:spacing w:after="0" w:line="109" w:lineRule="exact"/>
        <w:rPr>
          <w:sz w:val="20"/>
          <w:szCs w:val="20"/>
          <w:color w:val="auto"/>
        </w:rPr>
      </w:pPr>
    </w:p>
    <w:p>
      <w:pPr>
        <w:ind w:right="200" w:firstLine="434"/>
        <w:spacing w:after="0" w:line="231" w:lineRule="auto"/>
        <w:rPr>
          <w:sz w:val="20"/>
          <w:szCs w:val="20"/>
          <w:color w:val="auto"/>
        </w:rPr>
      </w:pPr>
      <w:r>
        <w:rPr>
          <w:rFonts w:ascii="Arial" w:cs="Arial" w:eastAsia="Arial" w:hAnsi="Arial"/>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Facilities and SBA debentures. Furthermore, our Credit Facilities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116"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On May 9, 2018, we announced a share repurchase program which allows us to repurchase up to $30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9, 2019 and the repurchase of $30 million of common stock. For the three and six months ended March 31, 2019 we repurchased 1.0 million and 2.0 million shares of common stock in open market transactions for an aggregate cost (including transaction costs) of $7.0 million and $14.5 million, respectively. During both the three and six months ended March 31, 2018, we did not make any repurchases of our common stock. Over the last four fiscal quarters ended March 31, 2019, we repurchased 4.0 million shares of common stock in open market transactions for an aggregate cost (including transaction costs) of $29.5 million.</w:t>
      </w:r>
    </w:p>
    <w:p>
      <w:pPr>
        <w:spacing w:after="0" w:line="117" w:lineRule="exact"/>
        <w:rPr>
          <w:sz w:val="20"/>
          <w:szCs w:val="20"/>
          <w:color w:val="auto"/>
        </w:rPr>
      </w:pPr>
    </w:p>
    <w:p>
      <w:pPr>
        <w:ind w:right="180" w:firstLine="434"/>
        <w:spacing w:after="0" w:line="238" w:lineRule="auto"/>
        <w:rPr>
          <w:sz w:val="20"/>
          <w:szCs w:val="20"/>
          <w:color w:val="auto"/>
        </w:rPr>
      </w:pPr>
      <w:r>
        <w:rPr>
          <w:rFonts w:ascii="Arial" w:cs="Arial" w:eastAsia="Arial" w:hAnsi="Arial"/>
          <w:sz w:val="14"/>
          <w:szCs w:val="14"/>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zero SBA debentures outstanding as of March 31, 2019. We repaid the remaining $30.0 million in SBIC I debentures in the three months ended December 31, 2018. We have funded SBIC II with $75.0 million of</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1" w:name="page32"/>
    <w:bookmarkEnd w:id="31"/>
    <w:p>
      <w:pPr>
        <w:jc w:val="both"/>
        <w:ind w:right="120"/>
        <w:spacing w:after="0" w:line="233" w:lineRule="auto"/>
        <w:rPr>
          <w:sz w:val="20"/>
          <w:szCs w:val="20"/>
          <w:color w:val="auto"/>
        </w:rPr>
      </w:pPr>
      <w:r>
        <w:rPr>
          <w:rFonts w:ascii="Arial" w:cs="Arial" w:eastAsia="Arial" w:hAnsi="Arial"/>
          <w:sz w:val="14"/>
          <w:szCs w:val="14"/>
          <w:color w:val="auto"/>
        </w:rPr>
        <w:t>equity capital and it had SBA debentures outstanding of $150.0 million as of March 31, 2019.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$350.0 million in the aggregate.</w:t>
      </w:r>
    </w:p>
    <w:p>
      <w:pPr>
        <w:spacing w:after="0" w:line="117" w:lineRule="exact"/>
        <w:rPr>
          <w:sz w:val="20"/>
          <w:szCs w:val="20"/>
          <w:color w:val="auto"/>
        </w:rPr>
      </w:pPr>
    </w:p>
    <w:p>
      <w:pPr>
        <w:ind w:right="200" w:firstLine="434"/>
        <w:spacing w:after="0" w:line="238" w:lineRule="auto"/>
        <w:rPr>
          <w:sz w:val="20"/>
          <w:szCs w:val="20"/>
          <w:color w:val="auto"/>
        </w:rPr>
      </w:pPr>
      <w:r>
        <w:rPr>
          <w:rFonts w:ascii="Arial" w:cs="Arial" w:eastAsia="Arial" w:hAnsi="Arial"/>
          <w:sz w:val="14"/>
          <w:szCs w:val="14"/>
          <w:color w:val="auto"/>
        </w:rPr>
        <w:t>As of March 31, 2019 and September 30, 2018, our SBIC Funds had $150.0 million and $300.0 million in debt commitments, respectively, of which $150.0 million and $180.0 million was drawn, respectively. As of March 31, 2019 and September 30, 2018, the unamortized fees on the SBA debentures were $4.1 million and $4.6 million, respectively. The SBA debentures’ upfront fees of 3.43% consist of a commitment fee of 1.00% and an issuance discount of 2.43%, which are being amortized.</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fixed-rate SBA debentures as of March 31, 2019 and September 30, 2018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vMerge w:val="restart"/>
          </w:tcPr>
          <w:p>
            <w:pPr>
              <w:spacing w:after="0"/>
              <w:rPr>
                <w:sz w:val="14"/>
                <w:szCs w:val="14"/>
                <w:color w:val="auto"/>
              </w:rPr>
            </w:pPr>
          </w:p>
        </w:tc>
        <w:tc>
          <w:tcPr>
            <w:tcW w:w="224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14"/>
                <w:szCs w:val="14"/>
                <w:color w:val="auto"/>
              </w:rPr>
            </w:pPr>
          </w:p>
        </w:tc>
        <w:tc>
          <w:tcPr>
            <w:tcW w:w="21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w w:val="95"/>
              </w:rPr>
              <w:t>As of March 31, 2019</w:t>
            </w: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1"/>
        </w:trPr>
        <w:tc>
          <w:tcPr>
            <w:tcW w:w="36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2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10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CFF"/>
            </w:tcBorders>
            <w:vMerge w:val="continue"/>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400" w:type="dxa"/>
            <w:vAlign w:val="bottom"/>
            <w:tcBorders>
              <w:bottom w:val="single" w:sz="8" w:color="auto"/>
            </w:tcBorders>
          </w:tcPr>
          <w:p>
            <w:pPr>
              <w:jc w:val="center"/>
              <w:ind w:left="698"/>
              <w:spacing w:after="0"/>
              <w:rPr>
                <w:sz w:val="20"/>
                <w:szCs w:val="20"/>
                <w:color w:val="auto"/>
              </w:rPr>
            </w:pPr>
            <w:r>
              <w:rPr>
                <w:rFonts w:ascii="Arial" w:cs="Arial" w:eastAsia="Arial" w:hAnsi="Arial"/>
                <w:sz w:val="14"/>
                <w:szCs w:val="14"/>
                <w:b w:val="1"/>
                <w:bCs w:val="1"/>
                <w:color w:val="auto"/>
                <w:w w:val="89"/>
              </w:rPr>
              <w:t>Balance</w:t>
            </w: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23, 2016</w:t>
            </w:r>
          </w:p>
        </w:tc>
        <w:tc>
          <w:tcPr>
            <w:tcW w:w="240" w:type="dxa"/>
            <w:vAlign w:val="bottom"/>
            <w:shd w:val="clear" w:color="auto" w:fill="CCECFF"/>
          </w:tcPr>
          <w:p>
            <w:pPr>
              <w:spacing w:after="0"/>
              <w:rPr>
                <w:sz w:val="13"/>
                <w:szCs w:val="13"/>
                <w:color w:val="auto"/>
              </w:rPr>
            </w:pPr>
          </w:p>
        </w:tc>
        <w:tc>
          <w:tcPr>
            <w:tcW w:w="22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2026</w:t>
            </w:r>
          </w:p>
        </w:tc>
        <w:tc>
          <w:tcPr>
            <w:tcW w:w="220" w:type="dxa"/>
            <w:vAlign w:val="bottom"/>
            <w:shd w:val="clear" w:color="auto" w:fill="CCECFF"/>
          </w:tcPr>
          <w:p>
            <w:pPr>
              <w:spacing w:after="0"/>
              <w:rPr>
                <w:sz w:val="13"/>
                <w:szCs w:val="13"/>
                <w:color w:val="auto"/>
              </w:rPr>
            </w:pPr>
          </w:p>
        </w:tc>
        <w:tc>
          <w:tcPr>
            <w:tcW w:w="2580" w:type="dxa"/>
            <w:vAlign w:val="bottom"/>
            <w:gridSpan w:val="2"/>
            <w:shd w:val="clear" w:color="auto" w:fill="CCECFF"/>
          </w:tcPr>
          <w:p>
            <w:pPr>
              <w:ind w:left="1840"/>
              <w:spacing w:after="0" w:line="155" w:lineRule="exact"/>
              <w:rPr>
                <w:sz w:val="20"/>
                <w:szCs w:val="20"/>
                <w:color w:val="auto"/>
              </w:rPr>
            </w:pPr>
            <w:r>
              <w:rPr>
                <w:rFonts w:ascii="Arial" w:cs="Arial" w:eastAsia="Arial" w:hAnsi="Arial"/>
                <w:sz w:val="14"/>
                <w:szCs w:val="14"/>
                <w:color w:val="auto"/>
              </w:rPr>
              <w:t>2.86%</w:t>
            </w:r>
          </w:p>
        </w:tc>
        <w:tc>
          <w:tcPr>
            <w:tcW w:w="20" w:type="dxa"/>
            <w:vAlign w:val="bottom"/>
            <w:shd w:val="clear" w:color="auto" w:fill="CCECFF"/>
          </w:tcPr>
          <w:p>
            <w:pPr>
              <w:spacing w:after="0"/>
              <w:rPr>
                <w:sz w:val="13"/>
                <w:szCs w:val="13"/>
                <w:color w:val="auto"/>
              </w:rPr>
            </w:pPr>
          </w:p>
        </w:tc>
        <w:tc>
          <w:tcPr>
            <w:tcW w:w="1400" w:type="dxa"/>
            <w:vAlign w:val="bottom"/>
            <w:shd w:val="clear" w:color="auto" w:fill="CCECFF"/>
          </w:tcPr>
          <w:p>
            <w:pPr>
              <w:jc w:val="right"/>
              <w:ind w:right="1278"/>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22,500,000</w:t>
            </w:r>
          </w:p>
        </w:tc>
        <w:tc>
          <w:tcPr>
            <w:tcW w:w="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spacing w:after="0"/>
              <w:rPr>
                <w:sz w:val="20"/>
                <w:szCs w:val="20"/>
                <w:color w:val="auto"/>
              </w:rPr>
            </w:pPr>
            <w:r>
              <w:rPr>
                <w:rFonts w:ascii="Arial" w:cs="Arial" w:eastAsia="Arial" w:hAnsi="Arial"/>
                <w:sz w:val="14"/>
                <w:szCs w:val="14"/>
                <w:color w:val="auto"/>
              </w:rPr>
              <w:t>September 21, 2016</w:t>
            </w:r>
          </w:p>
        </w:tc>
        <w:tc>
          <w:tcPr>
            <w:tcW w:w="2460" w:type="dxa"/>
            <w:vAlign w:val="bottom"/>
            <w:gridSpan w:val="2"/>
          </w:tcPr>
          <w:p>
            <w:pPr>
              <w:spacing w:after="0"/>
              <w:rPr>
                <w:sz w:val="20"/>
                <w:szCs w:val="20"/>
                <w:color w:val="auto"/>
              </w:rPr>
            </w:pPr>
            <w:r>
              <w:rPr>
                <w:rFonts w:ascii="Arial" w:cs="Arial" w:eastAsia="Arial" w:hAnsi="Arial"/>
                <w:sz w:val="14"/>
                <w:szCs w:val="14"/>
                <w:color w:val="auto"/>
              </w:rPr>
              <w:t>September 1, 2026</w:t>
            </w:r>
          </w:p>
        </w:tc>
        <w:tc>
          <w:tcPr>
            <w:tcW w:w="2100" w:type="dxa"/>
            <w:vAlign w:val="bottom"/>
          </w:tcPr>
          <w:p>
            <w:pPr>
              <w:ind w:left="1840"/>
              <w:spacing w:after="0"/>
              <w:rPr>
                <w:sz w:val="20"/>
                <w:szCs w:val="20"/>
                <w:color w:val="auto"/>
              </w:rPr>
            </w:pPr>
            <w:r>
              <w:rPr>
                <w:rFonts w:ascii="Arial" w:cs="Arial" w:eastAsia="Arial" w:hAnsi="Arial"/>
                <w:sz w:val="14"/>
                <w:szCs w:val="14"/>
                <w:color w:val="auto"/>
                <w:w w:val="87"/>
              </w:rPr>
              <w:t>2.41</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25,000,000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4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2100" w:type="dxa"/>
            <w:vAlign w:val="bottom"/>
            <w:shd w:val="clear" w:color="auto" w:fill="CCECFF"/>
          </w:tcPr>
          <w:p>
            <w:pPr>
              <w:ind w:left="1840"/>
              <w:spacing w:after="0"/>
              <w:rPr>
                <w:sz w:val="20"/>
                <w:szCs w:val="20"/>
                <w:color w:val="auto"/>
              </w:rPr>
            </w:pPr>
            <w:r>
              <w:rPr>
                <w:rFonts w:ascii="Arial" w:cs="Arial" w:eastAsia="Arial" w:hAnsi="Arial"/>
                <w:sz w:val="14"/>
                <w:szCs w:val="14"/>
                <w:color w:val="auto"/>
                <w:w w:val="87"/>
              </w:rPr>
              <w:t>2.87</w:t>
            </w:r>
          </w:p>
        </w:tc>
        <w:tc>
          <w:tcPr>
            <w:tcW w:w="4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4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31,500,000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21, 2018</w:t>
            </w:r>
          </w:p>
        </w:tc>
        <w:tc>
          <w:tcPr>
            <w:tcW w:w="246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1, 2028</w:t>
            </w:r>
          </w:p>
        </w:tc>
        <w:tc>
          <w:tcPr>
            <w:tcW w:w="2100" w:type="dxa"/>
            <w:vAlign w:val="bottom"/>
            <w:tcBorders>
              <w:bottom w:val="single" w:sz="8" w:color="auto"/>
            </w:tcBorders>
          </w:tcPr>
          <w:p>
            <w:pPr>
              <w:ind w:left="1840"/>
              <w:spacing w:after="0"/>
              <w:rPr>
                <w:sz w:val="20"/>
                <w:szCs w:val="20"/>
                <w:color w:val="auto"/>
              </w:rPr>
            </w:pPr>
            <w:r>
              <w:rPr>
                <w:rFonts w:ascii="Arial" w:cs="Arial" w:eastAsia="Arial" w:hAnsi="Arial"/>
                <w:sz w:val="14"/>
                <w:szCs w:val="14"/>
                <w:color w:val="auto"/>
                <w:w w:val="87"/>
              </w:rPr>
              <w:t>3.53</w:t>
            </w:r>
          </w:p>
        </w:tc>
        <w:tc>
          <w:tcPr>
            <w:tcW w:w="48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71,000,000</w:t>
            </w:r>
          </w:p>
        </w:tc>
        <w:tc>
          <w:tcPr>
            <w:tcW w:w="6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580" w:type="dxa"/>
            <w:vAlign w:val="bottom"/>
            <w:gridSpan w:val="2"/>
            <w:shd w:val="clear" w:color="auto" w:fill="CCECFF"/>
          </w:tcPr>
          <w:p>
            <w:pPr>
              <w:ind w:left="1840"/>
              <w:spacing w:after="0" w:line="155" w:lineRule="exact"/>
              <w:rPr>
                <w:sz w:val="20"/>
                <w:szCs w:val="20"/>
                <w:color w:val="auto"/>
              </w:rPr>
            </w:pPr>
            <w:r>
              <w:rPr>
                <w:rFonts w:ascii="Arial" w:cs="Arial" w:eastAsia="Arial" w:hAnsi="Arial"/>
                <w:sz w:val="14"/>
                <w:szCs w:val="14"/>
                <w:color w:val="auto"/>
              </w:rPr>
              <w:t>3.11%</w:t>
            </w:r>
          </w:p>
        </w:tc>
        <w:tc>
          <w:tcPr>
            <w:tcW w:w="20" w:type="dxa"/>
            <w:vAlign w:val="bottom"/>
            <w:shd w:val="clear" w:color="auto" w:fill="CCECFF"/>
          </w:tcPr>
          <w:p>
            <w:pPr>
              <w:spacing w:after="0"/>
              <w:rPr>
                <w:sz w:val="13"/>
                <w:szCs w:val="13"/>
                <w:color w:val="auto"/>
              </w:rPr>
            </w:pPr>
          </w:p>
        </w:tc>
        <w:tc>
          <w:tcPr>
            <w:tcW w:w="1400" w:type="dxa"/>
            <w:vAlign w:val="bottom"/>
            <w:shd w:val="clear" w:color="auto" w:fill="CCECFF"/>
          </w:tcPr>
          <w:p>
            <w:pPr>
              <w:jc w:val="right"/>
              <w:ind w:right="1278"/>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150,000,000</w:t>
            </w:r>
          </w:p>
        </w:tc>
        <w:tc>
          <w:tcPr>
            <w:tcW w:w="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24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CFF"/>
            </w:tcBorders>
          </w:tcPr>
          <w:p>
            <w:pPr>
              <w:spacing w:after="0" w:line="20" w:lineRule="exact"/>
              <w:rPr>
                <w:sz w:val="1"/>
                <w:szCs w:val="1"/>
                <w:color w:val="auto"/>
              </w:rPr>
            </w:pPr>
          </w:p>
        </w:tc>
        <w:tc>
          <w:tcPr>
            <w:tcW w:w="20" w:type="dxa"/>
            <w:vAlign w:val="bottom"/>
            <w:tcBorders>
              <w:top w:val="single" w:sz="8" w:color="CCECFF"/>
            </w:tcBorders>
          </w:tcPr>
          <w:p>
            <w:pPr>
              <w:spacing w:after="0" w:line="20" w:lineRule="exact"/>
              <w:rPr>
                <w:sz w:val="1"/>
                <w:szCs w:val="1"/>
                <w:color w:val="auto"/>
              </w:rPr>
            </w:pPr>
          </w:p>
        </w:tc>
        <w:tc>
          <w:tcPr>
            <w:tcW w:w="22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68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vMerge w:val="restart"/>
          </w:tcPr>
          <w:p>
            <w:pPr>
              <w:spacing w:after="0"/>
              <w:rPr>
                <w:sz w:val="24"/>
                <w:szCs w:val="24"/>
                <w:color w:val="auto"/>
              </w:rPr>
            </w:pPr>
          </w:p>
        </w:tc>
        <w:tc>
          <w:tcPr>
            <w:tcW w:w="224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24"/>
                <w:szCs w:val="24"/>
                <w:color w:val="auto"/>
              </w:rPr>
            </w:pPr>
          </w:p>
        </w:tc>
        <w:tc>
          <w:tcPr>
            <w:tcW w:w="21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As of September 30, 2018 Principal</w:t>
            </w:r>
          </w:p>
        </w:tc>
        <w:tc>
          <w:tcPr>
            <w:tcW w:w="0" w:type="dxa"/>
            <w:vAlign w:val="bottom"/>
          </w:tcPr>
          <w:p>
            <w:pPr>
              <w:spacing w:after="0"/>
              <w:rPr>
                <w:sz w:val="1"/>
                <w:szCs w:val="1"/>
                <w:color w:val="auto"/>
              </w:rPr>
            </w:pPr>
          </w:p>
        </w:tc>
      </w:tr>
      <w:tr>
        <w:trPr>
          <w:trHeight w:val="171"/>
        </w:trPr>
        <w:tc>
          <w:tcPr>
            <w:tcW w:w="36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2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10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CFF"/>
            </w:tcBorders>
            <w:vMerge w:val="continue"/>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400" w:type="dxa"/>
            <w:vAlign w:val="bottom"/>
            <w:tcBorders>
              <w:bottom w:val="single" w:sz="8" w:color="auto"/>
            </w:tcBorders>
          </w:tcPr>
          <w:p>
            <w:pPr>
              <w:jc w:val="center"/>
              <w:ind w:left="698"/>
              <w:spacing w:after="0"/>
              <w:rPr>
                <w:sz w:val="20"/>
                <w:szCs w:val="20"/>
                <w:color w:val="auto"/>
              </w:rPr>
            </w:pPr>
            <w:r>
              <w:rPr>
                <w:rFonts w:ascii="Arial" w:cs="Arial" w:eastAsia="Arial" w:hAnsi="Arial"/>
                <w:sz w:val="14"/>
                <w:szCs w:val="14"/>
                <w:b w:val="1"/>
                <w:bCs w:val="1"/>
                <w:color w:val="auto"/>
                <w:w w:val="89"/>
              </w:rPr>
              <w:t>Balance</w:t>
            </w: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21, 2011</w:t>
            </w:r>
          </w:p>
        </w:tc>
        <w:tc>
          <w:tcPr>
            <w:tcW w:w="240" w:type="dxa"/>
            <w:vAlign w:val="bottom"/>
            <w:shd w:val="clear" w:color="auto" w:fill="CCECFF"/>
          </w:tcPr>
          <w:p>
            <w:pPr>
              <w:spacing w:after="0"/>
              <w:rPr>
                <w:sz w:val="13"/>
                <w:szCs w:val="13"/>
                <w:color w:val="auto"/>
              </w:rPr>
            </w:pPr>
          </w:p>
        </w:tc>
        <w:tc>
          <w:tcPr>
            <w:tcW w:w="22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1, 2021</w:t>
            </w:r>
          </w:p>
        </w:tc>
        <w:tc>
          <w:tcPr>
            <w:tcW w:w="220" w:type="dxa"/>
            <w:vAlign w:val="bottom"/>
            <w:shd w:val="clear" w:color="auto" w:fill="CCECFF"/>
          </w:tcPr>
          <w:p>
            <w:pPr>
              <w:spacing w:after="0"/>
              <w:rPr>
                <w:sz w:val="13"/>
                <w:szCs w:val="13"/>
                <w:color w:val="auto"/>
              </w:rPr>
            </w:pPr>
          </w:p>
        </w:tc>
        <w:tc>
          <w:tcPr>
            <w:tcW w:w="2580" w:type="dxa"/>
            <w:vAlign w:val="bottom"/>
            <w:gridSpan w:val="2"/>
            <w:shd w:val="clear" w:color="auto" w:fill="CCECFF"/>
          </w:tcPr>
          <w:p>
            <w:pPr>
              <w:ind w:left="1840"/>
              <w:spacing w:after="0" w:line="155" w:lineRule="exact"/>
              <w:rPr>
                <w:sz w:val="20"/>
                <w:szCs w:val="20"/>
                <w:color w:val="auto"/>
              </w:rPr>
            </w:pPr>
            <w:r>
              <w:rPr>
                <w:rFonts w:ascii="Arial" w:cs="Arial" w:eastAsia="Arial" w:hAnsi="Arial"/>
                <w:sz w:val="14"/>
                <w:szCs w:val="14"/>
                <w:color w:val="auto"/>
              </w:rPr>
              <w:t>3.35%</w:t>
            </w:r>
          </w:p>
        </w:tc>
        <w:tc>
          <w:tcPr>
            <w:tcW w:w="20" w:type="dxa"/>
            <w:vAlign w:val="bottom"/>
            <w:shd w:val="clear" w:color="auto" w:fill="CCECFF"/>
          </w:tcPr>
          <w:p>
            <w:pPr>
              <w:spacing w:after="0"/>
              <w:rPr>
                <w:sz w:val="13"/>
                <w:szCs w:val="13"/>
                <w:color w:val="auto"/>
              </w:rPr>
            </w:pPr>
          </w:p>
        </w:tc>
        <w:tc>
          <w:tcPr>
            <w:tcW w:w="1400" w:type="dxa"/>
            <w:vAlign w:val="bottom"/>
            <w:shd w:val="clear" w:color="auto" w:fill="CCECFF"/>
          </w:tcPr>
          <w:p>
            <w:pPr>
              <w:jc w:val="right"/>
              <w:ind w:right="1278"/>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30,000,000</w:t>
            </w:r>
          </w:p>
        </w:tc>
        <w:tc>
          <w:tcPr>
            <w:tcW w:w="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spacing w:after="0"/>
              <w:rPr>
                <w:sz w:val="20"/>
                <w:szCs w:val="20"/>
                <w:color w:val="auto"/>
              </w:rPr>
            </w:pPr>
            <w:r>
              <w:rPr>
                <w:rFonts w:ascii="Arial" w:cs="Arial" w:eastAsia="Arial" w:hAnsi="Arial"/>
                <w:sz w:val="14"/>
                <w:szCs w:val="14"/>
                <w:color w:val="auto"/>
              </w:rPr>
              <w:t>March 23, 2016</w:t>
            </w:r>
          </w:p>
        </w:tc>
        <w:tc>
          <w:tcPr>
            <w:tcW w:w="2460" w:type="dxa"/>
            <w:vAlign w:val="bottom"/>
            <w:gridSpan w:val="2"/>
          </w:tcPr>
          <w:p>
            <w:pPr>
              <w:spacing w:after="0"/>
              <w:rPr>
                <w:sz w:val="20"/>
                <w:szCs w:val="20"/>
                <w:color w:val="auto"/>
              </w:rPr>
            </w:pPr>
            <w:r>
              <w:rPr>
                <w:rFonts w:ascii="Arial" w:cs="Arial" w:eastAsia="Arial" w:hAnsi="Arial"/>
                <w:sz w:val="14"/>
                <w:szCs w:val="14"/>
                <w:color w:val="auto"/>
              </w:rPr>
              <w:t>March 1, 2026</w:t>
            </w:r>
          </w:p>
        </w:tc>
        <w:tc>
          <w:tcPr>
            <w:tcW w:w="2100" w:type="dxa"/>
            <w:vAlign w:val="bottom"/>
          </w:tcPr>
          <w:p>
            <w:pPr>
              <w:ind w:left="1840"/>
              <w:spacing w:after="0"/>
              <w:rPr>
                <w:sz w:val="20"/>
                <w:szCs w:val="20"/>
                <w:color w:val="auto"/>
              </w:rPr>
            </w:pPr>
            <w:r>
              <w:rPr>
                <w:rFonts w:ascii="Arial" w:cs="Arial" w:eastAsia="Arial" w:hAnsi="Arial"/>
                <w:sz w:val="14"/>
                <w:szCs w:val="14"/>
                <w:color w:val="auto"/>
                <w:w w:val="87"/>
              </w:rPr>
              <w:t>2.86</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21, 2016</w:t>
            </w:r>
          </w:p>
        </w:tc>
        <w:tc>
          <w:tcPr>
            <w:tcW w:w="24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2026</w:t>
            </w:r>
          </w:p>
        </w:tc>
        <w:tc>
          <w:tcPr>
            <w:tcW w:w="2100" w:type="dxa"/>
            <w:vAlign w:val="bottom"/>
            <w:shd w:val="clear" w:color="auto" w:fill="CCECFF"/>
          </w:tcPr>
          <w:p>
            <w:pPr>
              <w:ind w:left="1840"/>
              <w:spacing w:after="0"/>
              <w:rPr>
                <w:sz w:val="20"/>
                <w:szCs w:val="20"/>
                <w:color w:val="auto"/>
              </w:rPr>
            </w:pPr>
            <w:r>
              <w:rPr>
                <w:rFonts w:ascii="Arial" w:cs="Arial" w:eastAsia="Arial" w:hAnsi="Arial"/>
                <w:sz w:val="14"/>
                <w:szCs w:val="14"/>
                <w:color w:val="auto"/>
                <w:w w:val="87"/>
              </w:rPr>
              <w:t>2.41</w:t>
            </w:r>
          </w:p>
        </w:tc>
        <w:tc>
          <w:tcPr>
            <w:tcW w:w="4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4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spacing w:after="0"/>
              <w:rPr>
                <w:sz w:val="20"/>
                <w:szCs w:val="20"/>
                <w:color w:val="auto"/>
              </w:rPr>
            </w:pPr>
            <w:r>
              <w:rPr>
                <w:rFonts w:ascii="Arial" w:cs="Arial" w:eastAsia="Arial" w:hAnsi="Arial"/>
                <w:sz w:val="14"/>
                <w:szCs w:val="14"/>
                <w:color w:val="auto"/>
              </w:rPr>
              <w:t>September 20, 2017</w:t>
            </w:r>
          </w:p>
        </w:tc>
        <w:tc>
          <w:tcPr>
            <w:tcW w:w="2460" w:type="dxa"/>
            <w:vAlign w:val="bottom"/>
            <w:gridSpan w:val="2"/>
          </w:tcPr>
          <w:p>
            <w:pPr>
              <w:spacing w:after="0"/>
              <w:rPr>
                <w:sz w:val="20"/>
                <w:szCs w:val="20"/>
                <w:color w:val="auto"/>
              </w:rPr>
            </w:pPr>
            <w:r>
              <w:rPr>
                <w:rFonts w:ascii="Arial" w:cs="Arial" w:eastAsia="Arial" w:hAnsi="Arial"/>
                <w:sz w:val="14"/>
                <w:szCs w:val="14"/>
                <w:color w:val="auto"/>
              </w:rPr>
              <w:t>September 1, 2027</w:t>
            </w:r>
          </w:p>
        </w:tc>
        <w:tc>
          <w:tcPr>
            <w:tcW w:w="2100" w:type="dxa"/>
            <w:vAlign w:val="bottom"/>
          </w:tcPr>
          <w:p>
            <w:pPr>
              <w:ind w:left="1840"/>
              <w:spacing w:after="0"/>
              <w:rPr>
                <w:sz w:val="20"/>
                <w:szCs w:val="20"/>
                <w:color w:val="auto"/>
              </w:rPr>
            </w:pPr>
            <w:r>
              <w:rPr>
                <w:rFonts w:ascii="Arial" w:cs="Arial" w:eastAsia="Arial" w:hAnsi="Arial"/>
                <w:sz w:val="14"/>
                <w:szCs w:val="14"/>
                <w:color w:val="auto"/>
                <w:w w:val="87"/>
              </w:rPr>
              <w:t>2.87</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21, 2018</w:t>
            </w:r>
          </w:p>
        </w:tc>
        <w:tc>
          <w:tcPr>
            <w:tcW w:w="24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1, 2028</w:t>
            </w:r>
          </w:p>
        </w:tc>
        <w:tc>
          <w:tcPr>
            <w:tcW w:w="2100" w:type="dxa"/>
            <w:vAlign w:val="bottom"/>
            <w:tcBorders>
              <w:bottom w:val="single" w:sz="8" w:color="auto"/>
            </w:tcBorders>
            <w:shd w:val="clear" w:color="auto" w:fill="CCECFF"/>
          </w:tcPr>
          <w:p>
            <w:pPr>
              <w:ind w:left="1840"/>
              <w:spacing w:after="0"/>
              <w:rPr>
                <w:sz w:val="20"/>
                <w:szCs w:val="20"/>
                <w:color w:val="auto"/>
              </w:rPr>
            </w:pPr>
            <w:r>
              <w:rPr>
                <w:rFonts w:ascii="Arial" w:cs="Arial" w:eastAsia="Arial" w:hAnsi="Arial"/>
                <w:sz w:val="14"/>
                <w:szCs w:val="14"/>
                <w:color w:val="auto"/>
                <w:w w:val="87"/>
              </w:rPr>
              <w:t>3.53</w:t>
            </w:r>
          </w:p>
        </w:tc>
        <w:tc>
          <w:tcPr>
            <w:tcW w:w="4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spacing w:after="0"/>
              <w:rPr>
                <w:sz w:val="14"/>
                <w:szCs w:val="14"/>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71,000,000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20" w:type="dxa"/>
            <w:vAlign w:val="bottom"/>
            <w:gridSpan w:val="2"/>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80" w:type="dxa"/>
            <w:vAlign w:val="bottom"/>
            <w:gridSpan w:val="2"/>
          </w:tcPr>
          <w:p>
            <w:pPr>
              <w:ind w:left="1840"/>
              <w:spacing w:after="0" w:line="155" w:lineRule="exact"/>
              <w:rPr>
                <w:sz w:val="20"/>
                <w:szCs w:val="20"/>
                <w:color w:val="auto"/>
              </w:rPr>
            </w:pPr>
            <w:r>
              <w:rPr>
                <w:rFonts w:ascii="Arial" w:cs="Arial" w:eastAsia="Arial" w:hAnsi="Arial"/>
                <w:sz w:val="14"/>
                <w:szCs w:val="14"/>
                <w:color w:val="auto"/>
              </w:rPr>
              <w:t>3.15%</w:t>
            </w:r>
          </w:p>
        </w:tc>
        <w:tc>
          <w:tcPr>
            <w:tcW w:w="20" w:type="dxa"/>
            <w:vAlign w:val="bottom"/>
          </w:tcPr>
          <w:p>
            <w:pPr>
              <w:spacing w:after="0"/>
              <w:rPr>
                <w:sz w:val="13"/>
                <w:szCs w:val="13"/>
                <w:color w:val="auto"/>
              </w:rPr>
            </w:pPr>
          </w:p>
        </w:tc>
        <w:tc>
          <w:tcPr>
            <w:tcW w:w="1400" w:type="dxa"/>
            <w:vAlign w:val="bottom"/>
          </w:tcPr>
          <w:p>
            <w:pPr>
              <w:jc w:val="right"/>
              <w:ind w:right="1278"/>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180,000,000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2"/>
          <w:szCs w:val="12"/>
          <w:color w:val="auto"/>
        </w:rPr>
      </w:pPr>
      <w:r>
        <w:rPr>
          <w:rFonts w:ascii="Arial" w:cs="Arial" w:eastAsia="Arial" w:hAnsi="Arial"/>
          <w:sz w:val="14"/>
          <w:szCs w:val="14"/>
          <w:color w:val="auto"/>
        </w:rPr>
        <w:t>Excluding 3.43%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03" w:lineRule="exact"/>
        <w:rPr>
          <w:sz w:val="20"/>
          <w:szCs w:val="20"/>
          <w:color w:val="auto"/>
        </w:rPr>
      </w:pPr>
    </w:p>
    <w:p>
      <w:pPr>
        <w:ind w:right="220" w:firstLine="434"/>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March 31, 2019, our SBIC Funds were in compliance with their regulatory requirements.</w:t>
      </w:r>
    </w:p>
    <w:p>
      <w:pPr>
        <w:spacing w:after="0" w:line="116" w:lineRule="exact"/>
        <w:rPr>
          <w:sz w:val="20"/>
          <w:szCs w:val="20"/>
          <w:color w:val="auto"/>
        </w:rPr>
      </w:pPr>
    </w:p>
    <w:p>
      <w:pPr>
        <w:ind w:right="220" w:firstLine="434"/>
        <w:spacing w:after="0" w:line="283" w:lineRule="auto"/>
        <w:rPr>
          <w:sz w:val="20"/>
          <w:szCs w:val="20"/>
          <w:color w:val="auto"/>
        </w:rPr>
      </w:pPr>
      <w:r>
        <w:rPr>
          <w:rFonts w:ascii="Arial" w:cs="Arial" w:eastAsia="Arial" w:hAnsi="Arial"/>
          <w:sz w:val="12"/>
          <w:szCs w:val="12"/>
          <w:color w:val="auto"/>
        </w:rPr>
        <w:t>In accordance with the 1940 Act, with certain limited exceptions, PennantPark Investment is only allowed to borrow amounts such that our required 150% asset coverage ratio is met after such borrowing. As of March 31, 2019 and September 30, 2018,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150% which, while providing increased investment flexibility, also increases our exposure to risks associated with leverage.</w:t>
      </w:r>
    </w:p>
    <w:p>
      <w:pPr>
        <w:spacing w:after="0" w:line="92" w:lineRule="exact"/>
        <w:rPr>
          <w:sz w:val="20"/>
          <w:szCs w:val="20"/>
          <w:color w:val="auto"/>
        </w:rPr>
      </w:pPr>
    </w:p>
    <w:p>
      <w:pPr>
        <w:jc w:val="both"/>
        <w:ind w:right="200" w:firstLine="434"/>
        <w:spacing w:after="0" w:line="253" w:lineRule="auto"/>
        <w:rPr>
          <w:sz w:val="20"/>
          <w:szCs w:val="20"/>
          <w:color w:val="auto"/>
        </w:rPr>
      </w:pPr>
      <w:r>
        <w:rPr>
          <w:rFonts w:ascii="Arial" w:cs="Arial" w:eastAsia="Arial" w:hAnsi="Arial"/>
          <w:sz w:val="14"/>
          <w:szCs w:val="14"/>
          <w:color w:val="auto"/>
        </w:rPr>
        <w:t>As of March 31, 2019 and September 30, 2018, we had cash and cash equivalents of $30.3 million and $19.5 million, respectively, available for investing and general corporate purposes. We believe our liquidity and capital resources are sufficient to take advantage of market opportunities.</w:t>
      </w:r>
    </w:p>
    <w:p>
      <w:pPr>
        <w:spacing w:after="0" w:line="106" w:lineRule="exact"/>
        <w:rPr>
          <w:sz w:val="20"/>
          <w:szCs w:val="20"/>
          <w:color w:val="auto"/>
        </w:rPr>
      </w:pPr>
    </w:p>
    <w:p>
      <w:pPr>
        <w:jc w:val="both"/>
        <w:ind w:right="200" w:firstLine="434"/>
        <w:spacing w:after="0" w:line="253" w:lineRule="auto"/>
        <w:rPr>
          <w:sz w:val="20"/>
          <w:szCs w:val="20"/>
          <w:color w:val="auto"/>
        </w:rPr>
      </w:pPr>
      <w:r>
        <w:rPr>
          <w:rFonts w:ascii="Arial" w:cs="Arial" w:eastAsia="Arial" w:hAnsi="Arial"/>
          <w:sz w:val="14"/>
          <w:szCs w:val="14"/>
          <w:color w:val="auto"/>
        </w:rPr>
        <w:t>Our operating activities used cash of $121.3 million for the six months ended March 31, 2019, and our financing activities provided cash of $132.0 million for the same period. Our operating activities used cash primarily for our investment activities and our financing activities provided cash primarily from net borrowings under the Credit Facilities.</w:t>
      </w:r>
    </w:p>
    <w:p>
      <w:pPr>
        <w:spacing w:after="0" w:line="106" w:lineRule="exact"/>
        <w:rPr>
          <w:sz w:val="20"/>
          <w:szCs w:val="20"/>
          <w:color w:val="auto"/>
        </w:rPr>
      </w:pPr>
    </w:p>
    <w:p>
      <w:pPr>
        <w:jc w:val="both"/>
        <w:ind w:right="200" w:firstLine="434"/>
        <w:spacing w:after="0" w:line="238" w:lineRule="auto"/>
        <w:rPr>
          <w:sz w:val="20"/>
          <w:szCs w:val="20"/>
          <w:color w:val="auto"/>
        </w:rPr>
      </w:pPr>
      <w:r>
        <w:rPr>
          <w:rFonts w:ascii="Arial" w:cs="Arial" w:eastAsia="Arial" w:hAnsi="Arial"/>
          <w:sz w:val="14"/>
          <w:szCs w:val="14"/>
          <w:color w:val="auto"/>
        </w:rPr>
        <w:t>Our operating activities provided cash of $196.1 million for the six months ended March 31, 2018, and our financing activities used cash of $64.2 million for the same period. Our operating activities provided cash from sales and repayments on our investments and our financing activities used cash primarily to pay distributions to stockholders and for net repayments under the SunTrust Credit Facility.</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36" w:lineRule="exact"/>
        <w:rPr>
          <w:sz w:val="20"/>
          <w:szCs w:val="20"/>
          <w:color w:val="auto"/>
        </w:rPr>
      </w:pPr>
    </w:p>
    <w:p>
      <w:pPr>
        <w:ind w:right="460" w:firstLine="434"/>
        <w:spacing w:after="0" w:line="253" w:lineRule="auto"/>
        <w:rPr>
          <w:sz w:val="20"/>
          <w:szCs w:val="20"/>
          <w:color w:val="auto"/>
        </w:rPr>
      </w:pPr>
      <w:r>
        <w:rPr>
          <w:rFonts w:ascii="Arial" w:cs="Arial" w:eastAsia="Arial" w:hAnsi="Arial"/>
          <w:sz w:val="14"/>
          <w:szCs w:val="14"/>
          <w:color w:val="auto"/>
        </w:rPr>
        <w:t>A summary of our significant contractual payment obligations at cost as of March 31, 2019, including borrowings under our various debt facilities and other contractual obligations,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6"/>
          </w:tcPr>
          <w:p>
            <w:pPr>
              <w:ind w:left="960"/>
              <w:spacing w:after="0"/>
              <w:rPr>
                <w:sz w:val="20"/>
                <w:szCs w:val="20"/>
                <w:color w:val="auto"/>
              </w:rPr>
            </w:pPr>
            <w:r>
              <w:rPr>
                <w:rFonts w:ascii="Arial" w:cs="Arial" w:eastAsia="Arial" w:hAnsi="Arial"/>
                <w:sz w:val="14"/>
                <w:szCs w:val="14"/>
                <w:b w:val="1"/>
                <w:bCs w:val="1"/>
                <w:color w:val="auto"/>
                <w:w w:val="94"/>
              </w:rPr>
              <w:t>Payments due by period (in millions)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ind w:left="40"/>
              <w:spacing w:after="0"/>
              <w:rPr>
                <w:sz w:val="20"/>
                <w:szCs w:val="20"/>
                <w:color w:val="auto"/>
              </w:rPr>
            </w:pPr>
            <w:r>
              <w:rPr>
                <w:rFonts w:ascii="Arial" w:cs="Arial" w:eastAsia="Arial" w:hAnsi="Arial"/>
                <w:sz w:val="14"/>
                <w:szCs w:val="14"/>
                <w:b w:val="1"/>
                <w:bCs w:val="1"/>
                <w:color w:val="auto"/>
              </w:rPr>
              <w:t>Less than 1 year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ind w:left="140"/>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More than 5 years</w:t>
            </w:r>
          </w:p>
        </w:tc>
      </w:tr>
      <w:tr>
        <w:trPr>
          <w:trHeight w:val="155"/>
        </w:trPr>
        <w:tc>
          <w:tcPr>
            <w:tcW w:w="3680" w:type="dxa"/>
            <w:vAlign w:val="bottom"/>
            <w:tcBorders>
              <w:top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color w:val="auto"/>
              </w:rPr>
              <w:t>BNP Credit Facility</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142.5</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ind w:left="104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ind w:left="900"/>
              <w:spacing w:after="0" w:line="155" w:lineRule="exact"/>
              <w:rPr>
                <w:sz w:val="20"/>
                <w:szCs w:val="20"/>
                <w:color w:val="auto"/>
              </w:rPr>
            </w:pPr>
            <w:r>
              <w:rPr>
                <w:rFonts w:ascii="Arial" w:cs="Arial" w:eastAsia="Arial" w:hAnsi="Arial"/>
                <w:sz w:val="14"/>
                <w:szCs w:val="14"/>
                <w:color w:val="auto"/>
                <w:w w:val="99"/>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142.5</w:t>
            </w:r>
          </w:p>
        </w:tc>
        <w:tc>
          <w:tcPr>
            <w:tcW w:w="2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3680" w:type="dxa"/>
            <w:vAlign w:val="bottom"/>
            <w:gridSpan w:val="3"/>
          </w:tcPr>
          <w:p>
            <w:pPr>
              <w:spacing w:after="0"/>
              <w:rPr>
                <w:sz w:val="20"/>
                <w:szCs w:val="20"/>
                <w:color w:val="auto"/>
              </w:rPr>
            </w:pPr>
            <w:r>
              <w:rPr>
                <w:rFonts w:ascii="Arial" w:cs="Arial" w:eastAsia="Arial" w:hAnsi="Arial"/>
                <w:sz w:val="14"/>
                <w:szCs w:val="14"/>
                <w:color w:val="auto"/>
              </w:rPr>
              <w:t>SunTrust Credit Facility</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389.1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ind w:left="1040"/>
              <w:spacing w:after="0"/>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ind w:left="900"/>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389.1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3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SBA debentures</w:t>
            </w:r>
          </w:p>
        </w:tc>
        <w:tc>
          <w:tcPr>
            <w:tcW w:w="86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150.0</w:t>
            </w:r>
          </w:p>
        </w:tc>
        <w:tc>
          <w:tcPr>
            <w:tcW w:w="2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80" w:type="dxa"/>
            <w:vAlign w:val="bottom"/>
            <w:shd w:val="clear" w:color="auto" w:fill="CCECFF"/>
          </w:tcPr>
          <w:p>
            <w:pPr>
              <w:ind w:left="1040"/>
              <w:spacing w:after="0"/>
              <w:rPr>
                <w:sz w:val="20"/>
                <w:szCs w:val="20"/>
                <w:color w:val="auto"/>
              </w:rPr>
            </w:pPr>
            <w:r>
              <w:rPr>
                <w:rFonts w:ascii="Arial" w:cs="Arial" w:eastAsia="Arial" w:hAnsi="Arial"/>
                <w:sz w:val="14"/>
                <w:szCs w:val="14"/>
                <w:color w:val="auto"/>
                <w:w w:val="85"/>
              </w:rPr>
              <w:t>—</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shd w:val="clear" w:color="auto" w:fill="CCECFF"/>
          </w:tcPr>
          <w:p>
            <w:pPr>
              <w:ind w:left="900"/>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150.0</w:t>
            </w:r>
          </w:p>
        </w:tc>
        <w:tc>
          <w:tcPr>
            <w:tcW w:w="120" w:type="dxa"/>
            <w:vAlign w:val="bottom"/>
            <w:shd w:val="clear" w:color="auto" w:fill="CCECFF"/>
          </w:tcPr>
          <w:p>
            <w:pPr>
              <w:spacing w:after="0"/>
              <w:rPr>
                <w:sz w:val="14"/>
                <w:szCs w:val="14"/>
                <w:color w:val="auto"/>
              </w:rPr>
            </w:pPr>
          </w:p>
        </w:tc>
      </w:tr>
      <w:tr>
        <w:trPr>
          <w:trHeight w:val="155"/>
        </w:trPr>
        <w:tc>
          <w:tcPr>
            <w:tcW w:w="3680" w:type="dxa"/>
            <w:vAlign w:val="bottom"/>
            <w:gridSpan w:val="3"/>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8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681.6</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ind w:left="104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ind w:left="900"/>
              <w:spacing w:after="0" w:line="155" w:lineRule="exact"/>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531.6</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150.0</w:t>
            </w:r>
          </w:p>
        </w:tc>
        <w:tc>
          <w:tcPr>
            <w:tcW w:w="120" w:type="dxa"/>
            <w:vAlign w:val="bottom"/>
          </w:tcPr>
          <w:p>
            <w:pPr>
              <w:spacing w:after="0"/>
              <w:rPr>
                <w:sz w:val="13"/>
                <w:szCs w:val="13"/>
                <w:color w:val="auto"/>
              </w:rPr>
            </w:pPr>
          </w:p>
        </w:tc>
      </w:tr>
      <w:tr>
        <w:trPr>
          <w:trHeight w:val="162"/>
        </w:trPr>
        <w:tc>
          <w:tcPr>
            <w:tcW w:w="3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860" w:type="dxa"/>
            <w:vAlign w:val="bottom"/>
            <w:tcBorders>
              <w:bottom w:val="single" w:sz="8" w:color="auto"/>
            </w:tcBorders>
            <w:shd w:val="clear" w:color="auto" w:fill="CCECFF"/>
          </w:tcPr>
          <w:p>
            <w:pPr>
              <w:spacing w:after="0"/>
              <w:rPr>
                <w:sz w:val="14"/>
                <w:szCs w:val="14"/>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51.4</w:t>
            </w:r>
          </w:p>
        </w:tc>
        <w:tc>
          <w:tcPr>
            <w:tcW w:w="26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ind w:left="1040"/>
              <w:spacing w:after="0"/>
              <w:rPr>
                <w:sz w:val="20"/>
                <w:szCs w:val="20"/>
                <w:color w:val="auto"/>
              </w:rPr>
            </w:pPr>
            <w:r>
              <w:rPr>
                <w:rFonts w:ascii="Arial" w:cs="Arial" w:eastAsia="Arial" w:hAnsi="Arial"/>
                <w:sz w:val="14"/>
                <w:szCs w:val="14"/>
                <w:color w:val="auto"/>
                <w:w w:val="85"/>
              </w:rPr>
              <w:t>—</w:t>
            </w:r>
          </w:p>
        </w:tc>
        <w:tc>
          <w:tcPr>
            <w:tcW w:w="26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ind w:left="900"/>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35.6</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6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CFF"/>
          </w:tcPr>
          <w:p>
            <w:pPr>
              <w:spacing w:after="0"/>
              <w:rPr>
                <w:sz w:val="14"/>
                <w:szCs w:val="14"/>
                <w:color w:val="auto"/>
              </w:rPr>
            </w:pPr>
          </w:p>
        </w:tc>
      </w:tr>
      <w:tr>
        <w:trPr>
          <w:trHeight w:val="156"/>
        </w:trPr>
        <w:tc>
          <w:tcPr>
            <w:tcW w:w="3680" w:type="dxa"/>
            <w:vAlign w:val="bottom"/>
            <w:gridSpan w:val="3"/>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60" w:type="dxa"/>
            <w:vAlign w:val="bottom"/>
            <w:tcBorders>
              <w:bottom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733.0</w:t>
            </w:r>
          </w:p>
        </w:tc>
        <w:tc>
          <w:tcPr>
            <w:tcW w:w="26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ind w:left="104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ind w:left="900"/>
              <w:spacing w:after="0" w:line="155" w:lineRule="exact"/>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567.2</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165.8</w:t>
            </w:r>
          </w:p>
        </w:tc>
        <w:tc>
          <w:tcPr>
            <w:tcW w:w="120" w:type="dxa"/>
            <w:vAlign w:val="bottom"/>
          </w:tcPr>
          <w:p>
            <w:pPr>
              <w:spacing w:after="0"/>
              <w:rPr>
                <w:sz w:val="13"/>
                <w:szCs w:val="13"/>
                <w:color w:val="auto"/>
              </w:rPr>
            </w:pPr>
          </w:p>
        </w:tc>
      </w:tr>
      <w:tr>
        <w:trPr>
          <w:trHeight w:val="20"/>
        </w:trPr>
        <w:tc>
          <w:tcPr>
            <w:tcW w:w="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380" w:type="dxa"/>
            <w:vAlign w:val="bottom"/>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89" w:lineRule="exact"/>
        <w:rPr>
          <w:sz w:val="20"/>
          <w:szCs w:val="20"/>
          <w:color w:val="auto"/>
        </w:rPr>
      </w:pPr>
    </w:p>
    <w:p>
      <w:pPr>
        <w:ind w:left="380" w:hanging="372"/>
        <w:spacing w:after="0" w:line="230" w:lineRule="auto"/>
        <w:tabs>
          <w:tab w:leader="none" w:pos="380" w:val="left"/>
        </w:tabs>
        <w:numPr>
          <w:ilvl w:val="0"/>
          <w:numId w:val="27"/>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March 31, 2019, was 4.37%, exclusive of the fee on the undrawn commitment on the SunTrust Credit Facility, debt issuance costs on the BNP Credit Facility and 3.43% of upfront fees on SBA debentures.</w:t>
      </w:r>
    </w:p>
    <w:p>
      <w:pPr>
        <w:ind w:left="380" w:hanging="372"/>
        <w:spacing w:after="0"/>
        <w:tabs>
          <w:tab w:leader="none" w:pos="380" w:val="left"/>
        </w:tabs>
        <w:numPr>
          <w:ilvl w:val="0"/>
          <w:numId w:val="27"/>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 and Note 11 of our Consolidated Financial Statements</w:t>
      </w:r>
    </w:p>
    <w:p>
      <w:pPr>
        <w:spacing w:after="0" w:line="111" w:lineRule="exact"/>
        <w:rPr>
          <w:sz w:val="20"/>
          <w:szCs w:val="20"/>
          <w:color w:val="auto"/>
        </w:rPr>
      </w:pPr>
    </w:p>
    <w:p>
      <w:pPr>
        <w:ind w:right="200" w:firstLine="434"/>
        <w:spacing w:after="0" w:line="253"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2019 and amended and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line="233" w:lineRule="auto"/>
        <w:rPr>
          <w:sz w:val="20"/>
          <w:szCs w:val="20"/>
          <w:color w:val="auto"/>
        </w:rPr>
      </w:pPr>
      <w:r>
        <w:rPr>
          <w:rFonts w:ascii="Arial" w:cs="Arial" w:eastAsia="Arial" w:hAnsi="Arial"/>
          <w:sz w:val="14"/>
          <w:szCs w:val="14"/>
          <w:color w:val="auto"/>
        </w:rPr>
        <w:t>restated in April 2019, PennantPark Investment Advisers serves as our investment adviser.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17" w:lineRule="exact"/>
        <w:rPr>
          <w:sz w:val="20"/>
          <w:szCs w:val="20"/>
          <w:color w:val="auto"/>
        </w:rPr>
      </w:pPr>
    </w:p>
    <w:p>
      <w:pPr>
        <w:ind w:right="140" w:firstLine="434"/>
        <w:spacing w:after="0" w:line="229"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2019, the Administrator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8" w:lineRule="exact"/>
        <w:rPr>
          <w:sz w:val="20"/>
          <w:szCs w:val="20"/>
          <w:color w:val="auto"/>
        </w:rPr>
      </w:pPr>
    </w:p>
    <w:p>
      <w:pPr>
        <w:ind w:right="300" w:firstLine="434"/>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136" w:lineRule="exact"/>
        <w:rPr>
          <w:sz w:val="20"/>
          <w:szCs w:val="20"/>
          <w:color w:val="auto"/>
        </w:rPr>
      </w:pPr>
    </w:p>
    <w:p>
      <w:pPr>
        <w:ind w:right="40" w:firstLine="452"/>
        <w:spacing w:after="0" w:line="255" w:lineRule="auto"/>
        <w:rPr>
          <w:sz w:val="20"/>
          <w:szCs w:val="20"/>
          <w:color w:val="auto"/>
        </w:rPr>
      </w:pPr>
      <w:r>
        <w:rPr>
          <w:rFonts w:ascii="Arial" w:cs="Arial" w:eastAsia="Arial" w:hAnsi="Arial"/>
          <w:sz w:val="13"/>
          <w:szCs w:val="13"/>
          <w:color w:val="auto"/>
        </w:rPr>
        <w:t>On April 12, 2019, we entered into an amended and restated investment advisory management agreement with the Investment Adviser (the “A&amp;R Investment Management Agreement”). Pursuant to the A&amp;R Investment Management Agreement, we reduced our base management fee on gross assets that exceed 200% of our total net assets as of the immediately preceding quarter-end from 1.50% to 1.00%. The A&amp;R Investment Management Agreement is effective as of February 5, 2019, the date our stockholders approved the application of the modified asset coverage requirements set forth in Section 61(a)(2) of the 1940 Act, as modified by Consolidated Appropriations Act of 2018 (which included the SBCAA).</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Off-Balance-Sheet Arrangements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off-balance-sheet arrangements other than our funding requirements for the unfunded investments described above.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36" w:lineRule="exact"/>
        <w:rPr>
          <w:sz w:val="20"/>
          <w:szCs w:val="20"/>
          <w:color w:val="auto"/>
        </w:rPr>
      </w:pPr>
    </w:p>
    <w:p>
      <w:pPr>
        <w:ind w:right="40" w:firstLine="434"/>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15" w:lineRule="exact"/>
        <w:rPr>
          <w:sz w:val="20"/>
          <w:szCs w:val="20"/>
          <w:color w:val="auto"/>
        </w:rPr>
      </w:pPr>
    </w:p>
    <w:p>
      <w:pPr>
        <w:ind w:right="60" w:firstLine="434"/>
        <w:spacing w:after="0" w:line="231"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16" w:lineRule="exact"/>
        <w:rPr>
          <w:sz w:val="20"/>
          <w:szCs w:val="20"/>
          <w:color w:val="auto"/>
        </w:rPr>
      </w:pPr>
    </w:p>
    <w:p>
      <w:pPr>
        <w:ind w:right="100" w:firstLine="434"/>
        <w:spacing w:after="0" w:line="251" w:lineRule="auto"/>
        <w:rPr>
          <w:sz w:val="20"/>
          <w:szCs w:val="20"/>
          <w:color w:val="auto"/>
        </w:rPr>
      </w:pPr>
      <w:r>
        <w:rPr>
          <w:rFonts w:ascii="Arial" w:cs="Arial" w:eastAsia="Arial" w:hAnsi="Arial"/>
          <w:sz w:val="13"/>
          <w:szCs w:val="13"/>
          <w:color w:val="auto"/>
        </w:rPr>
        <w:t>During the three and six months ended March 31, 2019, we declared distributions of $0.18 and $0.36 per share, for total distributions of $12.1 million and $24.3 million, respectively. For the same periods in the prior year, we declared distributions of $0.18 and $0.36 per share, respectively, for total distributions of $12.8 million and $25.6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our board of directors.</w:t>
      </w:r>
    </w:p>
    <w:p>
      <w:pPr>
        <w:spacing w:after="0" w:line="136" w:lineRule="exact"/>
        <w:rPr>
          <w:sz w:val="20"/>
          <w:szCs w:val="20"/>
          <w:color w:val="auto"/>
        </w:rPr>
      </w:pPr>
    </w:p>
    <w:p>
      <w:pPr>
        <w:ind w:right="480" w:firstLine="434"/>
        <w:spacing w:after="0" w:line="290"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distribution, then stockholders’ cash distributions will be automatically reinvested in additional shares of our common stock, unless stockholders specifically “opt out” of the dividend reinvestment plan so as to receive cash distributions.</w:t>
      </w:r>
    </w:p>
    <w:p>
      <w:pPr>
        <w:spacing w:after="0" w:line="84" w:lineRule="exact"/>
        <w:rPr>
          <w:sz w:val="20"/>
          <w:szCs w:val="20"/>
          <w:color w:val="auto"/>
        </w:rPr>
      </w:pPr>
    </w:p>
    <w:p>
      <w:pPr>
        <w:ind w:right="20" w:firstLine="434"/>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36"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In August 2018, the FASB issued ASU 2018-13, which changed the fair value measurement disclosure requirements of ASC 820. The key provisions include new, eliminated and modified disclosure requirements. The new guidance is effective for fiscal years beginning after December 15, 2019,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17" w:lineRule="exact"/>
        <w:rPr>
          <w:sz w:val="20"/>
          <w:szCs w:val="20"/>
          <w:color w:val="auto"/>
        </w:rPr>
      </w:pPr>
    </w:p>
    <w:p>
      <w:pPr>
        <w:ind w:right="100" w:firstLine="434"/>
        <w:spacing w:after="0" w:line="233" w:lineRule="auto"/>
        <w:rPr>
          <w:sz w:val="20"/>
          <w:szCs w:val="20"/>
          <w:color w:val="auto"/>
        </w:rPr>
      </w:pPr>
      <w:r>
        <w:rPr>
          <w:rFonts w:ascii="Arial" w:cs="Arial" w:eastAsia="Arial" w:hAnsi="Arial"/>
          <w:sz w:val="14"/>
          <w:szCs w:val="14"/>
          <w:color w:val="auto"/>
        </w:rPr>
        <w:t>In August 2018, the SEC issued the Final Rule Release, amending certain disclosure requirements that were redundant, duplicative, overlapping, outdated or superseded. The amendments are intended to facilitate the disclosure of information to investors and simplify compliance. The Final Rule Release became effective for all filings on or after November 5, 2018. We adopted these amendments as currently required and these are reflected in the Company’s consolidated financial statements and related disclosures. Certain prior year information has been adjusted to conform to these amendments.</w:t>
      </w:r>
    </w:p>
    <w:p>
      <w:pPr>
        <w:spacing w:after="0" w:line="113"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40" w:lineRule="exact"/>
        <w:rPr>
          <w:sz w:val="20"/>
          <w:szCs w:val="20"/>
          <w:color w:val="auto"/>
        </w:rPr>
      </w:pPr>
    </w:p>
    <w:p>
      <w:pPr>
        <w:ind w:right="140" w:firstLine="434"/>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March 31, 2019, our debt portfolio consisted of 89% variable-rate investments and 11%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200" w:lineRule="exact"/>
        <w:rPr>
          <w:sz w:val="20"/>
          <w:szCs w:val="20"/>
          <w:color w:val="auto"/>
        </w:rPr>
      </w:pPr>
    </w:p>
    <w:p>
      <w:pPr>
        <w:spacing w:after="0" w:line="28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33" w:name="page34"/>
    <w:bookmarkEnd w:id="33"/>
    <w:p>
      <w:pPr>
        <w:ind w:right="440" w:firstLine="434"/>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Change In Interest Income,</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Change In Interest Income,</w:t>
            </w: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 In Interest Rates</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Net Of Interest Expense</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Expense Per Share</w:t>
            </w:r>
          </w:p>
        </w:tc>
        <w:tc>
          <w:tcPr>
            <w:tcW w:w="0" w:type="dxa"/>
            <w:vAlign w:val="bottom"/>
          </w:tcPr>
          <w:p>
            <w:pPr>
              <w:spacing w:after="0"/>
              <w:rPr>
                <w:sz w:val="1"/>
                <w:szCs w:val="1"/>
                <w:color w:val="auto"/>
              </w:rPr>
            </w:pPr>
          </w:p>
        </w:tc>
      </w:tr>
      <w:tr>
        <w:trPr>
          <w:trHeight w:val="155"/>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28"/>
              <w:spacing w:after="0" w:line="155" w:lineRule="exact"/>
              <w:rPr>
                <w:sz w:val="20"/>
                <w:szCs w:val="20"/>
                <w:color w:val="auto"/>
              </w:rPr>
            </w:pPr>
            <w:r>
              <w:rPr>
                <w:rFonts w:ascii="Arial" w:cs="Arial" w:eastAsia="Arial" w:hAnsi="Arial"/>
                <w:sz w:val="14"/>
                <w:szCs w:val="14"/>
                <w:color w:val="auto"/>
                <w:w w:val="76"/>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(5,721)</w:t>
            </w: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(0.09)</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5,721</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11,442</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17,163</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22,905</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00" w:firstLine="434"/>
        <w:spacing w:after="0" w:line="264" w:lineRule="auto"/>
        <w:rPr>
          <w:sz w:val="20"/>
          <w:szCs w:val="20"/>
          <w:color w:val="auto"/>
        </w:rPr>
      </w:pPr>
      <w:r>
        <w:rPr>
          <w:rFonts w:ascii="Arial" w:cs="Arial" w:eastAsia="Arial" w:hAnsi="Arial"/>
          <w:sz w:val="13"/>
          <w:szCs w:val="13"/>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01" w:lineRule="exact"/>
        <w:rPr>
          <w:sz w:val="20"/>
          <w:szCs w:val="20"/>
          <w:color w:val="auto"/>
        </w:rPr>
      </w:pPr>
    </w:p>
    <w:p>
      <w:pPr>
        <w:jc w:val="both"/>
        <w:ind w:right="100" w:firstLine="434"/>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5" w:lineRule="exact"/>
        <w:rPr>
          <w:sz w:val="20"/>
          <w:szCs w:val="20"/>
          <w:color w:val="auto"/>
        </w:rPr>
      </w:pPr>
    </w:p>
    <w:p>
      <w:pPr>
        <w:ind w:right="100" w:firstLine="434"/>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Facilities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03"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40" w:lineRule="exact"/>
        <w:rPr>
          <w:sz w:val="20"/>
          <w:szCs w:val="20"/>
          <w:color w:val="auto"/>
        </w:rPr>
      </w:pPr>
    </w:p>
    <w:p>
      <w:pPr>
        <w:ind w:right="300" w:firstLine="434"/>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ind w:right="380" w:firstLine="434"/>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March 31, 2019 that have materially affected, or are reasonably likely to materially affect, our internal control over financial reporting.</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color w:val="auto"/>
        </w:rPr>
        <w:t>PART II – OTHER INFORMATION</w:t>
      </w:r>
    </w:p>
    <w:p>
      <w:pPr>
        <w:spacing w:after="0" w:line="136"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40" w:lineRule="exact"/>
        <w:rPr>
          <w:sz w:val="20"/>
          <w:szCs w:val="20"/>
          <w:color w:val="auto"/>
        </w:rPr>
      </w:pPr>
    </w:p>
    <w:p>
      <w:pPr>
        <w:jc w:val="both"/>
        <w:ind w:right="140" w:firstLine="434"/>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13"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40" w:lineRule="exact"/>
        <w:rPr>
          <w:sz w:val="20"/>
          <w:szCs w:val="20"/>
          <w:color w:val="auto"/>
        </w:rPr>
      </w:pPr>
    </w:p>
    <w:p>
      <w:pPr>
        <w:ind w:right="220" w:firstLine="434"/>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below, as well as in Part I “Item 1A. Risk Factors” in our Annual Report on Form 10-K for the fiscal year ended September 30, 2018, which could materially affect our business, financial condition and/or operating results. The risks described below, as well as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Legislation enacted in 2018 allowed us to incur additional leverage.</w:t>
      </w:r>
    </w:p>
    <w:p>
      <w:pPr>
        <w:spacing w:after="0" w:line="136" w:lineRule="exact"/>
        <w:rPr>
          <w:sz w:val="20"/>
          <w:szCs w:val="20"/>
          <w:color w:val="auto"/>
        </w:rPr>
      </w:pPr>
    </w:p>
    <w:p>
      <w:pPr>
        <w:ind w:right="20" w:firstLine="483"/>
        <w:spacing w:after="0" w:line="243" w:lineRule="auto"/>
        <w:rPr>
          <w:sz w:val="20"/>
          <w:szCs w:val="20"/>
          <w:color w:val="auto"/>
        </w:rPr>
      </w:pPr>
      <w:r>
        <w:rPr>
          <w:rFonts w:ascii="Arial" w:cs="Arial" w:eastAsia="Arial" w:hAnsi="Arial"/>
          <w:sz w:val="13"/>
          <w:szCs w:val="13"/>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February 5, 2019, our stockholders approved such reduction, as approved by our board of directors on November 13, 2018. As of February 5, 2019, we are able to incur additional indebtedness so long as we comply with the applicable disclosure requirements, which may increase the risk of investing in us. Under the 200% minimum asset coverage ratio, the Company was permitted to borrow up to one dollar for investment purposes for every one dollar of investor equity and, under the 150% minimum asset coverage ratio, the Company is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 Effective February 5, 2019, base management fees were reduced from 1.50% to 1.00% on gross assets that exceed 200% of the Company’s total net assets as of the immediately preceding quarter-end.</w:t>
      </w:r>
    </w:p>
    <w:p>
      <w:pPr>
        <w:spacing w:after="0" w:line="117" w:lineRule="exact"/>
        <w:rPr>
          <w:sz w:val="20"/>
          <w:szCs w:val="20"/>
          <w:color w:val="auto"/>
        </w:rPr>
      </w:pPr>
    </w:p>
    <w:p>
      <w:pPr>
        <w:ind w:right="280" w:firstLine="483"/>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106" w:lineRule="exact"/>
        <w:rPr>
          <w:sz w:val="20"/>
          <w:szCs w:val="20"/>
          <w:color w:val="auto"/>
        </w:rPr>
      </w:pPr>
    </w:p>
    <w:p>
      <w:pPr>
        <w:ind w:right="180" w:firstLine="483"/>
        <w:spacing w:after="0" w:line="238" w:lineRule="auto"/>
        <w:rPr>
          <w:sz w:val="20"/>
          <w:szCs w:val="20"/>
          <w:color w:val="auto"/>
        </w:rPr>
      </w:pPr>
      <w:r>
        <w:rPr>
          <w:rFonts w:ascii="Arial" w:cs="Arial" w:eastAsia="Arial" w:hAnsi="Arial"/>
          <w:sz w:val="14"/>
          <w:szCs w:val="14"/>
          <w:color w:val="auto"/>
        </w:rPr>
        <w:t>In connection with satisfying the requirements to be subject to tax as a RIC,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15" w:lineRule="exact"/>
        <w:rPr>
          <w:sz w:val="20"/>
          <w:szCs w:val="20"/>
          <w:color w:val="auto"/>
        </w:rPr>
      </w:pPr>
    </w:p>
    <w:p>
      <w:pPr>
        <w:ind w:right="120" w:firstLine="483"/>
        <w:spacing w:after="0" w:line="248" w:lineRule="auto"/>
        <w:rPr>
          <w:sz w:val="20"/>
          <w:szCs w:val="20"/>
          <w:color w:val="auto"/>
        </w:rPr>
      </w:pPr>
      <w:r>
        <w:rPr>
          <w:rFonts w:ascii="Arial" w:cs="Arial" w:eastAsia="Arial" w:hAnsi="Arial"/>
          <w:sz w:val="13"/>
          <w:szCs w:val="13"/>
          <w:color w:val="auto"/>
        </w:rPr>
        <w:t>As noted above, on November 13, 2018 and February 5, 2019, our board of directors, including a “required majority” (as such term is defined in Section 57(o) of the 1940 Act), and our stockholders, respectively, approved a reduction of our asset coverage ratio from 200% to 150%. As a result, as of February 6, 2019, the asset coverage requirements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3" w:lineRule="exact"/>
        <w:rPr>
          <w:sz w:val="20"/>
          <w:szCs w:val="20"/>
          <w:color w:val="auto"/>
        </w:rPr>
      </w:pPr>
    </w:p>
    <w:p>
      <w:pPr>
        <w:ind w:right="80" w:firstLine="483"/>
        <w:spacing w:after="0" w:line="255" w:lineRule="auto"/>
        <w:rPr>
          <w:sz w:val="20"/>
          <w:szCs w:val="20"/>
          <w:color w:val="auto"/>
        </w:rPr>
      </w:pPr>
      <w:r>
        <w:rPr>
          <w:rFonts w:ascii="Arial" w:cs="Arial" w:eastAsia="Arial" w:hAnsi="Arial"/>
          <w:sz w:val="13"/>
          <w:szCs w:val="13"/>
          <w:color w:val="auto"/>
        </w:rPr>
        <w:t>We are partially dependent on our SBIC Funds for cash distributions to enable us to meet the distribution requirements to be subject to tax as a RIC. In this regard, our SBIC Funds are limited by the SBA regulations governing SBICs from making certain distributions to us that may be necessary to satisfy the requirements to be subject to tax as a RIC. In such a case, we would have to request a waiver of the SBA’s restrictions for our SBIC Funds to make certain distributions to enable us to be subject to tax as a RIC. We cannot assure you that the SBA will grant such waiver, and if our SBIC Funds are unable to obtain a waiver, compliance with the SBA regulations may cause us to incur a corporate-level income tax.</w:t>
      </w:r>
    </w:p>
    <w:p>
      <w:pPr>
        <w:spacing w:after="0" w:line="107"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136" w:lineRule="exact"/>
        <w:rPr>
          <w:sz w:val="20"/>
          <w:szCs w:val="20"/>
          <w:color w:val="auto"/>
        </w:rPr>
      </w:pPr>
    </w:p>
    <w:p>
      <w:pPr>
        <w:ind w:firstLine="483"/>
        <w:spacing w:after="0" w:line="243" w:lineRule="auto"/>
        <w:rPr>
          <w:sz w:val="20"/>
          <w:szCs w:val="20"/>
          <w:color w:val="auto"/>
        </w:rPr>
      </w:pPr>
      <w:r>
        <w:rPr>
          <w:rFonts w:ascii="Arial" w:cs="Arial" w:eastAsia="Arial" w:hAnsi="Arial"/>
          <w:sz w:val="13"/>
          <w:szCs w:val="13"/>
          <w:color w:val="auto"/>
        </w:rPr>
        <w:t>We have indebtedness outstanding pursuant to our Credit Facilities and SBA debentures and expect in the future to borrow additional amounts under our Credit Facilities or other debt securities, subject to market availability, and, may increase the size of our Credit Facilities.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our SBIC Funds, in connection with our Credit Facilities borrowings. In the case of a liquidation event, those lenders would receive proceeds before our stockholders. Additionally, the SBA, as a lender and an administrative agent, has a superior claim over the assets of our SBIC Funds in relation to our other creditors. Any future debt issuance will increase our leverage and may be subordinate to our Credit Facilities and SBA debentures. In addition, borrowings or debt issuances and SBA debentures,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7" w:lineRule="exact"/>
        <w:rPr>
          <w:sz w:val="20"/>
          <w:szCs w:val="20"/>
          <w:color w:val="auto"/>
        </w:rPr>
      </w:pPr>
    </w:p>
    <w:p>
      <w:pPr>
        <w:jc w:val="both"/>
        <w:ind w:right="60" w:firstLine="483"/>
        <w:spacing w:after="0" w:line="233" w:lineRule="auto"/>
        <w:rPr>
          <w:sz w:val="20"/>
          <w:szCs w:val="20"/>
          <w:color w:val="auto"/>
        </w:rPr>
      </w:pPr>
      <w:r>
        <w:rPr>
          <w:rFonts w:ascii="Arial" w:cs="Arial" w:eastAsia="Arial" w:hAnsi="Arial"/>
          <w:sz w:val="14"/>
          <w:szCs w:val="14"/>
          <w:color w:val="auto"/>
        </w:rPr>
        <w:t>As noted above, on November 13, 2018 and February 5, 2019, our board of directors, including a “required majority” (as such term is defined in Section 57(o) of the 1940 Act), and our stockholders, respectively, approved a reduction of our asset coverage ratio. As a result, as of February 6, 2019, the asset coverage requirements applicable to us for senior securities was reduced from 200% to 150%. As of such date, we are able to incur additional indebtedness so long as we comply with the applicable disclosure requirements, which may increase the risk of investing in us.</w:t>
      </w:r>
    </w:p>
    <w:p>
      <w:pPr>
        <w:spacing w:after="0" w:line="117" w:lineRule="exact"/>
        <w:rPr>
          <w:sz w:val="20"/>
          <w:szCs w:val="20"/>
          <w:color w:val="auto"/>
        </w:rPr>
      </w:pPr>
    </w:p>
    <w:p>
      <w:pPr>
        <w:ind w:right="100" w:firstLine="483"/>
        <w:spacing w:after="0" w:line="238" w:lineRule="auto"/>
        <w:rPr>
          <w:sz w:val="20"/>
          <w:szCs w:val="20"/>
          <w:color w:val="auto"/>
        </w:rPr>
      </w:pPr>
      <w:r>
        <w:rPr>
          <w:rFonts w:ascii="Arial" w:cs="Arial" w:eastAsia="Arial" w:hAnsi="Arial"/>
          <w:sz w:val="14"/>
          <w:szCs w:val="14"/>
          <w:color w:val="auto"/>
        </w:rPr>
        <w:t>As of March 31, 2019 and September 30, 2018, our asset coverage ratio, as computed in accordance with the 1940 Act, was 212% and 292%, respectively. Since our leverage, including SBA debentures outstanding, was 113% and 80% of our net assets as of March 31, 2019 and September 30, 2018, respectively, we would have to receive an annual return of at least 2.34% and 1.75%, respectively, to cover annual interest payments.</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5" w:name="page36"/>
    <w:bookmarkEnd w:id="35"/>
    <w:p>
      <w:pPr>
        <w:ind w:right="60" w:firstLine="483"/>
        <w:spacing w:after="0" w:line="229" w:lineRule="auto"/>
        <w:rPr>
          <w:sz w:val="20"/>
          <w:szCs w:val="20"/>
          <w:color w:val="auto"/>
        </w:rPr>
      </w:pPr>
      <w:r>
        <w:rPr>
          <w:rFonts w:ascii="Arial" w:cs="Arial" w:eastAsia="Arial" w:hAnsi="Arial"/>
          <w:sz w:val="14"/>
          <w:szCs w:val="14"/>
          <w:color w:val="auto"/>
        </w:rPr>
        <w:t>As of March 31, 2019, we had outstanding borrowings of $531.6 million under our Credit Facilities and $150.0 million outstanding under the SBA debentures. Our consolidated debt outstanding was $681.6 million and had a weighted average annual interest rate at the time of 4.37%, exclusive of the fee on undrawn commitment on the SunTrust Credit Facility, debt issuance costs on the BNP Credit Facility and 3.43% of upfront fees on the SBA debentures. To cover the annual interest on our borrowings of $681.6 million outstanding as of March 31, 2019, at the weighted average annual rate of 4.37%, we would have to receive an annual yield of at least 2.34%. This example is for illustrative purposes only, and actual interest rates on our Credit Facilities or any future borrowings are likely to fluctuate. The costs associated with our borrowings, including any increase in the management fee or incentive fee payable to our Investment Adviser, are and will be borne by our common stockholders.</w:t>
      </w:r>
    </w:p>
    <w:p>
      <w:pPr>
        <w:spacing w:after="0" w:line="118" w:lineRule="exact"/>
        <w:rPr>
          <w:sz w:val="20"/>
          <w:szCs w:val="20"/>
          <w:color w:val="auto"/>
        </w:rPr>
      </w:pPr>
    </w:p>
    <w:p>
      <w:pPr>
        <w:ind w:right="60" w:firstLine="483"/>
        <w:spacing w:after="0" w:line="231" w:lineRule="auto"/>
        <w:rPr>
          <w:sz w:val="20"/>
          <w:szCs w:val="20"/>
          <w:color w:val="auto"/>
        </w:rPr>
      </w:pPr>
      <w:r>
        <w:rPr>
          <w:rFonts w:ascii="Arial" w:cs="Arial" w:eastAsia="Arial" w:hAnsi="Arial"/>
          <w:sz w:val="14"/>
          <w:szCs w:val="14"/>
          <w:color w:val="auto"/>
        </w:rPr>
        <w:t>The following table is designed to illustrate the effect on the return to a holder of our common stock of the leverage created by our use of borrowing as of March 31, 2019 of 52% of total assets (including such borrowed funds), at the current interest rate at the time of 4.37%,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Assumed return on portfolio (net of expenses) </w:t>
            </w:r>
            <w:r>
              <w:rPr>
                <w:rFonts w:ascii="Arial" w:cs="Arial" w:eastAsia="Arial" w:hAnsi="Arial"/>
                <w:sz w:val="12"/>
                <w:szCs w:val="12"/>
                <w:color w:val="auto"/>
              </w:rPr>
              <w:t>(1)</w:t>
            </w:r>
          </w:p>
        </w:tc>
        <w:tc>
          <w:tcPr>
            <w:tcW w:w="139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w:t>
            </w:r>
          </w:p>
        </w:tc>
        <w:tc>
          <w:tcPr>
            <w:tcW w:w="190" w:type="dxa"/>
            <w:vAlign w:val="bottom"/>
            <w:shd w:val="clear" w:color="auto" w:fill="CCECFF"/>
          </w:tcPr>
          <w:p>
            <w:pPr>
              <w:jc w:val="right"/>
              <w:spacing w:after="0"/>
              <w:rPr>
                <w:sz w:val="20"/>
                <w:szCs w:val="20"/>
                <w:color w:val="auto"/>
              </w:rPr>
            </w:pPr>
            <w:r>
              <w:rPr>
                <w:rFonts w:ascii="Arial" w:cs="Arial" w:eastAsia="Arial" w:hAnsi="Arial"/>
                <w:sz w:val="14"/>
                <w:szCs w:val="14"/>
                <w:color w:val="auto"/>
                <w:w w:val="81"/>
                <w:shd w:val="clear" w:color="auto" w:fill="CCECFF"/>
              </w:rPr>
              <w:t>)%</w:t>
            </w:r>
          </w:p>
        </w:tc>
        <w:tc>
          <w:tcPr>
            <w:tcW w:w="139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w:t>
            </w:r>
          </w:p>
        </w:tc>
        <w:tc>
          <w:tcPr>
            <w:tcW w:w="190" w:type="dxa"/>
            <w:vAlign w:val="bottom"/>
            <w:shd w:val="clear" w:color="auto" w:fill="CCECFF"/>
          </w:tcPr>
          <w:p>
            <w:pPr>
              <w:jc w:val="right"/>
              <w:spacing w:after="0"/>
              <w:rPr>
                <w:sz w:val="20"/>
                <w:szCs w:val="20"/>
                <w:color w:val="auto"/>
              </w:rPr>
            </w:pPr>
            <w:r>
              <w:rPr>
                <w:rFonts w:ascii="Arial" w:cs="Arial" w:eastAsia="Arial" w:hAnsi="Arial"/>
                <w:sz w:val="14"/>
                <w:szCs w:val="14"/>
                <w:color w:val="auto"/>
                <w:w w:val="81"/>
                <w:shd w:val="clear" w:color="auto" w:fill="CCECFF"/>
              </w:rPr>
              <w:t>)%</w:t>
            </w:r>
          </w:p>
        </w:tc>
        <w:tc>
          <w:tcPr>
            <w:tcW w:w="141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7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9"/>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9"/>
                <w:shd w:val="clear" w:color="auto" w:fill="CCECFF"/>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w:t>
            </w: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9"/>
                <w:shd w:val="clear" w:color="auto" w:fill="CCECFF"/>
              </w:rPr>
              <w:t>%</w:t>
            </w:r>
          </w:p>
        </w:tc>
      </w:tr>
      <w:tr>
        <w:trPr>
          <w:trHeight w:val="182"/>
        </w:trPr>
        <w:tc>
          <w:tcPr>
            <w:tcW w:w="3400" w:type="dxa"/>
            <w:vAlign w:val="bottom"/>
          </w:tcPr>
          <w:p>
            <w:pPr>
              <w:spacing w:after="0"/>
              <w:rPr>
                <w:sz w:val="20"/>
                <w:szCs w:val="20"/>
                <w:color w:val="auto"/>
              </w:rPr>
            </w:pPr>
            <w:r>
              <w:rPr>
                <w:rFonts w:ascii="Arial" w:cs="Arial" w:eastAsia="Arial" w:hAnsi="Arial"/>
                <w:sz w:val="14"/>
                <w:szCs w:val="14"/>
                <w:color w:val="auto"/>
              </w:rPr>
              <w:t xml:space="preserve">Corresponding return to common stockholders </w:t>
            </w:r>
            <w:r>
              <w:rPr>
                <w:rFonts w:ascii="Arial" w:cs="Arial" w:eastAsia="Arial" w:hAnsi="Arial"/>
                <w:sz w:val="12"/>
                <w:szCs w:val="12"/>
                <w:color w:val="auto"/>
              </w:rPr>
              <w:t>(2)</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(26.7)%</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(15.9)%</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(5.0)%</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5.8%</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16.6%</w:t>
            </w:r>
          </w:p>
        </w:tc>
      </w:tr>
    </w:tbl>
    <w:p>
      <w:pPr>
        <w:spacing w:after="0" w:line="123"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13"/>
          <w:szCs w:val="13"/>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360" w:right="240" w:hanging="352"/>
        <w:spacing w:after="0" w:line="255" w:lineRule="auto"/>
        <w:tabs>
          <w:tab w:leader="none" w:pos="360" w:val="left"/>
        </w:tabs>
        <w:numPr>
          <w:ilvl w:val="0"/>
          <w:numId w:val="28"/>
        </w:numPr>
        <w:rPr>
          <w:rFonts w:ascii="Arial" w:cs="Arial" w:eastAsia="Arial" w:hAnsi="Arial"/>
          <w:sz w:val="12"/>
          <w:szCs w:val="12"/>
          <w:color w:val="auto"/>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Issuer Purchases of Equity Securities</w:t>
      </w:r>
    </w:p>
    <w:p>
      <w:pPr>
        <w:spacing w:after="0" w:line="163" w:lineRule="exact"/>
        <w:rPr>
          <w:sz w:val="20"/>
          <w:szCs w:val="20"/>
          <w:color w:val="auto"/>
        </w:rPr>
      </w:pPr>
    </w:p>
    <w:p>
      <w:pPr>
        <w:ind w:left="740"/>
        <w:spacing w:after="0"/>
        <w:rPr>
          <w:sz w:val="20"/>
          <w:szCs w:val="20"/>
          <w:color w:val="auto"/>
        </w:rPr>
      </w:pPr>
      <w:r>
        <w:rPr>
          <w:rFonts w:ascii="Arial" w:cs="Arial" w:eastAsia="Arial" w:hAnsi="Arial"/>
          <w:sz w:val="14"/>
          <w:szCs w:val="14"/>
          <w:color w:val="auto"/>
        </w:rPr>
        <w:t>Repurchases of our common stock under our share repurchase program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Approximate Dollar Value of</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Total Number of Shares</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8"/>
        </w:trPr>
        <w:tc>
          <w:tcPr>
            <w:tcW w:w="3380" w:type="dxa"/>
            <w:vAlign w:val="bottom"/>
            <w:gridSpan w:val="3"/>
            <w:vMerge w:val="restart"/>
          </w:tcPr>
          <w:p>
            <w:pPr>
              <w:ind w:left="1400"/>
              <w:spacing w:after="0"/>
              <w:rPr>
                <w:sz w:val="20"/>
                <w:szCs w:val="20"/>
                <w:color w:val="auto"/>
              </w:rPr>
            </w:pPr>
            <w:r>
              <w:rPr>
                <w:rFonts w:ascii="Arial" w:cs="Arial" w:eastAsia="Arial" w:hAnsi="Arial"/>
                <w:sz w:val="14"/>
                <w:szCs w:val="14"/>
                <w:b w:val="1"/>
                <w:bCs w:val="1"/>
                <w:color w:val="auto"/>
              </w:rPr>
              <w:t>Period</w:t>
            </w:r>
          </w:p>
        </w:tc>
        <w:tc>
          <w:tcPr>
            <w:tcW w:w="15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98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Average Price per Share</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00" w:type="dxa"/>
            <w:vAlign w:val="bottom"/>
          </w:tcPr>
          <w:p>
            <w:pPr>
              <w:spacing w:after="0"/>
              <w:rPr>
                <w:sz w:val="12"/>
                <w:szCs w:val="12"/>
                <w:color w:val="auto"/>
              </w:rPr>
            </w:pPr>
          </w:p>
        </w:tc>
        <w:tc>
          <w:tcPr>
            <w:tcW w:w="2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71"/>
        </w:trPr>
        <w:tc>
          <w:tcPr>
            <w:tcW w:w="3380" w:type="dxa"/>
            <w:vAlign w:val="bottom"/>
            <w:gridSpan w:val="3"/>
            <w:vMerge w:val="continue"/>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Arial" w:cs="Arial" w:eastAsia="Arial" w:hAnsi="Arial"/>
                <w:sz w:val="14"/>
                <w:szCs w:val="14"/>
                <w:b w:val="1"/>
                <w:bCs w:val="1"/>
                <w:color w:val="auto"/>
              </w:rPr>
              <w:t>Purchased</w:t>
            </w:r>
          </w:p>
        </w:tc>
        <w:tc>
          <w:tcPr>
            <w:tcW w:w="280" w:type="dxa"/>
            <w:vAlign w:val="bottom"/>
          </w:tcPr>
          <w:p>
            <w:pPr>
              <w:spacing w:after="0"/>
              <w:rPr>
                <w:sz w:val="14"/>
                <w:szCs w:val="14"/>
                <w:color w:val="auto"/>
              </w:rPr>
            </w:pPr>
          </w:p>
        </w:tc>
        <w:tc>
          <w:tcPr>
            <w:tcW w:w="1980" w:type="dxa"/>
            <w:vAlign w:val="bottom"/>
            <w:gridSpan w:val="4"/>
            <w:vMerge w:val="continue"/>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or Programs </w:t>
            </w:r>
            <w:r>
              <w:rPr>
                <w:rFonts w:ascii="Arial" w:cs="Arial" w:eastAsia="Arial" w:hAnsi="Arial"/>
                <w:sz w:val="12"/>
                <w:szCs w:val="12"/>
                <w:b w:val="1"/>
                <w:bCs w:val="1"/>
                <w:color w:val="auto"/>
                <w:w w:val="94"/>
              </w:rPr>
              <w:t>(1)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Programs (in millions)</w:t>
            </w:r>
          </w:p>
        </w:tc>
        <w:tc>
          <w:tcPr>
            <w:tcW w:w="0" w:type="dxa"/>
            <w:vAlign w:val="bottom"/>
          </w:tcPr>
          <w:p>
            <w:pPr>
              <w:spacing w:after="0"/>
              <w:rPr>
                <w:sz w:val="1"/>
                <w:szCs w:val="1"/>
                <w:color w:val="auto"/>
              </w:rPr>
            </w:pPr>
          </w:p>
        </w:tc>
      </w:tr>
      <w:tr>
        <w:trPr>
          <w:trHeight w:val="156"/>
        </w:trPr>
        <w:tc>
          <w:tcPr>
            <w:tcW w:w="320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October 1, 2018 through October 31, 2018</w:t>
            </w:r>
          </w:p>
        </w:tc>
        <w:tc>
          <w:tcPr>
            <w:tcW w:w="180" w:type="dxa"/>
            <w:vAlign w:val="bottom"/>
            <w:tcBorders>
              <w:top w:val="single" w:sz="8" w:color="CCECFF"/>
            </w:tcBorders>
            <w:shd w:val="clear" w:color="auto" w:fill="CCECFF"/>
          </w:tcPr>
          <w:p>
            <w:pPr>
              <w:spacing w:after="0"/>
              <w:rPr>
                <w:sz w:val="13"/>
                <w:szCs w:val="13"/>
                <w:color w:val="auto"/>
              </w:rPr>
            </w:pPr>
          </w:p>
        </w:tc>
        <w:tc>
          <w:tcPr>
            <w:tcW w:w="15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CFF"/>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ind w:left="80"/>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N/A</w:t>
            </w:r>
          </w:p>
        </w:tc>
        <w:tc>
          <w:tcPr>
            <w:tcW w:w="10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17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15.0</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80" w:type="dxa"/>
            <w:vAlign w:val="bottom"/>
            <w:gridSpan w:val="3"/>
          </w:tcPr>
          <w:p>
            <w:pPr>
              <w:spacing w:after="0"/>
              <w:rPr>
                <w:sz w:val="20"/>
                <w:szCs w:val="20"/>
                <w:color w:val="auto"/>
              </w:rPr>
            </w:pPr>
            <w:r>
              <w:rPr>
                <w:rFonts w:ascii="Arial" w:cs="Arial" w:eastAsia="Arial" w:hAnsi="Arial"/>
                <w:sz w:val="14"/>
                <w:szCs w:val="14"/>
                <w:color w:val="auto"/>
              </w:rPr>
              <w:t>November 1, 2018 through November 30, 2018</w:t>
            </w:r>
          </w:p>
        </w:tc>
        <w:tc>
          <w:tcPr>
            <w:tcW w:w="1520" w:type="dxa"/>
            <w:vAlign w:val="bottom"/>
          </w:tcPr>
          <w:p>
            <w:pPr>
              <w:jc w:val="right"/>
              <w:spacing w:after="0"/>
              <w:rPr>
                <w:sz w:val="20"/>
                <w:szCs w:val="20"/>
                <w:color w:val="auto"/>
              </w:rPr>
            </w:pPr>
            <w:r>
              <w:rPr>
                <w:rFonts w:ascii="Arial" w:cs="Arial" w:eastAsia="Arial" w:hAnsi="Arial"/>
                <w:sz w:val="14"/>
                <w:szCs w:val="14"/>
                <w:color w:val="auto"/>
              </w:rPr>
              <w:t>464,543</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464,543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December 1, 2018 through December 31, 2018</w:t>
            </w: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561,878</w:t>
            </w:r>
          </w:p>
        </w:tc>
        <w:tc>
          <w:tcPr>
            <w:tcW w:w="28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7.28</w:t>
            </w:r>
          </w:p>
        </w:tc>
        <w:tc>
          <w:tcPr>
            <w:tcW w:w="1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561,878</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gridSpan w:val="3"/>
          </w:tcPr>
          <w:p>
            <w:pPr>
              <w:spacing w:after="0"/>
              <w:rPr>
                <w:sz w:val="20"/>
                <w:szCs w:val="20"/>
                <w:color w:val="auto"/>
              </w:rPr>
            </w:pPr>
            <w:r>
              <w:rPr>
                <w:rFonts w:ascii="Arial" w:cs="Arial" w:eastAsia="Arial" w:hAnsi="Arial"/>
                <w:sz w:val="14"/>
                <w:szCs w:val="14"/>
                <w:color w:val="auto"/>
              </w:rPr>
              <w:t>January 1, 2019 through January 31, 2019</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3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February 1, 2019 through February 28, 2019</w:t>
            </w: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712,432</w:t>
            </w:r>
          </w:p>
        </w:tc>
        <w:tc>
          <w:tcPr>
            <w:tcW w:w="28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7.15</w:t>
            </w:r>
          </w:p>
        </w:tc>
        <w:tc>
          <w:tcPr>
            <w:tcW w:w="1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712,432</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Borders>
              <w:bottom w:val="single" w:sz="8" w:color="CCECFF"/>
            </w:tcBorders>
            <w:gridSpan w:val="3"/>
          </w:tcPr>
          <w:p>
            <w:pPr>
              <w:spacing w:after="0"/>
              <w:rPr>
                <w:sz w:val="20"/>
                <w:szCs w:val="20"/>
                <w:color w:val="auto"/>
              </w:rPr>
            </w:pPr>
            <w:r>
              <w:rPr>
                <w:rFonts w:ascii="Arial" w:cs="Arial" w:eastAsia="Arial" w:hAnsi="Arial"/>
                <w:sz w:val="14"/>
                <w:szCs w:val="14"/>
                <w:color w:val="auto"/>
              </w:rPr>
              <w:t>March 1, 2019 through March 31, 2019</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270,000</w:t>
            </w:r>
          </w:p>
        </w:tc>
        <w:tc>
          <w:tcPr>
            <w:tcW w:w="280" w:type="dxa"/>
            <w:vAlign w:val="bottom"/>
            <w:tcBorders>
              <w:bottom w:val="single" w:sz="8" w:color="CCECFF"/>
            </w:tcBorders>
          </w:tcPr>
          <w:p>
            <w:pPr>
              <w:spacing w:after="0"/>
              <w:rPr>
                <w:sz w:val="14"/>
                <w:szCs w:val="14"/>
                <w:color w:val="auto"/>
              </w:rPr>
            </w:pPr>
          </w:p>
        </w:tc>
        <w:tc>
          <w:tcPr>
            <w:tcW w:w="800" w:type="dxa"/>
            <w:vAlign w:val="bottom"/>
            <w:tcBorders>
              <w:bottom w:val="single" w:sz="8" w:color="CCECFF"/>
            </w:tcBorders>
          </w:tcPr>
          <w:p>
            <w:pPr>
              <w:spacing w:after="0"/>
              <w:rPr>
                <w:sz w:val="14"/>
                <w:szCs w:val="14"/>
                <w:color w:val="auto"/>
              </w:rPr>
            </w:pPr>
          </w:p>
        </w:tc>
        <w:tc>
          <w:tcPr>
            <w:tcW w:w="900" w:type="dxa"/>
            <w:vAlign w:val="bottom"/>
            <w:tcBorders>
              <w:bottom w:val="single" w:sz="8" w:color="CCECFF"/>
            </w:tcBorders>
          </w:tcPr>
          <w:p>
            <w:pPr>
              <w:jc w:val="right"/>
              <w:spacing w:after="0"/>
              <w:rPr>
                <w:sz w:val="20"/>
                <w:szCs w:val="20"/>
                <w:color w:val="auto"/>
              </w:rPr>
            </w:pPr>
            <w:r>
              <w:rPr>
                <w:rFonts w:ascii="Arial" w:cs="Arial" w:eastAsia="Arial" w:hAnsi="Arial"/>
                <w:sz w:val="14"/>
                <w:szCs w:val="14"/>
                <w:color w:val="auto"/>
              </w:rPr>
              <w:t>6.98</w:t>
            </w:r>
          </w:p>
        </w:tc>
        <w:tc>
          <w:tcPr>
            <w:tcW w:w="100" w:type="dxa"/>
            <w:vAlign w:val="bottom"/>
            <w:tcBorders>
              <w:bottom w:val="single" w:sz="8" w:color="CCECFF"/>
            </w:tcBorders>
          </w:tcPr>
          <w:p>
            <w:pPr>
              <w:spacing w:after="0"/>
              <w:rPr>
                <w:sz w:val="14"/>
                <w:szCs w:val="14"/>
                <w:color w:val="auto"/>
              </w:rPr>
            </w:pPr>
          </w:p>
        </w:tc>
        <w:tc>
          <w:tcPr>
            <w:tcW w:w="180" w:type="dxa"/>
            <w:vAlign w:val="bottom"/>
            <w:tcBorders>
              <w:bottom w:val="single" w:sz="8" w:color="CCECFF"/>
            </w:tcBorders>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270,000</w:t>
            </w:r>
          </w:p>
        </w:tc>
        <w:tc>
          <w:tcPr>
            <w:tcW w:w="10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1880" w:type="dxa"/>
            <w:vAlign w:val="bottom"/>
            <w:tcBorders>
              <w:bottom w:val="single" w:sz="8" w:color="CCECFF"/>
            </w:tcBorders>
          </w:tcPr>
          <w:p>
            <w:pPr>
              <w:jc w:val="right"/>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80" w:type="dxa"/>
            <w:vAlign w:val="bottom"/>
            <w:tcBorders>
              <w:bottom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color w:val="auto"/>
              </w:rPr>
              <w:t>Total</w:t>
            </w:r>
          </w:p>
        </w:tc>
        <w:tc>
          <w:tcPr>
            <w:tcW w:w="15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2,008,853</w:t>
            </w:r>
          </w:p>
        </w:tc>
        <w:tc>
          <w:tcPr>
            <w:tcW w:w="280" w:type="dxa"/>
            <w:vAlign w:val="bottom"/>
            <w:tcBorders>
              <w:bottom w:val="single" w:sz="8" w:color="CCECFF"/>
            </w:tcBorders>
            <w:shd w:val="clear" w:color="auto" w:fill="CCECFF"/>
          </w:tcPr>
          <w:p>
            <w:pPr>
              <w:spacing w:after="0"/>
              <w:rPr>
                <w:sz w:val="13"/>
                <w:szCs w:val="13"/>
                <w:color w:val="auto"/>
              </w:rPr>
            </w:pPr>
          </w:p>
        </w:tc>
        <w:tc>
          <w:tcPr>
            <w:tcW w:w="800" w:type="dxa"/>
            <w:vAlign w:val="bottom"/>
            <w:tcBorders>
              <w:bottom w:val="single" w:sz="8" w:color="CCECFF"/>
            </w:tcBorders>
            <w:shd w:val="clear" w:color="auto" w:fill="CCECFF"/>
          </w:tcPr>
          <w:p>
            <w:pPr>
              <w:spacing w:after="0"/>
              <w:rPr>
                <w:sz w:val="13"/>
                <w:szCs w:val="13"/>
                <w:color w:val="auto"/>
              </w:rPr>
            </w:pPr>
          </w:p>
        </w:tc>
        <w:tc>
          <w:tcPr>
            <w:tcW w:w="90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7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2,008,853</w:t>
            </w:r>
          </w:p>
        </w:tc>
        <w:tc>
          <w:tcPr>
            <w:tcW w:w="10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CCECFF"/>
            </w:tcBorders>
            <w:shd w:val="clear" w:color="auto" w:fill="CCECFF"/>
          </w:tcPr>
          <w:p>
            <w:pPr>
              <w:spacing w:after="0"/>
              <w:rPr>
                <w:sz w:val="13"/>
                <w:szCs w:val="13"/>
                <w:color w:val="auto"/>
              </w:rPr>
            </w:pPr>
          </w:p>
        </w:tc>
        <w:tc>
          <w:tcPr>
            <w:tcW w:w="188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380" w:hanging="372"/>
        <w:spacing w:after="0" w:line="253" w:lineRule="auto"/>
        <w:tabs>
          <w:tab w:leader="none" w:pos="380" w:val="left"/>
        </w:tabs>
        <w:numPr>
          <w:ilvl w:val="0"/>
          <w:numId w:val="29"/>
        </w:numPr>
        <w:rPr>
          <w:rFonts w:ascii="Arial" w:cs="Arial" w:eastAsia="Arial" w:hAnsi="Arial"/>
          <w:sz w:val="12"/>
          <w:szCs w:val="12"/>
          <w:color w:val="auto"/>
        </w:rPr>
      </w:pPr>
      <w:r>
        <w:rPr>
          <w:rFonts w:ascii="Arial" w:cs="Arial" w:eastAsia="Arial" w:hAnsi="Arial"/>
          <w:sz w:val="14"/>
          <w:szCs w:val="14"/>
          <w:color w:val="auto"/>
        </w:rPr>
        <w:t>On May 9, 2018, we announced a share repurchase program which allows us to repurchase up to $30.0 million of our outstanding common stock. Unless extended by our board of directors, the program will expire on the earlier of May 9, 2019 and the repurchase of $30.0 million of common stock.</w:t>
      </w:r>
    </w:p>
    <w:p>
      <w:pPr>
        <w:spacing w:after="0" w:line="10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Not applicable.</w:t>
      </w:r>
    </w:p>
    <w:p>
      <w:pPr>
        <w:spacing w:after="0" w:line="13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tabs>
          <w:tab w:leader="none" w:pos="106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3"/>
          <w:szCs w:val="13"/>
          <w:b w:val="1"/>
          <w:bCs w:val="1"/>
          <w:color w:val="auto"/>
        </w:rPr>
        <w:t>Exhibits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284" w:lineRule="exact"/>
        <w:rPr>
          <w:sz w:val="20"/>
          <w:szCs w:val="20"/>
          <w:color w:val="auto"/>
        </w:rPr>
      </w:pPr>
    </w:p>
    <w:p>
      <w:pPr>
        <w:spacing w:after="0"/>
        <w:tabs>
          <w:tab w:leader="none" w:pos="540" w:val="left"/>
        </w:tabs>
        <w:rPr>
          <w:rFonts w:ascii="Arial" w:cs="Arial" w:eastAsia="Arial" w:hAnsi="Arial"/>
          <w:sz w:val="13"/>
          <w:szCs w:val="13"/>
          <w:u w:val="single" w:color="auto"/>
          <w:color w:val="0000EE"/>
        </w:rPr>
      </w:pPr>
      <w:r>
        <w:rPr>
          <w:rFonts w:ascii="Arial" w:cs="Arial" w:eastAsia="Arial" w:hAnsi="Arial"/>
          <w:sz w:val="14"/>
          <w:szCs w:val="14"/>
          <w:color w:val="auto"/>
        </w:rPr>
        <w:t>3.1</w:t>
      </w:r>
      <w:r>
        <w:rPr>
          <w:sz w:val="20"/>
          <w:szCs w:val="20"/>
          <w:color w:val="auto"/>
        </w:rPr>
        <w:tab/>
      </w:r>
      <w:hyperlink r:id="rId59">
        <w:r>
          <w:rPr>
            <w:rFonts w:ascii="Arial" w:cs="Arial" w:eastAsia="Arial" w:hAnsi="Arial"/>
            <w:sz w:val="13"/>
            <w:szCs w:val="13"/>
            <w:u w:val="single" w:color="auto"/>
            <w:color w:val="0000EE"/>
          </w:rPr>
          <w:t>Articles of Incorporation (Incorporated by reference to Exhibit 99(a) to the Registrant’s Pre-Effective Amendment No. 3 to the Registration Statement on Form N-2/A (File No. 333-</w:t>
        </w:r>
      </w:hyperlink>
    </w:p>
    <w:p>
      <w:pPr>
        <w:ind w:left="560"/>
        <w:spacing w:after="0"/>
        <w:rPr>
          <w:rFonts w:ascii="Arial" w:cs="Arial" w:eastAsia="Arial" w:hAnsi="Arial"/>
          <w:sz w:val="14"/>
          <w:szCs w:val="14"/>
          <w:u w:val="single" w:color="auto"/>
          <w:color w:val="0000EE"/>
        </w:rPr>
      </w:pPr>
      <w:hyperlink r:id="rId59">
        <w:r>
          <w:rPr>
            <w:rFonts w:ascii="Arial" w:cs="Arial" w:eastAsia="Arial" w:hAnsi="Arial"/>
            <w:sz w:val="14"/>
            <w:szCs w:val="14"/>
            <w:u w:val="single" w:color="auto"/>
            <w:color w:val="0000EE"/>
          </w:rPr>
          <w:t>140092), filed on April 5, 2007).</w:t>
        </w:r>
      </w:hyperlink>
    </w:p>
    <w:p>
      <w:pPr>
        <w:spacing w:after="0" w:line="124" w:lineRule="exact"/>
        <w:rPr>
          <w:sz w:val="20"/>
          <w:szCs w:val="20"/>
          <w:color w:val="auto"/>
        </w:rPr>
      </w:pPr>
    </w:p>
    <w:p>
      <w:pPr>
        <w:ind w:left="560" w:right="900" w:hanging="552"/>
        <w:spacing w:after="0" w:line="253" w:lineRule="auto"/>
        <w:tabs>
          <w:tab w:leader="none" w:pos="540" w:val="left"/>
        </w:tabs>
        <w:rPr>
          <w:rFonts w:ascii="Arial" w:cs="Arial" w:eastAsia="Arial" w:hAnsi="Arial"/>
          <w:sz w:val="14"/>
          <w:szCs w:val="14"/>
          <w:u w:val="single" w:color="auto"/>
          <w:color w:val="0000EE"/>
        </w:rPr>
      </w:pPr>
      <w:r>
        <w:rPr>
          <w:rFonts w:ascii="Arial" w:cs="Arial" w:eastAsia="Arial" w:hAnsi="Arial"/>
          <w:sz w:val="14"/>
          <w:szCs w:val="14"/>
          <w:color w:val="auto"/>
        </w:rPr>
        <w:t>3.2</w:t>
      </w:r>
      <w:r>
        <w:rPr>
          <w:sz w:val="20"/>
          <w:szCs w:val="20"/>
          <w:color w:val="auto"/>
        </w:rPr>
        <w:tab/>
      </w:r>
      <w:hyperlink r:id="rId60">
        <w:r>
          <w:rPr>
            <w:rFonts w:ascii="Arial" w:cs="Arial" w:eastAsia="Arial" w:hAnsi="Arial"/>
            <w:sz w:val="14"/>
            <w:szCs w:val="14"/>
            <w:u w:val="single" w:color="auto"/>
            <w:color w:val="0000EE"/>
          </w:rPr>
          <w:t>Amended and Restated Bylaws of the Registrant (Incorporated by reference to Exhibit 3.1 to the Registrant’s Current Report on Form 8-K (File No. 814-00736), filed on</w:t>
        </w:r>
      </w:hyperlink>
      <w:r>
        <w:rPr>
          <w:rFonts w:ascii="Arial" w:cs="Arial" w:eastAsia="Arial" w:hAnsi="Arial"/>
          <w:sz w:val="14"/>
          <w:szCs w:val="14"/>
          <w:u w:val="single" w:color="auto"/>
          <w:color w:val="0000EE"/>
        </w:rPr>
        <w:t xml:space="preserve"> </w:t>
      </w:r>
      <w:hyperlink r:id="rId60">
        <w:r>
          <w:rPr>
            <w:rFonts w:ascii="Arial" w:cs="Arial" w:eastAsia="Arial" w:hAnsi="Arial"/>
            <w:sz w:val="14"/>
            <w:szCs w:val="14"/>
            <w:u w:val="single" w:color="auto"/>
            <w:color w:val="0000EE"/>
          </w:rPr>
          <w:t>December 2, 2015).</w:t>
        </w:r>
      </w:hyperlink>
    </w:p>
    <w:p>
      <w:pPr>
        <w:spacing w:after="0" w:line="106" w:lineRule="exact"/>
        <w:rPr>
          <w:sz w:val="20"/>
          <w:szCs w:val="20"/>
          <w:color w:val="auto"/>
        </w:rPr>
      </w:pPr>
    </w:p>
    <w:p>
      <w:pPr>
        <w:spacing w:after="0"/>
        <w:tabs>
          <w:tab w:leader="none" w:pos="540" w:val="left"/>
        </w:tabs>
        <w:rPr>
          <w:rFonts w:ascii="Arial" w:cs="Arial" w:eastAsia="Arial" w:hAnsi="Arial"/>
          <w:sz w:val="13"/>
          <w:szCs w:val="13"/>
          <w:u w:val="single" w:color="auto"/>
          <w:color w:val="0000EE"/>
        </w:rPr>
      </w:pPr>
      <w:r>
        <w:rPr>
          <w:rFonts w:ascii="Arial" w:cs="Arial" w:eastAsia="Arial" w:hAnsi="Arial"/>
          <w:sz w:val="14"/>
          <w:szCs w:val="14"/>
          <w:color w:val="auto"/>
        </w:rPr>
        <w:t>4.1</w:t>
      </w:r>
      <w:r>
        <w:rPr>
          <w:sz w:val="20"/>
          <w:szCs w:val="20"/>
          <w:color w:val="auto"/>
        </w:rPr>
        <w:tab/>
      </w:r>
      <w:hyperlink r:id="rId61">
        <w:r>
          <w:rPr>
            <w:rFonts w:ascii="Arial" w:cs="Arial" w:eastAsia="Arial" w:hAnsi="Arial"/>
            <w:sz w:val="13"/>
            <w:szCs w:val="13"/>
            <w:u w:val="single" w:color="auto"/>
            <w:color w:val="0000EE"/>
          </w:rPr>
          <w:t>Form of Share Certificate (Incorporated by reference to Exhibit 99(d)(1) to the Registrant’s Registration Statement on Form N-2 (File No. 333-150033), filed on April 2, 2008).</w:t>
        </w:r>
      </w:hyperlink>
    </w:p>
    <w:p>
      <w:pPr>
        <w:spacing w:after="0" w:line="136" w:lineRule="exact"/>
        <w:rPr>
          <w:sz w:val="20"/>
          <w:szCs w:val="20"/>
          <w:color w:val="auto"/>
        </w:rPr>
      </w:pPr>
    </w:p>
    <w:p>
      <w:pPr>
        <w:ind w:left="560" w:hanging="552"/>
        <w:spacing w:after="0" w:line="233" w:lineRule="auto"/>
        <w:tabs>
          <w:tab w:leader="none" w:pos="540" w:val="left"/>
        </w:tabs>
        <w:rPr>
          <w:rFonts w:ascii="Arial" w:cs="Arial" w:eastAsia="Arial" w:hAnsi="Arial"/>
          <w:sz w:val="14"/>
          <w:szCs w:val="14"/>
          <w:u w:val="single" w:color="auto"/>
          <w:color w:val="0000EE"/>
        </w:rPr>
      </w:pPr>
      <w:r>
        <w:rPr>
          <w:rFonts w:ascii="Arial" w:cs="Arial" w:eastAsia="Arial" w:hAnsi="Arial"/>
          <w:sz w:val="14"/>
          <w:szCs w:val="14"/>
          <w:color w:val="auto"/>
        </w:rPr>
        <w:t>10.1</w:t>
      </w:r>
      <w:r>
        <w:rPr>
          <w:sz w:val="20"/>
          <w:szCs w:val="20"/>
          <w:color w:val="auto"/>
        </w:rPr>
        <w:tab/>
      </w:r>
      <w:hyperlink r:id="rId62">
        <w:r>
          <w:rPr>
            <w:rFonts w:ascii="Arial" w:cs="Arial" w:eastAsia="Arial" w:hAnsi="Arial"/>
            <w:sz w:val="14"/>
            <w:szCs w:val="14"/>
            <w:u w:val="single" w:color="auto"/>
            <w:color w:val="0000EE"/>
          </w:rPr>
          <w:t>Revolving Credit and Security Agreement by and among PennantPark Investment Funding I, LLC, as borrower, the lenders from time to time parties thereto, BNP Paribas, as</w:t>
        </w:r>
      </w:hyperlink>
      <w:r>
        <w:rPr>
          <w:rFonts w:ascii="Arial" w:cs="Arial" w:eastAsia="Arial" w:hAnsi="Arial"/>
          <w:sz w:val="14"/>
          <w:szCs w:val="14"/>
          <w:u w:val="single" w:color="auto"/>
          <w:color w:val="0000EE"/>
        </w:rPr>
        <w:t xml:space="preserve"> </w:t>
      </w:r>
      <w:hyperlink r:id="rId62">
        <w:r>
          <w:rPr>
            <w:rFonts w:ascii="Arial" w:cs="Arial" w:eastAsia="Arial" w:hAnsi="Arial"/>
            <w:sz w:val="14"/>
            <w:szCs w:val="14"/>
            <w:u w:val="single" w:color="auto"/>
            <w:color w:val="0000EE"/>
          </w:rPr>
          <w:t>administrative agent, PennantPark Investment Corporation, as equityholder, PennantPark Investment Advisers, LLC, as servicer, and The Bank of New York Mellon Trust Company,</w:t>
        </w:r>
      </w:hyperlink>
      <w:r>
        <w:rPr>
          <w:rFonts w:ascii="Arial" w:cs="Arial" w:eastAsia="Arial" w:hAnsi="Arial"/>
          <w:sz w:val="14"/>
          <w:szCs w:val="14"/>
          <w:u w:val="single" w:color="auto"/>
          <w:color w:val="0000EE"/>
        </w:rPr>
        <w:t xml:space="preserve"> </w:t>
      </w:r>
      <w:hyperlink r:id="rId62">
        <w:r>
          <w:rPr>
            <w:rFonts w:ascii="Arial" w:cs="Arial" w:eastAsia="Arial" w:hAnsi="Arial"/>
            <w:sz w:val="14"/>
            <w:szCs w:val="14"/>
            <w:u w:val="single" w:color="auto"/>
            <w:color w:val="0000EE"/>
          </w:rPr>
          <w:t>National Association, as collateral agent, dated as of February 22, 2019 (Incorporated by reference to Exhibit 10.1 to the Registrant’s Current Report on Form 8-K (File No. 814-00736),</w:t>
        </w:r>
      </w:hyperlink>
      <w:r>
        <w:rPr>
          <w:rFonts w:ascii="Arial" w:cs="Arial" w:eastAsia="Arial" w:hAnsi="Arial"/>
          <w:sz w:val="14"/>
          <w:szCs w:val="14"/>
          <w:u w:val="single" w:color="auto"/>
          <w:color w:val="0000EE"/>
        </w:rPr>
        <w:t xml:space="preserve"> </w:t>
      </w:r>
      <w:hyperlink r:id="rId62">
        <w:r>
          <w:rPr>
            <w:rFonts w:ascii="Arial" w:cs="Arial" w:eastAsia="Arial" w:hAnsi="Arial"/>
            <w:sz w:val="14"/>
            <w:szCs w:val="14"/>
            <w:u w:val="single" w:color="auto"/>
            <w:color w:val="0000EE"/>
          </w:rPr>
          <w:t>filed on February 26, 2019).</w:t>
        </w:r>
      </w:hyperlink>
    </w:p>
    <w:p>
      <w:pPr>
        <w:spacing w:after="0" w:line="117" w:lineRule="exact"/>
        <w:rPr>
          <w:rFonts w:ascii="Arial" w:cs="Arial" w:eastAsia="Arial" w:hAnsi="Arial"/>
          <w:sz w:val="14"/>
          <w:szCs w:val="14"/>
          <w:u w:val="single" w:color="auto"/>
          <w:color w:val="0000EE"/>
        </w:rPr>
      </w:pPr>
    </w:p>
    <w:p>
      <w:pPr>
        <w:jc w:val="both"/>
        <w:ind w:left="560" w:right="20" w:hanging="552"/>
        <w:spacing w:after="0" w:line="238" w:lineRule="auto"/>
        <w:tabs>
          <w:tab w:leader="none" w:pos="540" w:val="left"/>
        </w:tabs>
        <w:rPr>
          <w:rFonts w:ascii="Arial" w:cs="Arial" w:eastAsia="Arial" w:hAnsi="Arial"/>
          <w:sz w:val="14"/>
          <w:szCs w:val="14"/>
          <w:u w:val="single" w:color="auto"/>
          <w:color w:val="0000EE"/>
        </w:rPr>
      </w:pPr>
      <w:r>
        <w:rPr>
          <w:rFonts w:ascii="Arial" w:cs="Arial" w:eastAsia="Arial" w:hAnsi="Arial"/>
          <w:sz w:val="14"/>
          <w:szCs w:val="14"/>
          <w:color w:val="auto"/>
        </w:rPr>
        <w:t>10.2</w:t>
      </w:r>
      <w:r>
        <w:rPr>
          <w:sz w:val="20"/>
          <w:szCs w:val="20"/>
          <w:color w:val="auto"/>
        </w:rPr>
        <w:tab/>
      </w:r>
      <w:hyperlink r:id="rId63">
        <w:r>
          <w:rPr>
            <w:rFonts w:ascii="Arial" w:cs="Arial" w:eastAsia="Arial" w:hAnsi="Arial"/>
            <w:sz w:val="14"/>
            <w:szCs w:val="14"/>
            <w:u w:val="single" w:color="auto"/>
            <w:color w:val="0000EE"/>
          </w:rPr>
          <w:t>Account Control Agreement by and among PennantPark Investment Funding I, LLC, as pledgor, The Bank of New York Mellon Trust Company, National Association, as secured party,</w:t>
        </w:r>
      </w:hyperlink>
      <w:r>
        <w:rPr>
          <w:rFonts w:ascii="Arial" w:cs="Arial" w:eastAsia="Arial" w:hAnsi="Arial"/>
          <w:sz w:val="14"/>
          <w:szCs w:val="14"/>
          <w:u w:val="single" w:color="auto"/>
          <w:color w:val="0000EE"/>
        </w:rPr>
        <w:t xml:space="preserve"> </w:t>
      </w:r>
      <w:hyperlink r:id="rId63">
        <w:r>
          <w:rPr>
            <w:rFonts w:ascii="Arial" w:cs="Arial" w:eastAsia="Arial" w:hAnsi="Arial"/>
            <w:sz w:val="14"/>
            <w:szCs w:val="14"/>
            <w:u w:val="single" w:color="auto"/>
            <w:color w:val="0000EE"/>
          </w:rPr>
          <w:t>PennantPark Investment Advisers, LLC, as servicer, and The Bank of New York Mellon Trust Company, National Association, as securities intermediary, dated as of February 22, 2019</w:t>
        </w:r>
      </w:hyperlink>
      <w:r>
        <w:rPr>
          <w:rFonts w:ascii="Arial" w:cs="Arial" w:eastAsia="Arial" w:hAnsi="Arial"/>
          <w:sz w:val="14"/>
          <w:szCs w:val="14"/>
          <w:u w:val="single" w:color="auto"/>
          <w:color w:val="0000EE"/>
        </w:rPr>
        <w:t xml:space="preserve"> </w:t>
      </w:r>
      <w:hyperlink r:id="rId63">
        <w:r>
          <w:rPr>
            <w:rFonts w:ascii="Arial" w:cs="Arial" w:eastAsia="Arial" w:hAnsi="Arial"/>
            <w:sz w:val="14"/>
            <w:szCs w:val="14"/>
            <w:u w:val="single" w:color="auto"/>
            <w:color w:val="0000EE"/>
          </w:rPr>
          <w:t>(Incorporated by reference to Exhibit 10.2 to the Registrant’s Current Report on Form 8-K (File No. 814-00736), filed on February 26, 2019).</w:t>
        </w:r>
      </w:hyperlink>
    </w:p>
    <w:p>
      <w:pPr>
        <w:spacing w:after="0" w:line="115" w:lineRule="exact"/>
        <w:rPr>
          <w:rFonts w:ascii="Arial" w:cs="Arial" w:eastAsia="Arial" w:hAnsi="Arial"/>
          <w:sz w:val="14"/>
          <w:szCs w:val="14"/>
          <w:u w:val="single" w:color="auto"/>
          <w:color w:val="0000EE"/>
        </w:rPr>
      </w:pPr>
    </w:p>
    <w:p>
      <w:pPr>
        <w:ind w:left="560" w:right="40" w:hanging="552"/>
        <w:spacing w:after="0" w:line="238" w:lineRule="auto"/>
        <w:tabs>
          <w:tab w:leader="none" w:pos="540" w:val="left"/>
        </w:tabs>
        <w:rPr>
          <w:rFonts w:ascii="Arial" w:cs="Arial" w:eastAsia="Arial" w:hAnsi="Arial"/>
          <w:sz w:val="14"/>
          <w:szCs w:val="14"/>
          <w:u w:val="single" w:color="auto"/>
          <w:color w:val="0000EE"/>
        </w:rPr>
      </w:pPr>
      <w:r>
        <w:rPr>
          <w:rFonts w:ascii="Arial" w:cs="Arial" w:eastAsia="Arial" w:hAnsi="Arial"/>
          <w:sz w:val="14"/>
          <w:szCs w:val="14"/>
          <w:color w:val="auto"/>
        </w:rPr>
        <w:t>10.3</w:t>
      </w:r>
      <w:r>
        <w:rPr>
          <w:sz w:val="20"/>
          <w:szCs w:val="20"/>
          <w:color w:val="auto"/>
        </w:rPr>
        <w:tab/>
      </w:r>
      <w:hyperlink r:id="rId64">
        <w:r>
          <w:rPr>
            <w:rFonts w:ascii="Arial" w:cs="Arial" w:eastAsia="Arial" w:hAnsi="Arial"/>
            <w:sz w:val="14"/>
            <w:szCs w:val="14"/>
            <w:u w:val="single" w:color="auto"/>
            <w:color w:val="0000EE"/>
          </w:rPr>
          <w:t>Custodian Agreement by and among PennantPark Investment Funding I, LLC, The Bank of New York Mellon Trust Company, National Association, as custodian, and The Bank of</w:t>
        </w:r>
      </w:hyperlink>
      <w:r>
        <w:rPr>
          <w:rFonts w:ascii="Arial" w:cs="Arial" w:eastAsia="Arial" w:hAnsi="Arial"/>
          <w:sz w:val="14"/>
          <w:szCs w:val="14"/>
          <w:u w:val="single" w:color="auto"/>
          <w:color w:val="0000EE"/>
        </w:rPr>
        <w:t xml:space="preserve"> </w:t>
      </w:r>
      <w:hyperlink r:id="rId64">
        <w:r>
          <w:rPr>
            <w:rFonts w:ascii="Arial" w:cs="Arial" w:eastAsia="Arial" w:hAnsi="Arial"/>
            <w:sz w:val="14"/>
            <w:szCs w:val="14"/>
            <w:u w:val="single" w:color="auto"/>
            <w:color w:val="0000EE"/>
          </w:rPr>
          <w:t>New York Mellon Trust Company, National Association, as collateral agent, dated as of February 22, 2019 (Incorporated by reference to Exhibit 10.3 to the Registrant’s Current Report</w:t>
        </w:r>
      </w:hyperlink>
      <w:r>
        <w:rPr>
          <w:rFonts w:ascii="Arial" w:cs="Arial" w:eastAsia="Arial" w:hAnsi="Arial"/>
          <w:sz w:val="14"/>
          <w:szCs w:val="14"/>
          <w:u w:val="single" w:color="auto"/>
          <w:color w:val="0000EE"/>
        </w:rPr>
        <w:t xml:space="preserve"> </w:t>
      </w:r>
      <w:hyperlink r:id="rId64">
        <w:r>
          <w:rPr>
            <w:rFonts w:ascii="Arial" w:cs="Arial" w:eastAsia="Arial" w:hAnsi="Arial"/>
            <w:sz w:val="14"/>
            <w:szCs w:val="14"/>
            <w:u w:val="single" w:color="auto"/>
            <w:color w:val="0000EE"/>
          </w:rPr>
          <w:t>on Form 8-K (File No. 814-00736), filed on February 26, 2019).</w:t>
        </w:r>
      </w:hyperlink>
    </w:p>
    <w:p>
      <w:pPr>
        <w:spacing w:after="0" w:line="115" w:lineRule="exact"/>
        <w:rPr>
          <w:rFonts w:ascii="Arial" w:cs="Arial" w:eastAsia="Arial" w:hAnsi="Arial"/>
          <w:sz w:val="14"/>
          <w:szCs w:val="14"/>
          <w:u w:val="single" w:color="auto"/>
          <w:color w:val="0000EE"/>
        </w:rPr>
      </w:pPr>
    </w:p>
    <w:p>
      <w:pPr>
        <w:spacing w:after="0"/>
        <w:tabs>
          <w:tab w:leader="none" w:pos="540" w:val="left"/>
        </w:tabs>
        <w:rPr>
          <w:rFonts w:ascii="Arial" w:cs="Arial" w:eastAsia="Arial" w:hAnsi="Arial"/>
          <w:sz w:val="12"/>
          <w:szCs w:val="12"/>
          <w:u w:val="single" w:color="auto"/>
          <w:color w:val="0000EE"/>
        </w:rPr>
      </w:pPr>
      <w:r>
        <w:rPr>
          <w:rFonts w:ascii="Arial" w:cs="Arial" w:eastAsia="Arial" w:hAnsi="Arial"/>
          <w:sz w:val="14"/>
          <w:szCs w:val="14"/>
          <w:color w:val="auto"/>
        </w:rPr>
        <w:t>10.4</w:t>
      </w:r>
      <w:r>
        <w:rPr>
          <w:sz w:val="20"/>
          <w:szCs w:val="20"/>
          <w:color w:val="auto"/>
        </w:rPr>
        <w:tab/>
      </w:r>
      <w:hyperlink r:id="rId65">
        <w:r>
          <w:rPr>
            <w:rFonts w:ascii="Arial" w:cs="Arial" w:eastAsia="Arial" w:hAnsi="Arial"/>
            <w:sz w:val="12"/>
            <w:szCs w:val="12"/>
            <w:u w:val="single" w:color="auto"/>
            <w:color w:val="0000EE"/>
          </w:rPr>
          <w:t>Purchase and Sale Agreement by and between PennantPark Investment Funding I, LLC, as the purchaser, and PennantPark Investment Corporation, as the seller, dated as of February</w:t>
        </w:r>
      </w:hyperlink>
    </w:p>
    <w:p>
      <w:pPr>
        <w:ind w:left="560"/>
        <w:spacing w:after="0"/>
        <w:rPr>
          <w:rFonts w:ascii="Arial" w:cs="Arial" w:eastAsia="Arial" w:hAnsi="Arial"/>
          <w:sz w:val="14"/>
          <w:szCs w:val="14"/>
          <w:u w:val="single" w:color="auto"/>
          <w:color w:val="0000EE"/>
        </w:rPr>
      </w:pPr>
      <w:hyperlink r:id="rId65">
        <w:r>
          <w:rPr>
            <w:rFonts w:ascii="Arial" w:cs="Arial" w:eastAsia="Arial" w:hAnsi="Arial"/>
            <w:sz w:val="14"/>
            <w:szCs w:val="14"/>
            <w:u w:val="single" w:color="auto"/>
            <w:color w:val="0000EE"/>
          </w:rPr>
          <w:t>22, 2019 (Incorporated by reference to Exhibit 10.4 to the Registrant’s Current Report on Form 8-K (File No. 814-00736), filed on February 26, 2019).</w:t>
        </w:r>
      </w:hyperlink>
    </w:p>
    <w:p>
      <w:pPr>
        <w:spacing w:after="0" w:line="124" w:lineRule="exact"/>
        <w:rPr>
          <w:rFonts w:ascii="Arial" w:cs="Arial" w:eastAsia="Arial" w:hAnsi="Arial"/>
          <w:sz w:val="14"/>
          <w:szCs w:val="14"/>
          <w:u w:val="single" w:color="auto"/>
          <w:color w:val="0000EE"/>
        </w:rPr>
      </w:pPr>
    </w:p>
    <w:p>
      <w:pPr>
        <w:jc w:val="both"/>
        <w:ind w:left="560" w:hanging="552"/>
        <w:spacing w:after="0" w:line="238" w:lineRule="auto"/>
        <w:tabs>
          <w:tab w:leader="none" w:pos="540" w:val="left"/>
        </w:tabs>
        <w:rPr>
          <w:rFonts w:ascii="Arial" w:cs="Arial" w:eastAsia="Arial" w:hAnsi="Arial"/>
          <w:sz w:val="14"/>
          <w:szCs w:val="14"/>
          <w:u w:val="single" w:color="auto"/>
          <w:color w:val="0000EE"/>
        </w:rPr>
      </w:pPr>
      <w:r>
        <w:rPr>
          <w:rFonts w:ascii="Arial" w:cs="Arial" w:eastAsia="Arial" w:hAnsi="Arial"/>
          <w:sz w:val="14"/>
          <w:szCs w:val="14"/>
          <w:color w:val="auto"/>
        </w:rPr>
        <w:t>10.5</w:t>
      </w:r>
      <w:r>
        <w:rPr>
          <w:sz w:val="20"/>
          <w:szCs w:val="20"/>
          <w:color w:val="auto"/>
        </w:rPr>
        <w:tab/>
      </w:r>
      <w:hyperlink r:id="rId66">
        <w:r>
          <w:rPr>
            <w:rFonts w:ascii="Arial" w:cs="Arial" w:eastAsia="Arial" w:hAnsi="Arial"/>
            <w:sz w:val="14"/>
            <w:szCs w:val="14"/>
            <w:u w:val="single" w:color="auto"/>
            <w:color w:val="0000EE"/>
          </w:rPr>
          <w:t>Third Amended and Restated Investment Advisory Management Agreement by and between the PennantPark Investment Corporation and PennantPark Investment Advisers, LLC dated</w:t>
        </w:r>
      </w:hyperlink>
      <w:r>
        <w:rPr>
          <w:rFonts w:ascii="Arial" w:cs="Arial" w:eastAsia="Arial" w:hAnsi="Arial"/>
          <w:sz w:val="14"/>
          <w:szCs w:val="14"/>
          <w:u w:val="single" w:color="auto"/>
          <w:color w:val="0000EE"/>
        </w:rPr>
        <w:t xml:space="preserve"> </w:t>
      </w:r>
      <w:hyperlink r:id="rId66">
        <w:r>
          <w:rPr>
            <w:rFonts w:ascii="Arial" w:cs="Arial" w:eastAsia="Arial" w:hAnsi="Arial"/>
            <w:sz w:val="14"/>
            <w:szCs w:val="14"/>
            <w:u w:val="single" w:color="auto"/>
            <w:color w:val="0000EE"/>
          </w:rPr>
          <w:t>as of April 12, 2019 (Incorporated by reference to Exhibit g(3) to the Registrant’s Pre-Effective Amendment No. 1 to the Registration Statement on Form N-2/A (File No. 333-230014),</w:t>
        </w:r>
      </w:hyperlink>
      <w:r>
        <w:rPr>
          <w:rFonts w:ascii="Arial" w:cs="Arial" w:eastAsia="Arial" w:hAnsi="Arial"/>
          <w:sz w:val="14"/>
          <w:szCs w:val="14"/>
          <w:u w:val="single" w:color="auto"/>
          <w:color w:val="0000EE"/>
        </w:rPr>
        <w:t xml:space="preserve"> </w:t>
      </w:r>
      <w:hyperlink r:id="rId66">
        <w:r>
          <w:rPr>
            <w:rFonts w:ascii="Arial" w:cs="Arial" w:eastAsia="Arial" w:hAnsi="Arial"/>
            <w:sz w:val="14"/>
            <w:szCs w:val="14"/>
            <w:u w:val="single" w:color="auto"/>
            <w:color w:val="0000EE"/>
          </w:rPr>
          <w:t>filed on April 12, 2019).</w:t>
        </w:r>
      </w:hyperlink>
    </w:p>
    <w:p>
      <w:pPr>
        <w:spacing w:after="0" w:line="115" w:lineRule="exact"/>
        <w:rPr>
          <w:rFonts w:ascii="Arial" w:cs="Arial" w:eastAsia="Arial" w:hAnsi="Arial"/>
          <w:sz w:val="14"/>
          <w:szCs w:val="14"/>
          <w:u w:val="single" w:color="auto"/>
          <w:color w:val="0000EE"/>
        </w:rPr>
      </w:pPr>
    </w:p>
    <w:p>
      <w:pPr>
        <w:spacing w:after="0"/>
        <w:tabs>
          <w:tab w:leader="none" w:pos="540" w:val="left"/>
        </w:tabs>
        <w:rPr>
          <w:rFonts w:ascii="Arial" w:cs="Arial" w:eastAsia="Arial" w:hAnsi="Arial"/>
          <w:sz w:val="13"/>
          <w:szCs w:val="13"/>
          <w:u w:val="single" w:color="auto"/>
          <w:color w:val="0000EE"/>
        </w:rPr>
      </w:pPr>
      <w:r>
        <w:rPr>
          <w:rFonts w:ascii="Arial" w:cs="Arial" w:eastAsia="Arial" w:hAnsi="Arial"/>
          <w:sz w:val="14"/>
          <w:szCs w:val="14"/>
          <w:color w:val="auto"/>
        </w:rPr>
        <w:t>31.1*</w:t>
      </w:r>
      <w:r>
        <w:rPr>
          <w:sz w:val="20"/>
          <w:szCs w:val="20"/>
          <w:color w:val="auto"/>
        </w:rPr>
        <w:tab/>
      </w:r>
      <w:hyperlink w:anchor="page39">
        <w:r>
          <w:rPr>
            <w:rFonts w:ascii="Arial" w:cs="Arial" w:eastAsia="Arial" w:hAnsi="Arial"/>
            <w:sz w:val="13"/>
            <w:szCs w:val="13"/>
            <w:u w:val="single" w:color="auto"/>
            <w:color w:val="0000EE"/>
          </w:rPr>
          <w:t>Certification of Chief Executive Officer pursuant to Rule 13a-14 of the Securities Exchange Act of 1934, as amended.</w:t>
        </w:r>
      </w:hyperlink>
    </w:p>
    <w:p>
      <w:pPr>
        <w:spacing w:after="0" w:line="136" w:lineRule="exact"/>
        <w:rPr>
          <w:rFonts w:ascii="Arial" w:cs="Arial" w:eastAsia="Arial" w:hAnsi="Arial"/>
          <w:sz w:val="14"/>
          <w:szCs w:val="14"/>
          <w:u w:val="single" w:color="auto"/>
          <w:color w:val="0000EE"/>
        </w:rPr>
      </w:pPr>
    </w:p>
    <w:p>
      <w:pPr>
        <w:spacing w:after="0"/>
        <w:tabs>
          <w:tab w:leader="none" w:pos="540" w:val="left"/>
        </w:tabs>
        <w:rPr>
          <w:rFonts w:ascii="Arial" w:cs="Arial" w:eastAsia="Arial" w:hAnsi="Arial"/>
          <w:sz w:val="13"/>
          <w:szCs w:val="13"/>
          <w:u w:val="single" w:color="auto"/>
          <w:color w:val="0000EE"/>
        </w:rPr>
      </w:pPr>
      <w:r>
        <w:rPr>
          <w:rFonts w:ascii="Arial" w:cs="Arial" w:eastAsia="Arial" w:hAnsi="Arial"/>
          <w:sz w:val="14"/>
          <w:szCs w:val="14"/>
          <w:color w:val="auto"/>
        </w:rPr>
        <w:t>31.2*</w:t>
      </w:r>
      <w:r>
        <w:rPr>
          <w:sz w:val="20"/>
          <w:szCs w:val="20"/>
          <w:color w:val="auto"/>
        </w:rPr>
        <w:tab/>
      </w:r>
      <w:hyperlink w:anchor="page40">
        <w:r>
          <w:rPr>
            <w:rFonts w:ascii="Arial" w:cs="Arial" w:eastAsia="Arial" w:hAnsi="Arial"/>
            <w:sz w:val="13"/>
            <w:szCs w:val="13"/>
            <w:u w:val="single" w:color="auto"/>
            <w:color w:val="0000EE"/>
          </w:rPr>
          <w:t>Certification of Chief Financial Officer pursuant to Rule 13a-14 of the Securities Exchange Act of 1934, as amended.</w:t>
        </w:r>
      </w:hyperlink>
    </w:p>
    <w:p>
      <w:pPr>
        <w:spacing w:after="0" w:line="136" w:lineRule="exact"/>
        <w:rPr>
          <w:rFonts w:ascii="Arial" w:cs="Arial" w:eastAsia="Arial" w:hAnsi="Arial"/>
          <w:sz w:val="14"/>
          <w:szCs w:val="14"/>
          <w:u w:val="single" w:color="auto"/>
          <w:color w:val="0000EE"/>
        </w:rPr>
      </w:pPr>
    </w:p>
    <w:p>
      <w:pPr>
        <w:spacing w:after="0"/>
        <w:tabs>
          <w:tab w:leader="none" w:pos="540" w:val="left"/>
        </w:tabs>
        <w:rPr>
          <w:rFonts w:ascii="Arial" w:cs="Arial" w:eastAsia="Arial" w:hAnsi="Arial"/>
          <w:sz w:val="13"/>
          <w:szCs w:val="13"/>
          <w:u w:val="single" w:color="auto"/>
          <w:color w:val="0000EE"/>
        </w:rPr>
      </w:pPr>
      <w:r>
        <w:rPr>
          <w:rFonts w:ascii="Arial" w:cs="Arial" w:eastAsia="Arial" w:hAnsi="Arial"/>
          <w:sz w:val="14"/>
          <w:szCs w:val="14"/>
          <w:color w:val="auto"/>
        </w:rPr>
        <w:t>32.1*</w:t>
      </w:r>
      <w:r>
        <w:rPr>
          <w:sz w:val="20"/>
          <w:szCs w:val="20"/>
          <w:color w:val="auto"/>
        </w:rPr>
        <w:tab/>
      </w:r>
      <w:hyperlink w:anchor="page41">
        <w:r>
          <w:rPr>
            <w:rFonts w:ascii="Arial" w:cs="Arial" w:eastAsia="Arial" w:hAnsi="Arial"/>
            <w:sz w:val="13"/>
            <w:szCs w:val="13"/>
            <w:u w:val="single" w:color="auto"/>
            <w:color w:val="0000EE"/>
          </w:rPr>
          <w:t>Certification of Chief Executive Officer pursuant to Section 906 of the Sarbanes-Oxley Act of 2002.</w:t>
        </w:r>
      </w:hyperlink>
    </w:p>
    <w:p>
      <w:pPr>
        <w:spacing w:after="0" w:line="136" w:lineRule="exact"/>
        <w:rPr>
          <w:rFonts w:ascii="Arial" w:cs="Arial" w:eastAsia="Arial" w:hAnsi="Arial"/>
          <w:sz w:val="14"/>
          <w:szCs w:val="14"/>
          <w:u w:val="single" w:color="auto"/>
          <w:color w:val="0000EE"/>
        </w:rPr>
      </w:pPr>
    </w:p>
    <w:p>
      <w:pPr>
        <w:spacing w:after="0"/>
        <w:tabs>
          <w:tab w:leader="none" w:pos="540" w:val="left"/>
        </w:tabs>
        <w:rPr>
          <w:rFonts w:ascii="Arial" w:cs="Arial" w:eastAsia="Arial" w:hAnsi="Arial"/>
          <w:sz w:val="13"/>
          <w:szCs w:val="13"/>
          <w:u w:val="single" w:color="auto"/>
          <w:color w:val="0000EE"/>
        </w:rPr>
      </w:pPr>
      <w:r>
        <w:rPr>
          <w:rFonts w:ascii="Arial" w:cs="Arial" w:eastAsia="Arial" w:hAnsi="Arial"/>
          <w:sz w:val="14"/>
          <w:szCs w:val="14"/>
          <w:color w:val="auto"/>
        </w:rPr>
        <w:t>32.2*</w:t>
      </w:r>
      <w:r>
        <w:rPr>
          <w:sz w:val="20"/>
          <w:szCs w:val="20"/>
          <w:color w:val="auto"/>
        </w:rPr>
        <w:tab/>
      </w:r>
      <w:hyperlink w:anchor="page42">
        <w:r>
          <w:rPr>
            <w:rFonts w:ascii="Arial" w:cs="Arial" w:eastAsia="Arial" w:hAnsi="Arial"/>
            <w:sz w:val="13"/>
            <w:szCs w:val="13"/>
            <w:u w:val="single" w:color="auto"/>
            <w:color w:val="0000EE"/>
          </w:rPr>
          <w:t>Certification of Chief Financial Officer pursuant to Section 906 of the Sarbanes-Oxley Act of 2002.</w:t>
        </w:r>
      </w:hyperlink>
    </w:p>
    <w:p>
      <w:pPr>
        <w:spacing w:after="0" w:line="136" w:lineRule="exact"/>
        <w:rPr>
          <w:rFonts w:ascii="Arial" w:cs="Arial" w:eastAsia="Arial" w:hAnsi="Arial"/>
          <w:sz w:val="14"/>
          <w:szCs w:val="14"/>
          <w:u w:val="single" w:color="auto"/>
          <w:color w:val="0000EE"/>
        </w:rPr>
      </w:pPr>
    </w:p>
    <w:p>
      <w:pPr>
        <w:spacing w:after="0"/>
        <w:tabs>
          <w:tab w:leader="none" w:pos="540" w:val="left"/>
        </w:tabs>
        <w:rPr>
          <w:rFonts w:ascii="Arial" w:cs="Arial" w:eastAsia="Arial" w:hAnsi="Arial"/>
          <w:sz w:val="13"/>
          <w:szCs w:val="13"/>
          <w:u w:val="single" w:color="auto"/>
          <w:color w:val="0000EE"/>
        </w:rPr>
      </w:pPr>
      <w:r>
        <w:rPr>
          <w:rFonts w:ascii="Arial" w:cs="Arial" w:eastAsia="Arial" w:hAnsi="Arial"/>
          <w:sz w:val="14"/>
          <w:szCs w:val="14"/>
          <w:color w:val="auto"/>
        </w:rPr>
        <w:t>99.1</w:t>
      </w:r>
      <w:r>
        <w:rPr>
          <w:sz w:val="20"/>
          <w:szCs w:val="20"/>
          <w:color w:val="auto"/>
        </w:rPr>
        <w:tab/>
      </w:r>
      <w:hyperlink r:id="rId67">
        <w:r>
          <w:rPr>
            <w:rFonts w:ascii="Arial" w:cs="Arial" w:eastAsia="Arial" w:hAnsi="Arial"/>
            <w:sz w:val="13"/>
            <w:szCs w:val="13"/>
            <w:u w:val="single" w:color="auto"/>
            <w:color w:val="0000EE"/>
          </w:rPr>
          <w:t>Privacy Policy of the Registrant (Incorporated by reference to Exhibit 99.1 to the Registrant’s Annual Report on Form 10-K (File No. 814-00736), filed on November 16, 2011)</w:t>
        </w:r>
        <w:r>
          <w:rPr>
            <w:rFonts w:ascii="Arial" w:cs="Arial" w:eastAsia="Arial" w:hAnsi="Arial"/>
            <w:sz w:val="13"/>
            <w:szCs w:val="13"/>
            <w:color w:val="0000EE"/>
          </w:rPr>
          <w:t>.</w:t>
        </w:r>
      </w:hyperlink>
    </w:p>
    <w:p>
      <w:pPr>
        <w:spacing w:after="0" w:line="163" w:lineRule="exact"/>
        <w:rPr>
          <w:rFonts w:ascii="Arial" w:cs="Arial" w:eastAsia="Arial" w:hAnsi="Arial"/>
          <w:sz w:val="14"/>
          <w:szCs w:val="14"/>
          <w:u w:val="single" w:color="auto"/>
          <w:color w:val="0000EE"/>
        </w:rPr>
      </w:pPr>
    </w:p>
    <w:p>
      <w:pPr>
        <w:spacing w:after="0"/>
        <w:rPr>
          <w:sz w:val="20"/>
          <w:szCs w:val="20"/>
          <w:color w:val="auto"/>
        </w:rPr>
      </w:pPr>
      <w:r>
        <w:rPr>
          <w:rFonts w:ascii="Arial" w:cs="Arial" w:eastAsia="Arial" w:hAnsi="Arial"/>
          <w:sz w:val="14"/>
          <w:szCs w:val="14"/>
          <w:color w:val="auto"/>
        </w:rPr>
        <w:t>* Filed herewith.</w:t>
      </w:r>
    </w:p>
    <w:p>
      <w:pPr>
        <w:spacing w:after="0" w:line="20" w:lineRule="exact"/>
        <w:rPr>
          <w:rFonts w:ascii="Arial" w:cs="Arial" w:eastAsia="Arial" w:hAnsi="Arial"/>
          <w:sz w:val="14"/>
          <w:szCs w:val="14"/>
          <w:u w:val="single" w:color="auto"/>
          <w:color w:val="0000EE"/>
        </w:rPr>
      </w:pPr>
      <w:r>
        <w:rPr>
          <w:rFonts w:ascii="Arial" w:cs="Arial" w:eastAsia="Arial" w:hAnsi="Arial"/>
          <w:sz w:val="14"/>
          <w:szCs w:val="14"/>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332" w:lineRule="exact"/>
        <w:rPr>
          <w:rFonts w:ascii="Arial" w:cs="Arial" w:eastAsia="Arial" w:hAnsi="Arial"/>
          <w:sz w:val="14"/>
          <w:szCs w:val="14"/>
          <w:u w:val="single" w:color="auto"/>
          <w:color w:val="0000EE"/>
        </w:rPr>
      </w:pPr>
    </w:p>
    <w:p>
      <w:pPr>
        <w:jc w:val="center"/>
        <w:ind w:right="-39"/>
        <w:spacing w:after="0"/>
        <w:rPr>
          <w:sz w:val="20"/>
          <w:szCs w:val="20"/>
          <w:color w:val="auto"/>
        </w:rPr>
      </w:pPr>
      <w:r>
        <w:rPr>
          <w:rFonts w:ascii="Arial" w:cs="Arial" w:eastAsia="Arial" w:hAnsi="Arial"/>
          <w:sz w:val="14"/>
          <w:szCs w:val="14"/>
          <w:color w:val="auto"/>
        </w:rPr>
        <w:t>37</w:t>
      </w:r>
    </w:p>
    <w:p>
      <w:pPr>
        <w:spacing w:after="0" w:line="20" w:lineRule="exact"/>
        <w:rPr>
          <w:rFonts w:ascii="Arial" w:cs="Arial" w:eastAsia="Arial" w:hAnsi="Arial"/>
          <w:sz w:val="14"/>
          <w:szCs w:val="14"/>
          <w:u w:val="single" w:color="auto"/>
          <w:color w:val="0000EE"/>
        </w:rPr>
      </w:pPr>
      <w:r>
        <w:rPr>
          <w:rFonts w:ascii="Arial" w:cs="Arial" w:eastAsia="Arial" w:hAnsi="Arial"/>
          <w:sz w:val="14"/>
          <w:szCs w:val="14"/>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37" w:name="page38"/>
    <w:bookmarkEnd w:id="37"/>
    <w:p>
      <w:pPr>
        <w:jc w:val="center"/>
        <w:ind w:right="-319"/>
        <w:spacing w:after="0"/>
        <w:rPr>
          <w:sz w:val="20"/>
          <w:szCs w:val="20"/>
          <w:color w:val="auto"/>
        </w:rPr>
      </w:pPr>
      <w:r>
        <w:rPr>
          <w:rFonts w:ascii="Arial" w:cs="Arial" w:eastAsia="Arial" w:hAnsi="Arial"/>
          <w:sz w:val="14"/>
          <w:szCs w:val="14"/>
          <w:b w:val="1"/>
          <w:bCs w:val="1"/>
          <w:color w:val="auto"/>
        </w:rPr>
        <w:t>SIGNATURES</w:t>
      </w:r>
    </w:p>
    <w:p>
      <w:pPr>
        <w:spacing w:after="0" w:line="289" w:lineRule="exact"/>
        <w:rPr>
          <w:sz w:val="20"/>
          <w:szCs w:val="20"/>
          <w:color w:val="auto"/>
        </w:rPr>
      </w:pPr>
    </w:p>
    <w:p>
      <w:pPr>
        <w:ind w:firstLine="436"/>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ectPr>
          <w:pgSz w:w="11900" w:h="16838" w:orient="portrait"/>
          <w:cols w:equalWidth="0" w:num="1">
            <w:col w:w="10940"/>
          </w:cols>
          <w:pgMar w:left="320" w:top="333" w:right="6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Date: May 9, 2019</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Date: May 9,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1460" w:right="1480" w:hanging="1376"/>
        <w:spacing w:after="0" w:line="473" w:lineRule="auto"/>
        <w:rPr>
          <w:sz w:val="20"/>
          <w:szCs w:val="20"/>
          <w:color w:val="auto"/>
        </w:rPr>
      </w:pPr>
      <w:r>
        <w:rPr>
          <w:rFonts w:ascii="Arial" w:cs="Arial" w:eastAsia="Arial" w:hAnsi="Arial"/>
          <w:sz w:val="13"/>
          <w:szCs w:val="13"/>
          <w:color w:val="auto"/>
        </w:rPr>
        <w:t>PENNANTPARK INVESTMENT CORPORATION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-19050</wp:posOffset>
            </wp:positionV>
            <wp:extent cx="29057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jc w:val="center"/>
        <w:ind w:right="640"/>
        <w:spacing w:after="0"/>
        <w:rPr>
          <w:sz w:val="20"/>
          <w:szCs w:val="20"/>
          <w:color w:val="auto"/>
        </w:rPr>
      </w:pPr>
      <w:r>
        <w:rPr>
          <w:rFonts w:ascii="Arial" w:cs="Arial" w:eastAsia="Arial" w:hAnsi="Arial"/>
          <w:sz w:val="14"/>
          <w:szCs w:val="14"/>
          <w:b w:val="1"/>
          <w:bCs w:val="1"/>
          <w:color w:val="auto"/>
        </w:rPr>
        <w:t>Arthur H. Penn</w:t>
      </w:r>
    </w:p>
    <w:p>
      <w:pPr>
        <w:spacing w:after="0" w:line="3" w:lineRule="exact"/>
        <w:rPr>
          <w:sz w:val="20"/>
          <w:szCs w:val="20"/>
          <w:color w:val="auto"/>
        </w:rPr>
      </w:pPr>
    </w:p>
    <w:p>
      <w:pPr>
        <w:jc w:val="center"/>
        <w:ind w:right="640"/>
        <w:spacing w:after="0"/>
        <w:rPr>
          <w:sz w:val="20"/>
          <w:szCs w:val="20"/>
          <w:color w:val="auto"/>
        </w:rPr>
      </w:pPr>
      <w:r>
        <w:rPr>
          <w:rFonts w:ascii="Arial" w:cs="Arial" w:eastAsia="Arial" w:hAnsi="Arial"/>
          <w:sz w:val="13"/>
          <w:szCs w:val="13"/>
          <w:b w:val="1"/>
          <w:bCs w:val="1"/>
          <w:color w:val="auto"/>
        </w:rPr>
        <w:t>Chief Executive Officer and Chairman of the Board of Directors</w:t>
      </w:r>
    </w:p>
    <w:p>
      <w:pPr>
        <w:jc w:val="center"/>
        <w:ind w:right="640"/>
        <w:spacing w:after="0"/>
        <w:rPr>
          <w:sz w:val="20"/>
          <w:szCs w:val="20"/>
          <w:color w:val="auto"/>
        </w:rPr>
      </w:pPr>
      <w:r>
        <w:rPr>
          <w:rFonts w:ascii="Arial" w:cs="Arial" w:eastAsia="Arial" w:hAnsi="Arial"/>
          <w:sz w:val="14"/>
          <w:szCs w:val="14"/>
          <w:b w:val="1"/>
          <w:bCs w:val="1"/>
          <w:color w:val="auto"/>
        </w:rPr>
        <w:t>(Principal Executive Officer)</w:t>
      </w:r>
    </w:p>
    <w:p>
      <w:pPr>
        <w:spacing w:after="0" w:line="192" w:lineRule="exact"/>
        <w:rPr>
          <w:sz w:val="20"/>
          <w:szCs w:val="20"/>
          <w:color w:val="auto"/>
        </w:rPr>
      </w:pPr>
    </w:p>
    <w:p>
      <w:pPr>
        <w:jc w:val="center"/>
        <w:ind w:right="640"/>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3810</wp:posOffset>
            </wp:positionV>
            <wp:extent cx="29057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8"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Aviv Efrat</w:t>
      </w:r>
    </w:p>
    <w:p>
      <w:pPr>
        <w:spacing w:after="0" w:line="82"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ectPr>
          <w:pgSz w:w="11900" w:h="16838" w:orient="portrait"/>
          <w:cols w:equalWidth="0" w:num="3">
            <w:col w:w="4540" w:space="720"/>
            <w:col w:w="360" w:space="720"/>
            <w:col w:w="4600"/>
          </w:cols>
          <w:pgMar w:left="320" w:top="333" w:right="639" w:bottom="1440" w:gutter="0" w:footer="0" w:header="0"/>
          <w:type w:val="continuous"/>
        </w:sectPr>
      </w:pPr>
    </w:p>
    <w:p>
      <w:pPr>
        <w:spacing w:after="0" w:line="289" w:lineRule="exact"/>
        <w:rPr>
          <w:sz w:val="20"/>
          <w:szCs w:val="20"/>
          <w:color w:val="auto"/>
        </w:rPr>
      </w:pPr>
    </w:p>
    <w:p>
      <w:pPr>
        <w:jc w:val="center"/>
        <w:ind w:right="-319"/>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0940"/>
          </w:cols>
          <w:pgMar w:left="320" w:top="333" w:right="63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4"/>
          <w:szCs w:val="14"/>
          <w:b w:val="1"/>
          <w:bCs w:val="1"/>
          <w:color w:val="auto"/>
        </w:rPr>
        <w:t>EXHIBIT 31.1</w:t>
      </w:r>
    </w:p>
    <w:p>
      <w:pPr>
        <w:spacing w:after="0" w:line="136" w:lineRule="exact"/>
        <w:rPr>
          <w:sz w:val="20"/>
          <w:szCs w:val="20"/>
          <w:color w:val="auto"/>
        </w:rPr>
      </w:pPr>
    </w:p>
    <w:p>
      <w:pPr>
        <w:ind w:left="410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Investment Corporation, certify that:</w:t>
      </w:r>
    </w:p>
    <w:p>
      <w:pPr>
        <w:spacing w:after="0" w:line="123" w:lineRule="exact"/>
        <w:rPr>
          <w:sz w:val="20"/>
          <w:szCs w:val="20"/>
          <w:color w:val="auto"/>
        </w:rPr>
      </w:pPr>
    </w:p>
    <w:p>
      <w:pPr>
        <w:ind w:left="600" w:hanging="145"/>
        <w:spacing w:after="0"/>
        <w:tabs>
          <w:tab w:leader="none" w:pos="600" w:val="left"/>
        </w:tabs>
        <w:numPr>
          <w:ilvl w:val="1"/>
          <w:numId w:val="30"/>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63" w:lineRule="exact"/>
        <w:rPr>
          <w:rFonts w:ascii="Arial" w:cs="Arial" w:eastAsia="Arial" w:hAnsi="Arial"/>
          <w:sz w:val="14"/>
          <w:szCs w:val="14"/>
          <w:color w:val="auto"/>
        </w:rPr>
      </w:pPr>
    </w:p>
    <w:p>
      <w:pPr>
        <w:ind w:right="480" w:firstLine="441"/>
        <w:spacing w:after="0" w:line="313" w:lineRule="auto"/>
        <w:tabs>
          <w:tab w:leader="none" w:pos="577" w:val="left"/>
        </w:tabs>
        <w:numPr>
          <w:ilvl w:val="0"/>
          <w:numId w:val="3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4"/>
          <w:szCs w:val="14"/>
          <w:color w:val="auto"/>
        </w:rPr>
      </w:pPr>
    </w:p>
    <w:p>
      <w:pPr>
        <w:ind w:right="580" w:firstLine="448"/>
        <w:spacing w:after="0" w:line="253" w:lineRule="auto"/>
        <w:tabs>
          <w:tab w:leader="none" w:pos="584" w:val="left"/>
        </w:tabs>
        <w:numPr>
          <w:ilvl w:val="0"/>
          <w:numId w:val="3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4"/>
          <w:szCs w:val="14"/>
          <w:color w:val="auto"/>
        </w:rPr>
      </w:pPr>
    </w:p>
    <w:p>
      <w:pPr>
        <w:ind w:right="200" w:firstLine="455"/>
        <w:spacing w:after="0" w:line="253" w:lineRule="auto"/>
        <w:tabs>
          <w:tab w:leader="none" w:pos="591" w:val="left"/>
        </w:tabs>
        <w:numPr>
          <w:ilvl w:val="1"/>
          <w:numId w:val="3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right="440" w:firstLine="695"/>
        <w:spacing w:after="0" w:line="405" w:lineRule="auto"/>
        <w:tabs>
          <w:tab w:leader="none" w:pos="832" w:val="left"/>
        </w:tabs>
        <w:numPr>
          <w:ilvl w:val="2"/>
          <w:numId w:val="3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2"/>
          <w:szCs w:val="12"/>
          <w:color w:val="auto"/>
        </w:rPr>
      </w:pPr>
    </w:p>
    <w:p>
      <w:pPr>
        <w:ind w:right="620" w:firstLine="692"/>
        <w:spacing w:after="0" w:line="405" w:lineRule="auto"/>
        <w:tabs>
          <w:tab w:leader="none" w:pos="838" w:val="left"/>
        </w:tabs>
        <w:numPr>
          <w:ilvl w:val="2"/>
          <w:numId w:val="3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2"/>
          <w:szCs w:val="12"/>
          <w:color w:val="auto"/>
        </w:rPr>
      </w:pPr>
    </w:p>
    <w:p>
      <w:pPr>
        <w:ind w:right="340" w:firstLine="719"/>
        <w:spacing w:after="0" w:line="313" w:lineRule="auto"/>
        <w:tabs>
          <w:tab w:leader="none" w:pos="856" w:val="left"/>
        </w:tabs>
        <w:numPr>
          <w:ilvl w:val="3"/>
          <w:numId w:val="3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4"/>
          <w:szCs w:val="14"/>
          <w:color w:val="auto"/>
        </w:rPr>
      </w:pPr>
    </w:p>
    <w:p>
      <w:pPr>
        <w:ind w:right="480" w:firstLine="705"/>
        <w:spacing w:after="0" w:line="355" w:lineRule="auto"/>
        <w:tabs>
          <w:tab w:leader="none" w:pos="850" w:val="left"/>
        </w:tabs>
        <w:numPr>
          <w:ilvl w:val="3"/>
          <w:numId w:val="3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right="380" w:firstLine="447"/>
        <w:spacing w:after="0" w:line="313" w:lineRule="auto"/>
        <w:tabs>
          <w:tab w:leader="none" w:pos="583" w:val="left"/>
        </w:tabs>
        <w:numPr>
          <w:ilvl w:val="1"/>
          <w:numId w:val="31"/>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4"/>
          <w:szCs w:val="14"/>
          <w:color w:val="auto"/>
        </w:rPr>
      </w:pPr>
    </w:p>
    <w:p>
      <w:pPr>
        <w:ind w:right="100" w:firstLine="719"/>
        <w:spacing w:after="0" w:line="313" w:lineRule="auto"/>
        <w:tabs>
          <w:tab w:leader="none" w:pos="856" w:val="left"/>
        </w:tabs>
        <w:numPr>
          <w:ilvl w:val="3"/>
          <w:numId w:val="3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4"/>
          <w:szCs w:val="14"/>
          <w:color w:val="auto"/>
        </w:rPr>
      </w:pPr>
    </w:p>
    <w:p>
      <w:pPr>
        <w:ind w:left="860" w:hanging="161"/>
        <w:spacing w:after="0"/>
        <w:tabs>
          <w:tab w:leader="none" w:pos="860" w:val="left"/>
        </w:tabs>
        <w:numPr>
          <w:ilvl w:val="3"/>
          <w:numId w:val="3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Dated: May 9, 2019</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ectPr>
          <w:pgSz w:w="11900" w:h="16838" w:orient="portrait"/>
          <w:cols w:equalWidth="0" w:num="1">
            <w:col w:w="11240"/>
          </w:cols>
          <w:pgMar w:left="320" w:top="346" w:right="339" w:bottom="1440" w:gutter="0" w:footer="0" w:header="0"/>
        </w:sectPr>
      </w:pPr>
    </w:p>
    <w:bookmarkStart w:id="39" w:name="page40"/>
    <w:bookmarkEnd w:id="39"/>
    <w:p>
      <w:pPr>
        <w:ind w:left="9960"/>
        <w:spacing w:after="0"/>
        <w:rPr>
          <w:sz w:val="20"/>
          <w:szCs w:val="20"/>
          <w:color w:val="auto"/>
        </w:rPr>
      </w:pPr>
      <w:r>
        <w:rPr>
          <w:rFonts w:ascii="Arial" w:cs="Arial" w:eastAsia="Arial" w:hAnsi="Arial"/>
          <w:sz w:val="14"/>
          <w:szCs w:val="14"/>
          <w:b w:val="1"/>
          <w:bCs w:val="1"/>
          <w:color w:val="auto"/>
        </w:rPr>
        <w:t>EXHIBIT 31.2</w:t>
      </w:r>
    </w:p>
    <w:p>
      <w:pPr>
        <w:spacing w:after="0" w:line="176" w:lineRule="exact"/>
        <w:rPr>
          <w:sz w:val="20"/>
          <w:szCs w:val="20"/>
          <w:color w:val="auto"/>
        </w:rPr>
      </w:pPr>
    </w:p>
    <w:p>
      <w:pPr>
        <w:ind w:left="410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17"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Investment Corporation, certify that:</w:t>
      </w:r>
    </w:p>
    <w:p>
      <w:pPr>
        <w:spacing w:after="0" w:line="123" w:lineRule="exact"/>
        <w:rPr>
          <w:sz w:val="20"/>
          <w:szCs w:val="20"/>
          <w:color w:val="auto"/>
        </w:rPr>
      </w:pPr>
    </w:p>
    <w:p>
      <w:pPr>
        <w:ind w:left="600" w:hanging="145"/>
        <w:spacing w:after="0"/>
        <w:tabs>
          <w:tab w:leader="none" w:pos="600" w:val="left"/>
        </w:tabs>
        <w:numPr>
          <w:ilvl w:val="1"/>
          <w:numId w:val="33"/>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63" w:lineRule="exact"/>
        <w:rPr>
          <w:rFonts w:ascii="Arial" w:cs="Arial" w:eastAsia="Arial" w:hAnsi="Arial"/>
          <w:sz w:val="14"/>
          <w:szCs w:val="14"/>
          <w:color w:val="auto"/>
        </w:rPr>
      </w:pPr>
    </w:p>
    <w:p>
      <w:pPr>
        <w:ind w:right="380" w:firstLine="441"/>
        <w:spacing w:after="0" w:line="313" w:lineRule="auto"/>
        <w:tabs>
          <w:tab w:leader="none" w:pos="577" w:val="left"/>
        </w:tabs>
        <w:numPr>
          <w:ilvl w:val="0"/>
          <w:numId w:val="3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4"/>
          <w:szCs w:val="14"/>
          <w:color w:val="auto"/>
        </w:rPr>
      </w:pPr>
    </w:p>
    <w:p>
      <w:pPr>
        <w:ind w:right="480" w:firstLine="448"/>
        <w:spacing w:after="0" w:line="253" w:lineRule="auto"/>
        <w:tabs>
          <w:tab w:leader="none" w:pos="584" w:val="left"/>
        </w:tabs>
        <w:numPr>
          <w:ilvl w:val="0"/>
          <w:numId w:val="3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4"/>
          <w:szCs w:val="14"/>
          <w:color w:val="auto"/>
        </w:rPr>
      </w:pPr>
    </w:p>
    <w:p>
      <w:pPr>
        <w:ind w:left="580" w:hanging="139"/>
        <w:spacing w:after="0"/>
        <w:tabs>
          <w:tab w:leader="none" w:pos="5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51" w:lineRule="exact"/>
        <w:rPr>
          <w:rFonts w:ascii="Arial" w:cs="Arial" w:eastAsia="Arial" w:hAnsi="Arial"/>
          <w:sz w:val="13"/>
          <w:szCs w:val="13"/>
          <w:color w:val="auto"/>
        </w:rPr>
      </w:pPr>
    </w:p>
    <w:p>
      <w:pPr>
        <w:ind w:right="340" w:firstLine="695"/>
        <w:spacing w:after="0" w:line="405" w:lineRule="auto"/>
        <w:tabs>
          <w:tab w:leader="none" w:pos="832" w:val="left"/>
        </w:tabs>
        <w:numPr>
          <w:ilvl w:val="2"/>
          <w:numId w:val="3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2"/>
          <w:szCs w:val="12"/>
          <w:color w:val="auto"/>
        </w:rPr>
      </w:pPr>
    </w:p>
    <w:p>
      <w:pPr>
        <w:ind w:right="520" w:firstLine="692"/>
        <w:spacing w:after="0" w:line="405" w:lineRule="auto"/>
        <w:tabs>
          <w:tab w:leader="none" w:pos="838" w:val="left"/>
        </w:tabs>
        <w:numPr>
          <w:ilvl w:val="2"/>
          <w:numId w:val="3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2"/>
          <w:szCs w:val="12"/>
          <w:color w:val="auto"/>
        </w:rPr>
      </w:pPr>
    </w:p>
    <w:p>
      <w:pPr>
        <w:ind w:right="240" w:firstLine="719"/>
        <w:spacing w:after="0" w:line="313" w:lineRule="auto"/>
        <w:tabs>
          <w:tab w:leader="none" w:pos="856" w:val="left"/>
        </w:tabs>
        <w:numPr>
          <w:ilvl w:val="3"/>
          <w:numId w:val="3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4"/>
          <w:szCs w:val="14"/>
          <w:color w:val="auto"/>
        </w:rPr>
      </w:pPr>
    </w:p>
    <w:p>
      <w:pPr>
        <w:ind w:right="380" w:firstLine="705"/>
        <w:spacing w:after="0" w:line="355" w:lineRule="auto"/>
        <w:tabs>
          <w:tab w:leader="none" w:pos="850" w:val="left"/>
        </w:tabs>
        <w:numPr>
          <w:ilvl w:val="3"/>
          <w:numId w:val="3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right="280" w:firstLine="447"/>
        <w:spacing w:after="0" w:line="313" w:lineRule="auto"/>
        <w:tabs>
          <w:tab w:leader="none" w:pos="583" w:val="left"/>
        </w:tabs>
        <w:numPr>
          <w:ilvl w:val="1"/>
          <w:numId w:val="3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4"/>
          <w:szCs w:val="14"/>
          <w:color w:val="auto"/>
        </w:rPr>
      </w:pPr>
    </w:p>
    <w:p>
      <w:pPr>
        <w:ind w:firstLine="719"/>
        <w:spacing w:after="0" w:line="313" w:lineRule="auto"/>
        <w:tabs>
          <w:tab w:leader="none" w:pos="856" w:val="left"/>
        </w:tabs>
        <w:numPr>
          <w:ilvl w:val="3"/>
          <w:numId w:val="3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4"/>
          <w:szCs w:val="14"/>
          <w:color w:val="auto"/>
        </w:rPr>
      </w:pPr>
    </w:p>
    <w:p>
      <w:pPr>
        <w:ind w:left="860" w:hanging="161"/>
        <w:spacing w:after="0"/>
        <w:tabs>
          <w:tab w:leader="none" w:pos="860" w:val="left"/>
        </w:tabs>
        <w:numPr>
          <w:ilvl w:val="3"/>
          <w:numId w:val="3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Dated: May 9, 2019</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ectPr>
          <w:pgSz w:w="11900" w:h="16838" w:orient="portrait"/>
          <w:cols w:equalWidth="0" w:num="1">
            <w:col w:w="11140"/>
          </w:cols>
          <w:pgMar w:left="320" w:top="118" w:right="439" w:bottom="1440" w:gutter="0" w:footer="0" w:header="0"/>
        </w:sectPr>
      </w:pPr>
    </w:p>
    <w:bookmarkStart w:id="40" w:name="page41"/>
    <w:bookmarkEnd w:id="40"/>
    <w:p>
      <w:pPr>
        <w:jc w:val="right"/>
        <w:spacing w:after="0"/>
        <w:rPr>
          <w:sz w:val="20"/>
          <w:szCs w:val="20"/>
          <w:color w:val="auto"/>
        </w:rPr>
      </w:pPr>
      <w:r>
        <w:rPr>
          <w:rFonts w:ascii="Arial" w:cs="Arial" w:eastAsia="Arial" w:hAnsi="Arial"/>
          <w:sz w:val="14"/>
          <w:szCs w:val="14"/>
          <w:b w:val="1"/>
          <w:bCs w:val="1"/>
          <w:color w:val="auto"/>
        </w:rPr>
        <w:t>EXHIBIT 32.1</w:t>
      </w:r>
    </w:p>
    <w:p>
      <w:pPr>
        <w:spacing w:after="0" w:line="258"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55"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PURSUANT TO</w:t>
      </w:r>
    </w:p>
    <w:p>
      <w:pPr>
        <w:spacing w:after="0" w:line="28"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81" w:lineRule="exact"/>
        <w:rPr>
          <w:sz w:val="20"/>
          <w:szCs w:val="20"/>
          <w:color w:val="auto"/>
        </w:rPr>
      </w:pPr>
    </w:p>
    <w:p>
      <w:pPr>
        <w:ind w:left="120" w:right="40" w:firstLine="408"/>
        <w:spacing w:after="0" w:line="290" w:lineRule="auto"/>
        <w:rPr>
          <w:sz w:val="20"/>
          <w:szCs w:val="20"/>
          <w:color w:val="auto"/>
        </w:rPr>
      </w:pPr>
      <w:r>
        <w:rPr>
          <w:rFonts w:ascii="Arial" w:cs="Arial" w:eastAsia="Arial" w:hAnsi="Arial"/>
          <w:sz w:val="13"/>
          <w:szCs w:val="13"/>
          <w:color w:val="auto"/>
        </w:rPr>
        <w:t>In connection with this Report on Form 10-Q for the three and six months ended March 31, 2019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84" w:lineRule="exact"/>
        <w:rPr>
          <w:sz w:val="20"/>
          <w:szCs w:val="20"/>
          <w:color w:val="auto"/>
        </w:rPr>
      </w:pPr>
    </w:p>
    <w:p>
      <w:pPr>
        <w:ind w:left="920" w:hanging="318"/>
        <w:spacing w:after="0"/>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920" w:hanging="316"/>
        <w:spacing w:after="0"/>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May 9, 2019</w:t>
      </w:r>
    </w:p>
    <w:p>
      <w:pPr>
        <w:sectPr>
          <w:pgSz w:w="11900" w:h="16838" w:orient="portrait"/>
          <w:cols w:equalWidth="0" w:num="1">
            <w:col w:w="10840"/>
          </w:cols>
          <w:pgMar w:left="320" w:top="130" w:right="739" w:bottom="1440" w:gutter="0" w:footer="0" w:header="0"/>
        </w:sectPr>
      </w:pPr>
    </w:p>
    <w:bookmarkStart w:id="41" w:name="page42"/>
    <w:bookmarkEnd w:id="41"/>
    <w:p>
      <w:pPr>
        <w:jc w:val="right"/>
        <w:spacing w:after="0"/>
        <w:rPr>
          <w:sz w:val="20"/>
          <w:szCs w:val="20"/>
          <w:color w:val="auto"/>
        </w:rPr>
      </w:pPr>
      <w:r>
        <w:rPr>
          <w:rFonts w:ascii="Arial" w:cs="Arial" w:eastAsia="Arial" w:hAnsi="Arial"/>
          <w:sz w:val="14"/>
          <w:szCs w:val="14"/>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In connection with this Report on Form 10-Q for the three and six months ended March 31, 2019 (the “Report”) of PennantPark Investment Corporation (the “Registrant”),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I, Aviv Efrat, Chief Financial Officer of the Registrant, hereby certify, to the best of my knowledge, that:</w:t>
      </w:r>
    </w:p>
    <w:p>
      <w:pPr>
        <w:spacing w:after="0" w:line="124" w:lineRule="exact"/>
        <w:rPr>
          <w:sz w:val="20"/>
          <w:szCs w:val="20"/>
          <w:color w:val="auto"/>
        </w:rPr>
      </w:pPr>
    </w:p>
    <w:p>
      <w:pPr>
        <w:ind w:left="920" w:hanging="318"/>
        <w:spacing w:after="0"/>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920" w:hanging="316"/>
        <w:spacing w:after="0"/>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2687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Title:  Chief Financial Officer</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Date:  May 9, 2019</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lowerLetter"/>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5"/>
    </w:lvl>
  </w:abstractNum>
  <w:abstractNum w:abstractNumId="7">
    <w:nsid w:val="2443A858"/>
    <w:multiLevelType w:val="hybridMultilevel"/>
    <w:lvl w:ilvl="0">
      <w:lvlJc w:val="left"/>
      <w:lvlText w:val="(%1)"/>
      <w:numFmt w:val="lowerLetter"/>
      <w:start w:val="2"/>
    </w:lvl>
  </w:abstractNum>
  <w:abstractNum w:abstractNumId="8">
    <w:nsid w:val="2D1D5AE9"/>
    <w:multiLevelType w:val="hybridMultilevel"/>
    <w:lvl w:ilvl="0">
      <w:lvlJc w:val="left"/>
      <w:lvlText w:val="(%1)"/>
      <w:numFmt w:val="lowerLetter"/>
      <w:start w:val="3"/>
    </w:lvl>
  </w:abstractNum>
  <w:abstractNum w:abstractNumId="9">
    <w:nsid w:val="6763845E"/>
    <w:multiLevelType w:val="hybridMultilevel"/>
    <w:lvl w:ilvl="0">
      <w:lvlJc w:val="left"/>
      <w:lvlText w:val="(%1)"/>
      <w:numFmt w:val="lowerLetter"/>
      <w:start w:val="4"/>
    </w:lvl>
  </w:abstractNum>
  <w:abstractNum w:abstractNumId="10">
    <w:nsid w:val="75A2A8D4"/>
    <w:multiLevelType w:val="hybridMultilevel"/>
    <w:lvl w:ilvl="0">
      <w:lvlJc w:val="left"/>
      <w:lvlText w:val="(%1)"/>
      <w:numFmt w:val="lowerLetter"/>
      <w:start w:val="5"/>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lowerLetter"/>
      <w:start w:val="6"/>
    </w:lvl>
  </w:abstractNum>
  <w:abstractNum w:abstractNumId="13">
    <w:nsid w:val="4353D0CD"/>
    <w:multiLevelType w:val="hybridMultilevel"/>
    <w:lvl w:ilvl="0">
      <w:lvlJc w:val="left"/>
      <w:lvlText w:val="(%1)"/>
      <w:numFmt w:val="lowerLetter"/>
      <w:start w:val="7"/>
    </w:lvl>
  </w:abstractNum>
  <w:abstractNum w:abstractNumId="14">
    <w:nsid w:val="B03E0C6"/>
    <w:multiLevelType w:val="hybridMultilevel"/>
    <w:lvl w:ilvl="0">
      <w:lvlJc w:val="left"/>
      <w:lvlText w:val="(%1)"/>
      <w:numFmt w:val="lowerLetter"/>
      <w:start w:val="8"/>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lvl w:ilvl="1">
      <w:lvlJc w:val="left"/>
      <w:lvlText w:val="(%2)"/>
      <w:numFmt w:val="decimal"/>
      <w:start w:val="1"/>
    </w:lvl>
  </w:abstractNum>
  <w:abstractNum w:abstractNumId="20">
    <w:nsid w:val="2901D82"/>
    <w:multiLevelType w:val="hybridMultilevel"/>
    <w:lvl w:ilvl="0">
      <w:lvlJc w:val="left"/>
      <w:lvlText w:val="%1."/>
      <w:numFmt w:val="decimal"/>
      <w:start w:val="13"/>
    </w:lvl>
    <w:lvl w:ilvl="1">
      <w:lvlJc w:val="left"/>
      <w:lvlText w:val="%2"/>
      <w:numFmt w:val="decimal"/>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0">
    <w:nsid w:val="614FD4A1"/>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31">
    <w:nsid w:val="419AC24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2">
    <w:nsid w:val="5577F8E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3">
    <w:nsid w:val="440BADFC"/>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34">
    <w:nsid w:val="507236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59" Type="http://schemas.openxmlformats.org/officeDocument/2006/relationships/hyperlink" Target="http://www.sec.gov/Archives/edgar/data/1383414/000119312507075646/dex99a.htm" TargetMode="External"/><Relationship Id="rId60" Type="http://schemas.openxmlformats.org/officeDocument/2006/relationships/hyperlink" Target="http://www.sec.gov/Archives/edgar/data/1383414/000119312515393210/d59522dex31.htm" TargetMode="External"/><Relationship Id="rId61" Type="http://schemas.openxmlformats.org/officeDocument/2006/relationships/hyperlink" Target="http://www.sec.gov/Archives/edgar/data/1383414/000119312508072557/dex99d1.htm" TargetMode="External"/><Relationship Id="rId62" Type="http://schemas.openxmlformats.org/officeDocument/2006/relationships/hyperlink" Target="http://www.sec.gov/Archives/edgar/data/1383414/000119312519052085/d704263dex101.htm" TargetMode="External"/><Relationship Id="rId63" Type="http://schemas.openxmlformats.org/officeDocument/2006/relationships/hyperlink" Target="http://www.sec.gov/Archives/edgar/data/1383414/000119312519052085/d704263dex102.htm" TargetMode="External"/><Relationship Id="rId64" Type="http://schemas.openxmlformats.org/officeDocument/2006/relationships/hyperlink" Target="http://www.sec.gov/Archives/edgar/data/1383414/000119312519052085/d704263dex103.htm" TargetMode="External"/><Relationship Id="rId65" Type="http://schemas.openxmlformats.org/officeDocument/2006/relationships/hyperlink" Target="http://www.sec.gov/Archives/edgar/data/1383414/000119312519052085/d704263dex104.htm" TargetMode="External"/><Relationship Id="rId66" Type="http://schemas.openxmlformats.org/officeDocument/2006/relationships/hyperlink" Target="http://www.sec.gov/Archives/edgar/data/1383414/000119312519105161/d630383dex99g3.htm" TargetMode="External"/><Relationship Id="rId67" Type="http://schemas.openxmlformats.org/officeDocument/2006/relationships/hyperlink" Target="http://www.sec.gov/Archives/edgar/data/1383414/000138341411000013/pnntprivacypolicy09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2020-05-05T15:12:17Z</dcterms:created>
  <dcterms:modified xsi:type="dcterms:W3CDTF">2020-05-05T15:12:17Z</dcterms:modified>
</cp:coreProperties>
</file>