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March 01,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540" w:type="dxa"/>
        <w:tblCellMar>
          <w:top w:w="0" w:type="dxa"/>
          <w:left w:w="0" w:type="dxa"/>
          <w:bottom w:w="0" w:type="dxa"/>
          <w:right w:w="0" w:type="dxa"/>
        </w:tblCellMar>
      </w:tblPr>
      <w:tr>
        <w:trPr>
          <w:trHeight w:val="253"/>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95"/>
              </w:rPr>
              <w:t>Maryland</w:t>
            </w:r>
          </w:p>
        </w:tc>
        <w:tc>
          <w:tcPr>
            <w:tcW w:w="2780" w:type="dxa"/>
            <w:vAlign w:val="bottom"/>
          </w:tcPr>
          <w:p>
            <w:pPr>
              <w:jc w:val="center"/>
              <w:ind w:right="25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388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(State or other jurisdiction</w:t>
            </w:r>
          </w:p>
        </w:tc>
        <w:tc>
          <w:tcPr>
            <w:tcW w:w="2780" w:type="dxa"/>
            <w:vAlign w:val="bottom"/>
          </w:tcPr>
          <w:p>
            <w:pPr>
              <w:jc w:val="center"/>
              <w:ind w:right="25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3880" w:type="dxa"/>
            <w:vAlign w:val="bottom"/>
          </w:tcPr>
          <w:p>
            <w:pPr>
              <w:jc w:val="center"/>
              <w:ind w:right="332"/>
              <w:spacing w:after="0"/>
              <w:rPr>
                <w:sz w:val="20"/>
                <w:szCs w:val="20"/>
                <w:color w:val="auto"/>
              </w:rPr>
            </w:pPr>
            <w:r>
              <w:rPr>
                <w:rFonts w:ascii="Arial" w:cs="Arial" w:eastAsia="Arial" w:hAnsi="Arial"/>
                <w:sz w:val="22"/>
                <w:szCs w:val="22"/>
                <w:color w:val="auto"/>
                <w:w w:val="93"/>
              </w:rPr>
              <w:t>of incorporation)</w:t>
            </w:r>
          </w:p>
        </w:tc>
        <w:tc>
          <w:tcPr>
            <w:tcW w:w="2780" w:type="dxa"/>
            <w:vAlign w:val="bottom"/>
          </w:tcPr>
          <w:p>
            <w:pPr>
              <w:jc w:val="center"/>
              <w:ind w:right="25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3880" w:type="dxa"/>
            <w:vAlign w:val="bottom"/>
          </w:tcPr>
          <w:p>
            <w:pPr>
              <w:jc w:val="center"/>
              <w:ind w:right="332"/>
              <w:spacing w:after="0"/>
              <w:rPr>
                <w:sz w:val="20"/>
                <w:szCs w:val="20"/>
                <w:color w:val="auto"/>
              </w:rPr>
            </w:pPr>
            <w:r>
              <w:rPr>
                <w:rFonts w:ascii="Arial" w:cs="Arial" w:eastAsia="Arial" w:hAnsi="Arial"/>
                <w:sz w:val="22"/>
                <w:szCs w:val="22"/>
                <w:b w:val="1"/>
                <w:bCs w:val="1"/>
                <w:color w:val="auto"/>
                <w:w w:val="89"/>
              </w:rPr>
              <w:t>590 Madison Avenue, 15th Floor</w:t>
            </w:r>
          </w:p>
        </w:tc>
        <w:tc>
          <w:tcPr>
            <w:tcW w:w="278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3880" w:type="dxa"/>
            <w:vAlign w:val="bottom"/>
          </w:tcPr>
          <w:p>
            <w:pPr>
              <w:jc w:val="center"/>
              <w:ind w:right="352"/>
              <w:spacing w:after="0"/>
              <w:rPr>
                <w:sz w:val="20"/>
                <w:szCs w:val="20"/>
                <w:color w:val="auto"/>
              </w:rPr>
            </w:pPr>
            <w:r>
              <w:rPr>
                <w:rFonts w:ascii="Arial" w:cs="Arial" w:eastAsia="Arial" w:hAnsi="Arial"/>
                <w:sz w:val="22"/>
                <w:szCs w:val="22"/>
                <w:color w:val="auto"/>
                <w:w w:val="90"/>
              </w:rPr>
              <w:t>(Address of principal executive offices)</w:t>
            </w:r>
          </w:p>
        </w:tc>
        <w:tc>
          <w:tcPr>
            <w:tcW w:w="278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720"/>
        <w:spacing w:after="0" w:line="250" w:lineRule="auto"/>
        <w:rPr>
          <w:sz w:val="20"/>
          <w:szCs w:val="20"/>
          <w:color w:val="auto"/>
        </w:rPr>
      </w:pPr>
      <w:r>
        <w:rPr>
          <w:rFonts w:ascii="Arial" w:cs="Arial" w:eastAsia="Arial" w:hAnsi="Arial"/>
          <w:sz w:val="22"/>
          <w:szCs w:val="22"/>
          <w:color w:val="auto"/>
        </w:rPr>
        <w:t>On March 1, 2013, PennantPark Investment Corporation issued a press release announcing its second fiscal quarter 2013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March 01, 2013</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4"/>
          <w:szCs w:val="24"/>
          <w:color w:val="auto"/>
        </w:rPr>
      </w:pPr>
    </w:p>
    <w:p>
      <w:pPr>
        <w:ind w:left="40"/>
        <w:spacing w:after="0"/>
        <w:tabs>
          <w:tab w:leader="none" w:pos="5640" w:val="left"/>
        </w:tabs>
        <w:rPr>
          <w:sz w:val="20"/>
          <w:szCs w:val="20"/>
          <w:color w:val="auto"/>
        </w:rPr>
      </w:pPr>
      <w:r>
        <w:rPr>
          <w:rFonts w:ascii="Arial" w:cs="Arial" w:eastAsia="Arial" w:hAnsi="Arial"/>
          <w:sz w:val="22"/>
          <w:szCs w:val="22"/>
          <w:color w:val="auto"/>
        </w:rPr>
        <w:t>Dated: March 01, 2013</w:t>
      </w:r>
      <w:r>
        <w:rPr>
          <w:sz w:val="20"/>
          <w:szCs w:val="20"/>
          <w:color w:val="auto"/>
        </w:rPr>
        <w:tab/>
      </w:r>
      <w:r>
        <w:rPr>
          <w:rFonts w:ascii="Arial" w:cs="Arial" w:eastAsia="Arial" w:hAnsi="Arial"/>
          <w:sz w:val="21"/>
          <w:szCs w:val="21"/>
          <w:b w:val="1"/>
          <w:bCs w:val="1"/>
          <w:color w:val="auto"/>
        </w:rPr>
        <w:t>PENNANTPARK INVESTMENT CORPORATION</w:t>
      </w:r>
    </w:p>
    <w:p>
      <w:pPr>
        <w:sectPr>
          <w:pgSz w:w="11900" w:h="16838" w:orient="portrait"/>
          <w:cols w:equalWidth="0" w:num="1">
            <w:col w:w="11200"/>
          </w:cols>
          <w:pgMar w:left="320" w:top="828" w:right="37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480"/>
              <w:spacing w:after="0"/>
              <w:rPr>
                <w:sz w:val="20"/>
                <w:szCs w:val="20"/>
                <w:color w:val="auto"/>
              </w:rPr>
            </w:pPr>
            <w:r>
              <w:rPr>
                <w:rFonts w:ascii="Arial" w:cs="Arial" w:eastAsia="Arial" w:hAnsi="Arial"/>
                <w:sz w:val="22"/>
                <w:szCs w:val="22"/>
                <w:color w:val="auto"/>
              </w:rPr>
              <w:t>By: /s/ Aviv Efrat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60" w:type="dxa"/>
            <w:vAlign w:val="bottom"/>
            <w:gridSpan w:val="5"/>
          </w:tcPr>
          <w:p>
            <w:pPr>
              <w:ind w:left="1720"/>
              <w:spacing w:after="0" w:line="242" w:lineRule="exact"/>
              <w:rPr>
                <w:sz w:val="20"/>
                <w:szCs w:val="20"/>
                <w:color w:val="auto"/>
              </w:rPr>
            </w:pPr>
            <w:r>
              <w:rPr>
                <w:rFonts w:ascii="Arial" w:cs="Arial" w:eastAsia="Arial" w:hAnsi="Arial"/>
                <w:sz w:val="22"/>
                <w:szCs w:val="22"/>
                <w:color w:val="auto"/>
              </w:rPr>
              <w:t>Aviv Efrat</w:t>
            </w:r>
          </w:p>
        </w:tc>
        <w:tc>
          <w:tcPr>
            <w:tcW w:w="0" w:type="dxa"/>
            <w:vAlign w:val="bottom"/>
          </w:tcPr>
          <w:p>
            <w:pPr>
              <w:spacing w:after="0"/>
              <w:rPr>
                <w:sz w:val="1"/>
                <w:szCs w:val="1"/>
                <w:color w:val="auto"/>
              </w:rPr>
            </w:pPr>
          </w:p>
        </w:tc>
      </w:tr>
      <w:tr>
        <w:trPr>
          <w:trHeight w:val="274"/>
        </w:trPr>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060" w:type="dxa"/>
            <w:vAlign w:val="bottom"/>
            <w:gridSpan w:val="5"/>
          </w:tcPr>
          <w:p>
            <w:pPr>
              <w:ind w:left="1740"/>
              <w:spacing w:after="0"/>
              <w:rPr>
                <w:sz w:val="20"/>
                <w:szCs w:val="20"/>
                <w:color w:val="auto"/>
              </w:rPr>
            </w:pPr>
            <w:r>
              <w:rPr>
                <w:rFonts w:ascii="Arial" w:cs="Arial" w:eastAsia="Arial" w:hAnsi="Arial"/>
                <w:sz w:val="22"/>
                <w:szCs w:val="22"/>
                <w:i w:val="1"/>
                <w:iCs w:val="1"/>
                <w:color w:val="auto"/>
              </w:rPr>
              <w:t>Chief Financial Officer &amp; Treasurer</w:t>
            </w:r>
          </w:p>
        </w:tc>
        <w:tc>
          <w:tcPr>
            <w:tcW w:w="0" w:type="dxa"/>
            <w:vAlign w:val="bottom"/>
          </w:tcPr>
          <w:p>
            <w:pPr>
              <w:spacing w:after="0"/>
              <w:rPr>
                <w:sz w:val="1"/>
                <w:szCs w:val="1"/>
                <w:color w:val="auto"/>
              </w:rPr>
            </w:pPr>
          </w:p>
        </w:tc>
      </w:tr>
      <w:tr>
        <w:trPr>
          <w:trHeight w:val="146"/>
        </w:trPr>
        <w:tc>
          <w:tcPr>
            <w:tcW w:w="23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4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02"/>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60" w:type="dxa"/>
            <w:vAlign w:val="bottom"/>
            <w:gridSpan w:val="5"/>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60" w:type="dxa"/>
            <w:vAlign w:val="bottom"/>
            <w:tcBorders>
              <w:bottom w:val="single" w:sz="8" w:color="auto"/>
            </w:tcBorders>
            <w:gridSpan w:val="2"/>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3360" w:type="dxa"/>
            <w:vAlign w:val="bottom"/>
            <w:gridSpan w:val="2"/>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7060" w:type="dxa"/>
            <w:vAlign w:val="bottom"/>
            <w:gridSpan w:val="5"/>
          </w:tcPr>
          <w:p>
            <w:pPr>
              <w:jc w:val="center"/>
              <w:ind w:left="131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33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220" w:type="dxa"/>
            <w:vAlign w:val="bottom"/>
            <w:gridSpan w:val="4"/>
            <w:vMerge w:val="restart"/>
          </w:tcPr>
          <w:p>
            <w:pPr>
              <w:jc w:val="center"/>
              <w:ind w:right="400"/>
              <w:spacing w:after="0"/>
              <w:rPr>
                <w:sz w:val="20"/>
                <w:szCs w:val="20"/>
                <w:color w:val="auto"/>
              </w:rPr>
            </w:pPr>
            <w:r>
              <w:rPr>
                <w:rFonts w:ascii="Arial" w:cs="Arial" w:eastAsia="Arial" w:hAnsi="Arial"/>
                <w:sz w:val="22"/>
                <w:szCs w:val="22"/>
                <w:color w:val="auto"/>
                <w:w w:val="90"/>
              </w:rPr>
              <w:t>March 01, 2013</w:t>
            </w:r>
          </w:p>
        </w:tc>
        <w:tc>
          <w:tcPr>
            <w:tcW w:w="0" w:type="dxa"/>
            <w:vAlign w:val="bottom"/>
          </w:tcPr>
          <w:p>
            <w:pPr>
              <w:spacing w:after="0"/>
              <w:rPr>
                <w:sz w:val="1"/>
                <w:szCs w:val="1"/>
                <w:color w:val="auto"/>
              </w:rPr>
            </w:pPr>
          </w:p>
        </w:tc>
      </w:tr>
      <w:tr>
        <w:trPr>
          <w:trHeight w:val="122"/>
        </w:trPr>
        <w:tc>
          <w:tcPr>
            <w:tcW w:w="2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52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-794385</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-803275</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Its Quarterly Distribution of $0.28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 - March 01, 2013) - PennantPark Investment Corporation (the "Company") (NASDAQ: PNNT) declares its second fiscal quarter 2013 distribution of $0.28 per share, payable on April 1, 2013 to stockholders of record as of March 22, 2013.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8"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2020-05-05T15:06:58Z</dcterms:created>
  <dcterms:modified xsi:type="dcterms:W3CDTF">2020-05-05T15:06:58Z</dcterms:modified>
</cp:coreProperties>
</file>