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April 20, 2022</w:t>
      </w:r>
    </w:p>
    <w:p>
      <w:pPr>
        <w:spacing w:after="0" w:line="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Securities Act Registration No. 333-263564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56515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99060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115570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9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N-2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147955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spacing w:after="0" w:line="4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8" w:lineRule="exact"/>
        <w:rPr>
          <w:sz w:val="24"/>
          <w:szCs w:val="24"/>
          <w:color w:val="auto"/>
        </w:rPr>
      </w:pPr>
    </w:p>
    <w:tbl>
      <w:tblPr>
        <w:tblLayout w:type="fixed"/>
        <w:tblInd w:w="4420" w:type="dxa"/>
        <w:tblCellMar>
          <w:top w:w="0" w:type="dxa"/>
          <w:left w:w="0" w:type="dxa"/>
          <w:bottom w:w="0" w:type="dxa"/>
          <w:right w:w="0" w:type="dxa"/>
        </w:tblCellMar>
      </w:tblPr>
      <w:tr>
        <w:trPr>
          <w:trHeight w:val="203"/>
        </w:trPr>
        <w:tc>
          <w:tcPr>
            <w:tcW w:w="4380" w:type="dxa"/>
            <w:vAlign w:val="bottom"/>
          </w:tcPr>
          <w:p>
            <w:pPr>
              <w:jc w:val="center"/>
              <w:ind w:right="2099"/>
              <w:spacing w:after="0"/>
              <w:rPr>
                <w:sz w:val="20"/>
                <w:szCs w:val="20"/>
                <w:color w:val="auto"/>
              </w:rPr>
            </w:pPr>
            <w:r>
              <w:rPr>
                <w:rFonts w:ascii="Times New Roman" w:cs="Times New Roman" w:eastAsia="Times New Roman" w:hAnsi="Times New Roman"/>
                <w:sz w:val="16"/>
                <w:szCs w:val="16"/>
                <w:b w:val="1"/>
                <w:bCs w:val="1"/>
                <w:color w:val="auto"/>
              </w:rPr>
              <w:t>the Securities Act Of 1933</w:t>
            </w:r>
          </w:p>
        </w:tc>
        <w:tc>
          <w:tcPr>
            <w:tcW w:w="2320" w:type="dxa"/>
            <w:vAlign w:val="bottom"/>
          </w:tcPr>
          <w:p>
            <w:pPr>
              <w:ind w:left="21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4380" w:type="dxa"/>
            <w:vAlign w:val="bottom"/>
          </w:tcPr>
          <w:p>
            <w:pPr>
              <w:jc w:val="center"/>
              <w:ind w:right="2099"/>
              <w:spacing w:after="0"/>
              <w:rPr>
                <w:sz w:val="20"/>
                <w:szCs w:val="20"/>
                <w:color w:val="auto"/>
              </w:rPr>
            </w:pPr>
            <w:r>
              <w:rPr>
                <w:rFonts w:ascii="Times New Roman" w:cs="Times New Roman" w:eastAsia="Times New Roman" w:hAnsi="Times New Roman"/>
                <w:sz w:val="16"/>
                <w:szCs w:val="16"/>
                <w:b w:val="1"/>
                <w:bCs w:val="1"/>
                <w:color w:val="auto"/>
              </w:rPr>
              <w:t>Post-Effective Amendment</w:t>
            </w:r>
          </w:p>
        </w:tc>
        <w:tc>
          <w:tcPr>
            <w:tcW w:w="2320" w:type="dxa"/>
            <w:vAlign w:val="bottom"/>
          </w:tcPr>
          <w:p>
            <w:pPr>
              <w:ind w:left="21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4380" w:type="dxa"/>
            <w:vAlign w:val="bottom"/>
          </w:tcPr>
          <w:p>
            <w:pPr>
              <w:jc w:val="center"/>
              <w:ind w:right="2099"/>
              <w:spacing w:after="0"/>
              <w:rPr>
                <w:sz w:val="20"/>
                <w:szCs w:val="20"/>
                <w:color w:val="auto"/>
              </w:rPr>
            </w:pPr>
            <w:r>
              <w:rPr>
                <w:rFonts w:ascii="Times New Roman" w:cs="Times New Roman" w:eastAsia="Times New Roman" w:hAnsi="Times New Roman"/>
                <w:sz w:val="16"/>
                <w:szCs w:val="16"/>
                <w:b w:val="1"/>
                <w:bCs w:val="1"/>
                <w:color w:val="auto"/>
              </w:rPr>
              <w:t>Pre-Effective Amendment No. 1</w:t>
            </w:r>
          </w:p>
        </w:tc>
        <w:tc>
          <w:tcPr>
            <w:tcW w:w="2320" w:type="dxa"/>
            <w:vAlign w:val="bottom"/>
          </w:tcPr>
          <w:p>
            <w:pPr>
              <w:ind w:left="21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PennantPark Investment Corporation</w:t>
      </w:r>
    </w:p>
    <w:p>
      <w:pPr>
        <w:spacing w:after="0" w:line="5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1691 Michigan Avenue</w:t>
      </w:r>
    </w:p>
    <w:p>
      <w:pPr>
        <w:jc w:val="center"/>
        <w:ind w:right="-119"/>
        <w:spacing w:after="0" w:line="229" w:lineRule="auto"/>
        <w:rPr>
          <w:sz w:val="20"/>
          <w:szCs w:val="20"/>
          <w:color w:val="auto"/>
        </w:rPr>
      </w:pPr>
      <w:r>
        <w:rPr>
          <w:rFonts w:ascii="Times New Roman" w:cs="Times New Roman" w:eastAsia="Times New Roman" w:hAnsi="Times New Roman"/>
          <w:sz w:val="14"/>
          <w:szCs w:val="14"/>
          <w:b w:val="1"/>
          <w:bCs w:val="1"/>
          <w:color w:val="auto"/>
        </w:rPr>
        <w:t>Miami Beach, Florida 33139</w:t>
      </w: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(212) 905-1000</w:t>
      </w:r>
    </w:p>
    <w:p>
      <w:pPr>
        <w:spacing w:after="0" w:line="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Arthur H. Penn</w:t>
      </w:r>
    </w:p>
    <w:p>
      <w:pPr>
        <w:jc w:val="center"/>
        <w:ind w:right="-119"/>
        <w:spacing w:after="0" w:line="229" w:lineRule="auto"/>
        <w:rPr>
          <w:sz w:val="20"/>
          <w:szCs w:val="20"/>
          <w:color w:val="auto"/>
        </w:rPr>
      </w:pPr>
      <w:r>
        <w:rPr>
          <w:rFonts w:ascii="Times New Roman" w:cs="Times New Roman" w:eastAsia="Times New Roman" w:hAnsi="Times New Roman"/>
          <w:sz w:val="14"/>
          <w:szCs w:val="14"/>
          <w:b w:val="1"/>
          <w:bCs w:val="1"/>
          <w:color w:val="auto"/>
        </w:rPr>
        <w:t>c/o PennantPark Investment Corporation</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1691 Michigan Avenue</w:t>
      </w:r>
    </w:p>
    <w:p>
      <w:pPr>
        <w:jc w:val="center"/>
        <w:ind w:right="-119"/>
        <w:spacing w:after="0" w:line="222" w:lineRule="auto"/>
        <w:rPr>
          <w:sz w:val="20"/>
          <w:szCs w:val="20"/>
          <w:color w:val="auto"/>
        </w:rPr>
      </w:pPr>
      <w:r>
        <w:rPr>
          <w:rFonts w:ascii="Times New Roman" w:cs="Times New Roman" w:eastAsia="Times New Roman" w:hAnsi="Times New Roman"/>
          <w:sz w:val="14"/>
          <w:szCs w:val="14"/>
          <w:b w:val="1"/>
          <w:bCs w:val="1"/>
          <w:color w:val="auto"/>
        </w:rPr>
        <w:t>Miami Beach, FL 33139</w:t>
      </w: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125095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p>
      <w:pPr>
        <w:jc w:val="center"/>
        <w:ind w:right="-119"/>
        <w:spacing w:after="0" w:line="232" w:lineRule="auto"/>
        <w:rPr>
          <w:sz w:val="20"/>
          <w:szCs w:val="20"/>
          <w:color w:val="auto"/>
        </w:rPr>
      </w:pPr>
      <w:r>
        <w:rPr>
          <w:rFonts w:ascii="Times New Roman" w:cs="Times New Roman" w:eastAsia="Times New Roman" w:hAnsi="Times New Roman"/>
          <w:sz w:val="14"/>
          <w:szCs w:val="14"/>
          <w:b w:val="1"/>
          <w:bCs w:val="1"/>
          <w:color w:val="auto"/>
        </w:rPr>
        <w:t>Thomas Friedmann</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David Harris</w:t>
      </w:r>
    </w:p>
    <w:p>
      <w:pPr>
        <w:jc w:val="center"/>
        <w:ind w:right="-119"/>
        <w:spacing w:after="0" w:line="222" w:lineRule="auto"/>
        <w:rPr>
          <w:sz w:val="20"/>
          <w:szCs w:val="20"/>
          <w:color w:val="auto"/>
        </w:rPr>
      </w:pPr>
      <w:r>
        <w:rPr>
          <w:rFonts w:ascii="Times New Roman" w:cs="Times New Roman" w:eastAsia="Times New Roman" w:hAnsi="Times New Roman"/>
          <w:sz w:val="14"/>
          <w:szCs w:val="14"/>
          <w:b w:val="1"/>
          <w:bCs w:val="1"/>
          <w:color w:val="auto"/>
        </w:rPr>
        <w:t>Dechert LLP</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One International Place</w:t>
      </w:r>
    </w:p>
    <w:p>
      <w:pPr>
        <w:jc w:val="center"/>
        <w:ind w:right="-119"/>
        <w:spacing w:after="0" w:line="222" w:lineRule="auto"/>
        <w:rPr>
          <w:sz w:val="20"/>
          <w:szCs w:val="20"/>
          <w:color w:val="auto"/>
        </w:rPr>
      </w:pPr>
      <w:r>
        <w:rPr>
          <w:rFonts w:ascii="Times New Roman" w:cs="Times New Roman" w:eastAsia="Times New Roman" w:hAnsi="Times New Roman"/>
          <w:sz w:val="14"/>
          <w:szCs w:val="14"/>
          <w:b w:val="1"/>
          <w:bCs w:val="1"/>
          <w:color w:val="auto"/>
        </w:rPr>
        <w:t>40</w:t>
      </w:r>
      <w:r>
        <w:rPr>
          <w:rFonts w:ascii="Times New Roman" w:cs="Times New Roman" w:eastAsia="Times New Roman" w:hAnsi="Times New Roman"/>
          <w:sz w:val="12"/>
          <w:szCs w:val="12"/>
          <w:b w:val="1"/>
          <w:bCs w:val="1"/>
          <w:color w:val="auto"/>
        </w:rPr>
        <w:t>th</w:t>
      </w:r>
      <w:r>
        <w:rPr>
          <w:rFonts w:ascii="Times New Roman" w:cs="Times New Roman" w:eastAsia="Times New Roman" w:hAnsi="Times New Roman"/>
          <w:sz w:val="14"/>
          <w:szCs w:val="14"/>
          <w:b w:val="1"/>
          <w:bCs w:val="1"/>
          <w:color w:val="auto"/>
        </w:rPr>
        <w:t xml:space="preserve"> Floor</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100 Oliver Street</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Boston, MA 02110</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APPROXIMATE DATE OF PROPOSED PUBLIC OFFERING:</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As may be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136525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7" w:lineRule="exact"/>
        <w:rPr>
          <w:sz w:val="24"/>
          <w:szCs w:val="24"/>
          <w:color w:val="auto"/>
        </w:rPr>
      </w:pPr>
    </w:p>
    <w:p>
      <w:pPr>
        <w:ind w:left="280" w:hanging="164"/>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Check box if the only securities being registered on this Form are being offered pursuant to dividend or interest reinvestment plans.</w:t>
      </w:r>
    </w:p>
    <w:p>
      <w:pPr>
        <w:spacing w:after="0" w:line="82" w:lineRule="exact"/>
        <w:rPr>
          <w:sz w:val="24"/>
          <w:szCs w:val="24"/>
          <w:color w:val="auto"/>
        </w:rPr>
      </w:pPr>
    </w:p>
    <w:p>
      <w:pPr>
        <w:ind w:left="120" w:right="60" w:hanging="4"/>
        <w:spacing w:after="0" w:line="282" w:lineRule="auto"/>
        <w:tabs>
          <w:tab w:leader="none" w:pos="291"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Check box if any securities being registered on this Form will be offered on a delayed or continuous basis in reliance on Rule 415 under the Securities Act of 1933 (“Securities Act”), other than securities offered in connection with a dividend reinvestment plan.</w:t>
      </w:r>
    </w:p>
    <w:p>
      <w:pPr>
        <w:spacing w:after="0" w:line="26" w:lineRule="exact"/>
        <w:rPr>
          <w:rFonts w:ascii="MS PGothic" w:cs="MS PGothic" w:eastAsia="MS PGothic" w:hAnsi="MS PGothic"/>
          <w:sz w:val="14"/>
          <w:szCs w:val="14"/>
          <w:color w:val="auto"/>
        </w:rPr>
      </w:pPr>
    </w:p>
    <w:p>
      <w:pPr>
        <w:ind w:left="280" w:hanging="164"/>
        <w:spacing w:after="0"/>
        <w:tabs>
          <w:tab w:leader="none" w:pos="28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Check box if this Form is a registration statement pursuant to General Instruction A.2 or a post-effective amendment thereto.</w:t>
      </w:r>
    </w:p>
    <w:p>
      <w:pPr>
        <w:spacing w:after="0" w:line="82" w:lineRule="exact"/>
        <w:rPr>
          <w:sz w:val="24"/>
          <w:szCs w:val="24"/>
          <w:color w:val="auto"/>
        </w:rPr>
      </w:pPr>
    </w:p>
    <w:p>
      <w:pPr>
        <w:ind w:left="120" w:right="360" w:hanging="4"/>
        <w:spacing w:after="0" w:line="274" w:lineRule="auto"/>
        <w:tabs>
          <w:tab w:leader="none" w:pos="291"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Check box if this Form is a registration statement pursuant to General Instruction B or a post-effective amendment thereto that will become effective upon filing with the Commission pursuant to Rule 462(e) under the Securities Act.</w:t>
      </w:r>
    </w:p>
    <w:p>
      <w:pPr>
        <w:spacing w:after="0" w:line="23" w:lineRule="exact"/>
        <w:rPr>
          <w:rFonts w:ascii="MS PGothic" w:cs="MS PGothic" w:eastAsia="MS PGothic" w:hAnsi="MS PGothic"/>
          <w:sz w:val="14"/>
          <w:szCs w:val="14"/>
          <w:color w:val="auto"/>
        </w:rPr>
      </w:pPr>
    </w:p>
    <w:p>
      <w:pPr>
        <w:ind w:left="120" w:right="220" w:hanging="4"/>
        <w:spacing w:after="0" w:line="282" w:lineRule="auto"/>
        <w:tabs>
          <w:tab w:leader="none" w:pos="291"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Check box if this Form is a post-effective amendment to a registration statement filed pursuant to General Instruction B to register additional securities or additional classes of securities pursuant to Rule 413(b) under the Securities Act.</w:t>
      </w:r>
    </w:p>
    <w:p>
      <w:pPr>
        <w:spacing w:after="0" w:line="1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It is proposed that this filing will become effective (check appropriate box):</w:t>
      </w:r>
    </w:p>
    <w:p>
      <w:pPr>
        <w:spacing w:after="0" w:line="71" w:lineRule="exact"/>
        <w:rPr>
          <w:sz w:val="24"/>
          <w:szCs w:val="24"/>
          <w:color w:val="auto"/>
        </w:rPr>
      </w:pPr>
    </w:p>
    <w:p>
      <w:pPr>
        <w:ind w:left="280" w:hanging="164"/>
        <w:spacing w:after="0"/>
        <w:tabs>
          <w:tab w:leader="none" w:pos="280" w:val="left"/>
        </w:tabs>
        <w:numPr>
          <w:ilvl w:val="0"/>
          <w:numId w:val="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when declared effective pursuant to Section 8(c) of the Securities Act.</w:t>
      </w:r>
    </w:p>
    <w:p>
      <w:pPr>
        <w:spacing w:after="0" w:line="66" w:lineRule="exact"/>
        <w:rPr>
          <w:rFonts w:ascii="MS PGothic" w:cs="MS PGothic" w:eastAsia="MS PGothic" w:hAnsi="MS PGothic"/>
          <w:sz w:val="14"/>
          <w:szCs w:val="14"/>
          <w:color w:val="auto"/>
        </w:rPr>
      </w:pPr>
    </w:p>
    <w:p>
      <w:pPr>
        <w:ind w:left="120"/>
        <w:spacing w:after="0"/>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If appropriate, check the following box:</w:t>
      </w:r>
    </w:p>
    <w:p>
      <w:pPr>
        <w:spacing w:after="0" w:line="84" w:lineRule="exact"/>
        <w:rPr>
          <w:rFonts w:ascii="MS PGothic" w:cs="MS PGothic" w:eastAsia="MS PGothic" w:hAnsi="MS PGothic"/>
          <w:sz w:val="14"/>
          <w:szCs w:val="14"/>
          <w:color w:val="auto"/>
        </w:rPr>
      </w:pPr>
    </w:p>
    <w:p>
      <w:pPr>
        <w:ind w:left="280" w:hanging="164"/>
        <w:spacing w:after="0"/>
        <w:tabs>
          <w:tab w:leader="none" w:pos="280" w:val="left"/>
        </w:tabs>
        <w:numPr>
          <w:ilvl w:val="0"/>
          <w:numId w:val="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This post-effective amendment designates a new effective date for a previously filed post-effective amendment registration statement.</w:t>
      </w:r>
    </w:p>
    <w:p>
      <w:pPr>
        <w:spacing w:after="0" w:line="82" w:lineRule="exact"/>
        <w:rPr>
          <w:rFonts w:ascii="MS PGothic" w:cs="MS PGothic" w:eastAsia="MS PGothic" w:hAnsi="MS PGothic"/>
          <w:sz w:val="14"/>
          <w:szCs w:val="14"/>
          <w:color w:val="auto"/>
        </w:rPr>
      </w:pPr>
    </w:p>
    <w:p>
      <w:pPr>
        <w:ind w:left="280" w:hanging="164"/>
        <w:spacing w:after="0"/>
        <w:tabs>
          <w:tab w:leader="none" w:pos="280" w:val="left"/>
        </w:tabs>
        <w:numPr>
          <w:ilvl w:val="0"/>
          <w:numId w:val="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This Form is filed to register additional securities for an offering pursuant to Rule 462(b) under the Securities Act, and the Securities Act registration statement number of the earlier</w:t>
      </w:r>
    </w:p>
    <w:p>
      <w:pPr>
        <w:spacing w:after="0" w:line="17" w:lineRule="exact"/>
        <w:rPr>
          <w:sz w:val="24"/>
          <w:szCs w:val="24"/>
          <w:color w:val="auto"/>
        </w:rPr>
      </w:pPr>
    </w:p>
    <w:p>
      <w:pPr>
        <w:ind w:left="120"/>
        <w:spacing w:after="0"/>
        <w:tabs>
          <w:tab w:leader="none" w:pos="3860" w:val="left"/>
        </w:tabs>
        <w:rPr>
          <w:sz w:val="20"/>
          <w:szCs w:val="20"/>
          <w:color w:val="auto"/>
        </w:rPr>
      </w:pPr>
      <w:r>
        <w:rPr>
          <w:rFonts w:ascii="Times New Roman" w:cs="Times New Roman" w:eastAsia="Times New Roman" w:hAnsi="Times New Roman"/>
          <w:sz w:val="14"/>
          <w:szCs w:val="14"/>
          <w:color w:val="auto"/>
        </w:rPr>
        <w:t>effective registration statement for the same offering is:</w:t>
      </w:r>
      <w:r>
        <w:rPr>
          <w:sz w:val="20"/>
          <w:szCs w:val="20"/>
          <w:color w:val="auto"/>
        </w:rPr>
        <w:tab/>
      </w:r>
      <w:r>
        <w:rPr>
          <w:rFonts w:ascii="Times New Roman" w:cs="Times New Roman" w:eastAsia="Times New Roman" w:hAnsi="Times New Roman"/>
          <w:sz w:val="14"/>
          <w:szCs w:val="14"/>
          <w:color w:val="auto"/>
        </w:rPr>
        <w:t>.</w:t>
      </w:r>
    </w:p>
    <w:p>
      <w:pPr>
        <w:spacing w:after="0" w:line="53" w:lineRule="exact"/>
        <w:rPr>
          <w:sz w:val="24"/>
          <w:szCs w:val="24"/>
          <w:color w:val="auto"/>
        </w:rPr>
      </w:pPr>
    </w:p>
    <w:p>
      <w:pPr>
        <w:ind w:left="280" w:hanging="164"/>
        <w:spacing w:after="0"/>
        <w:tabs>
          <w:tab w:leader="none" w:pos="28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This Form is a post-effective amendment filed pursuant to Rule 462(c) under the Securities Act, and the Securities Act registration statement number of the earlier effective registration</w:t>
      </w:r>
    </w:p>
    <w:p>
      <w:pPr>
        <w:spacing w:after="0" w:line="17" w:lineRule="exact"/>
        <w:rPr>
          <w:sz w:val="24"/>
          <w:szCs w:val="24"/>
          <w:color w:val="auto"/>
        </w:rPr>
      </w:pPr>
    </w:p>
    <w:p>
      <w:pPr>
        <w:ind w:left="120"/>
        <w:spacing w:after="0"/>
        <w:tabs>
          <w:tab w:leader="none" w:pos="2640" w:val="left"/>
        </w:tabs>
        <w:rPr>
          <w:sz w:val="20"/>
          <w:szCs w:val="20"/>
          <w:color w:val="auto"/>
        </w:rPr>
      </w:pPr>
      <w:r>
        <w:rPr>
          <w:rFonts w:ascii="Times New Roman" w:cs="Times New Roman" w:eastAsia="Times New Roman" w:hAnsi="Times New Roman"/>
          <w:sz w:val="14"/>
          <w:szCs w:val="14"/>
          <w:color w:val="auto"/>
        </w:rPr>
        <w:t>statement for the same offering is:</w:t>
      </w:r>
      <w:r>
        <w:rPr>
          <w:sz w:val="20"/>
          <w:szCs w:val="20"/>
          <w:color w:val="auto"/>
        </w:rPr>
        <w:tab/>
      </w:r>
      <w:r>
        <w:rPr>
          <w:rFonts w:ascii="Times New Roman" w:cs="Times New Roman" w:eastAsia="Times New Roman" w:hAnsi="Times New Roman"/>
          <w:sz w:val="14"/>
          <w:szCs w:val="14"/>
          <w:color w:val="auto"/>
        </w:rPr>
        <w:t>.</w:t>
      </w:r>
    </w:p>
    <w:p>
      <w:pPr>
        <w:spacing w:after="0" w:line="66" w:lineRule="exact"/>
        <w:rPr>
          <w:sz w:val="24"/>
          <w:szCs w:val="24"/>
          <w:color w:val="auto"/>
        </w:rPr>
      </w:pPr>
    </w:p>
    <w:p>
      <w:pPr>
        <w:ind w:left="280" w:hanging="164"/>
        <w:spacing w:after="0"/>
        <w:tabs>
          <w:tab w:leader="none" w:pos="280" w:val="left"/>
        </w:tabs>
        <w:numPr>
          <w:ilvl w:val="0"/>
          <w:numId w:val="6"/>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This Form is a post-effective amendment filed pursuant to Rule 462(d) under the Securities Act, and the Securities Act registration statement number of the earlier effective registration</w:t>
      </w:r>
    </w:p>
    <w:p>
      <w:pPr>
        <w:spacing w:after="0" w:line="17" w:lineRule="exact"/>
        <w:rPr>
          <w:sz w:val="24"/>
          <w:szCs w:val="24"/>
          <w:color w:val="auto"/>
        </w:rPr>
      </w:pPr>
    </w:p>
    <w:p>
      <w:pPr>
        <w:ind w:left="120"/>
        <w:spacing w:after="0"/>
        <w:tabs>
          <w:tab w:leader="none" w:pos="2640" w:val="left"/>
        </w:tabs>
        <w:rPr>
          <w:sz w:val="20"/>
          <w:szCs w:val="20"/>
          <w:color w:val="auto"/>
        </w:rPr>
      </w:pPr>
      <w:r>
        <w:rPr>
          <w:rFonts w:ascii="Times New Roman" w:cs="Times New Roman" w:eastAsia="Times New Roman" w:hAnsi="Times New Roman"/>
          <w:sz w:val="14"/>
          <w:szCs w:val="14"/>
          <w:color w:val="auto"/>
        </w:rPr>
        <w:t>statement for the same offering is:</w:t>
      </w:r>
      <w:r>
        <w:rPr>
          <w:sz w:val="20"/>
          <w:szCs w:val="20"/>
          <w:color w:val="auto"/>
        </w:rPr>
        <w:tab/>
      </w:r>
      <w:r>
        <w:rPr>
          <w:rFonts w:ascii="Times New Roman" w:cs="Times New Roman" w:eastAsia="Times New Roman" w:hAnsi="Times New Roman"/>
          <w:sz w:val="14"/>
          <w:szCs w:val="14"/>
          <w:color w:val="auto"/>
        </w:rPr>
        <w:t>.</w:t>
      </w:r>
    </w:p>
    <w:p>
      <w:pPr>
        <w:spacing w:after="0" w:line="3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Check each box that appropriately characterizes the Registrant:</w:t>
      </w:r>
    </w:p>
    <w:p>
      <w:pPr>
        <w:spacing w:after="0" w:line="71" w:lineRule="exact"/>
        <w:rPr>
          <w:sz w:val="24"/>
          <w:szCs w:val="24"/>
          <w:color w:val="auto"/>
        </w:rPr>
      </w:pPr>
    </w:p>
    <w:p>
      <w:pPr>
        <w:ind w:left="280" w:hanging="164"/>
        <w:spacing w:after="0"/>
        <w:tabs>
          <w:tab w:leader="none" w:pos="280" w:val="left"/>
        </w:tabs>
        <w:numPr>
          <w:ilvl w:val="0"/>
          <w:numId w:val="7"/>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Registered Closed-End Fund (closed-end company that is registered under the Investment Company Act of 1940 (“Investment Company Act”)).</w:t>
      </w:r>
    </w:p>
    <w:p>
      <w:pPr>
        <w:spacing w:after="0" w:line="96" w:lineRule="exact"/>
        <w:rPr>
          <w:sz w:val="24"/>
          <w:szCs w:val="24"/>
          <w:color w:val="auto"/>
        </w:rPr>
      </w:pPr>
    </w:p>
    <w:p>
      <w:pPr>
        <w:ind w:left="280" w:hanging="164"/>
        <w:spacing w:after="0"/>
        <w:tabs>
          <w:tab w:leader="none" w:pos="280" w:val="left"/>
        </w:tabs>
        <w:numPr>
          <w:ilvl w:val="0"/>
          <w:numId w:val="8"/>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Business Development Company (closed-end company that intends or has elected to be regulated as a business development company under the Investment Company Act).</w:t>
      </w:r>
    </w:p>
    <w:p>
      <w:pPr>
        <w:spacing w:after="0" w:line="58" w:lineRule="exact"/>
        <w:rPr>
          <w:rFonts w:ascii="MS PGothic" w:cs="MS PGothic" w:eastAsia="MS PGothic" w:hAnsi="MS PGothic"/>
          <w:sz w:val="14"/>
          <w:szCs w:val="14"/>
          <w:color w:val="auto"/>
        </w:rPr>
      </w:pPr>
    </w:p>
    <w:p>
      <w:pPr>
        <w:ind w:left="120"/>
        <w:spacing w:after="0" w:line="161" w:lineRule="exact"/>
        <w:rPr>
          <w:rFonts w:ascii="MS PGothic" w:cs="MS PGothic" w:eastAsia="MS PGothic" w:hAnsi="MS PGothic"/>
          <w:sz w:val="14"/>
          <w:szCs w:val="14"/>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Interval Fund (Registered Closed-End Fund or a Business Development Company that makes periodic repurchase offers under Rule 23c-3 under the Investment Company Act).</w:t>
      </w:r>
    </w:p>
    <w:p>
      <w:pPr>
        <w:spacing w:after="0" w:line="105" w:lineRule="exact"/>
        <w:rPr>
          <w:rFonts w:ascii="MS PGothic" w:cs="MS PGothic" w:eastAsia="MS PGothic" w:hAnsi="MS PGothic"/>
          <w:sz w:val="14"/>
          <w:szCs w:val="14"/>
          <w:color w:val="auto"/>
        </w:rPr>
      </w:pPr>
    </w:p>
    <w:p>
      <w:pPr>
        <w:ind w:left="280" w:hanging="164"/>
        <w:spacing w:after="0"/>
        <w:tabs>
          <w:tab w:leader="none" w:pos="280" w:val="left"/>
        </w:tabs>
        <w:numPr>
          <w:ilvl w:val="0"/>
          <w:numId w:val="8"/>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A.2 Qualified (qualified to register securities pursuant to General Instruction A.2 of this Form).</w:t>
      </w:r>
    </w:p>
    <w:p>
      <w:pPr>
        <w:spacing w:after="0" w:line="96" w:lineRule="exact"/>
        <w:rPr>
          <w:sz w:val="24"/>
          <w:szCs w:val="24"/>
          <w:color w:val="auto"/>
        </w:rPr>
      </w:pPr>
    </w:p>
    <w:p>
      <w:pPr>
        <w:ind w:left="280" w:hanging="164"/>
        <w:spacing w:after="0"/>
        <w:tabs>
          <w:tab w:leader="none" w:pos="280" w:val="left"/>
        </w:tabs>
        <w:numPr>
          <w:ilvl w:val="0"/>
          <w:numId w:val="9"/>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Well-Known Seasoned Issuer (as defined by Rule 405 under the Securities Act).</w:t>
      </w:r>
    </w:p>
    <w:p>
      <w:pPr>
        <w:spacing w:after="0" w:line="82" w:lineRule="exact"/>
        <w:rPr>
          <w:rFonts w:ascii="MS PGothic" w:cs="MS PGothic" w:eastAsia="MS PGothic" w:hAnsi="MS PGothic"/>
          <w:sz w:val="14"/>
          <w:szCs w:val="14"/>
          <w:color w:val="auto"/>
        </w:rPr>
      </w:pPr>
    </w:p>
    <w:p>
      <w:pPr>
        <w:ind w:left="280" w:hanging="164"/>
        <w:spacing w:after="0"/>
        <w:tabs>
          <w:tab w:leader="none" w:pos="280" w:val="left"/>
        </w:tabs>
        <w:numPr>
          <w:ilvl w:val="0"/>
          <w:numId w:val="9"/>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Emerging Growth Company (as defined by Rule 12b-2 under the Securities Exchange Act of 1934 (“Exchange Act”).</w:t>
      </w:r>
    </w:p>
    <w:p>
      <w:pPr>
        <w:spacing w:after="0" w:line="82" w:lineRule="exact"/>
        <w:rPr>
          <w:rFonts w:ascii="MS PGothic" w:cs="MS PGothic" w:eastAsia="MS PGothic" w:hAnsi="MS PGothic"/>
          <w:sz w:val="14"/>
          <w:szCs w:val="14"/>
          <w:color w:val="auto"/>
        </w:rPr>
      </w:pPr>
    </w:p>
    <w:p>
      <w:pPr>
        <w:ind w:left="120" w:right="60" w:hanging="4"/>
        <w:spacing w:after="0" w:line="282" w:lineRule="auto"/>
        <w:tabs>
          <w:tab w:leader="none" w:pos="291" w:val="left"/>
        </w:tabs>
        <w:numPr>
          <w:ilvl w:val="0"/>
          <w:numId w:val="9"/>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7(a)(2)(B) of Securities Act.</w:t>
      </w:r>
    </w:p>
    <w:p>
      <w:pPr>
        <w:spacing w:after="0" w:line="26" w:lineRule="exact"/>
        <w:rPr>
          <w:rFonts w:ascii="MS PGothic" w:cs="MS PGothic" w:eastAsia="MS PGothic" w:hAnsi="MS PGothic"/>
          <w:sz w:val="14"/>
          <w:szCs w:val="14"/>
          <w:color w:val="auto"/>
        </w:rPr>
      </w:pPr>
    </w:p>
    <w:p>
      <w:pPr>
        <w:ind w:left="280" w:hanging="164"/>
        <w:spacing w:after="0"/>
        <w:tabs>
          <w:tab w:leader="none" w:pos="280" w:val="left"/>
        </w:tabs>
        <w:numPr>
          <w:ilvl w:val="0"/>
          <w:numId w:val="9"/>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New Registrant (registered or regulated under the Investment Company Act for less than 12 calendar months preceding this filing).</w:t>
      </w:r>
    </w:p>
    <w:p>
      <w:pPr>
        <w:spacing w:after="0" w:line="67" w:lineRule="exact"/>
        <w:rPr>
          <w:sz w:val="24"/>
          <w:szCs w:val="24"/>
          <w:color w:val="auto"/>
        </w:rPr>
      </w:pPr>
    </w:p>
    <w:p>
      <w:pPr>
        <w:ind w:left="120" w:right="140"/>
        <w:spacing w:after="0" w:line="243"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dates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48260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90805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26" w:right="439" w:bottom="482"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spacing w:after="0" w:line="268" w:lineRule="auto"/>
        <w:rPr>
          <w:sz w:val="20"/>
          <w:szCs w:val="20"/>
          <w:color w:val="auto"/>
        </w:rPr>
      </w:pPr>
      <w:r>
        <w:rPr>
          <w:rFonts w:ascii="Times New Roman" w:cs="Times New Roman" w:eastAsia="Times New Roman" w:hAnsi="Times New Roman"/>
          <w:sz w:val="18"/>
          <w:szCs w:val="18"/>
          <w:b w:val="1"/>
          <w:bCs w:val="1"/>
          <w:color w:val="CC062A"/>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and sale is not permitted.</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CC062A"/>
        </w:rPr>
        <w:t>Subject to Completion</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PRELIMINARY PROSPECTUS</w:t>
      </w:r>
    </w:p>
    <w:p>
      <w:pPr>
        <w:spacing w:after="0" w:line="1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$750,000,000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107950</wp:posOffset>
            </wp:positionV>
            <wp:extent cx="1765935" cy="4286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6593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1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1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Warrants</w:t>
      </w:r>
    </w:p>
    <w:p>
      <w:pPr>
        <w:spacing w:after="0" w:line="1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Subscription Rights</w:t>
      </w:r>
    </w:p>
    <w:p>
      <w:pPr>
        <w:spacing w:after="0" w:line="1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Debt Securities</w:t>
      </w:r>
    </w:p>
    <w:p>
      <w:pPr>
        <w:spacing w:after="0" w:line="1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Units</w:t>
      </w:r>
    </w:p>
    <w:p>
      <w:pPr>
        <w:spacing w:after="0" w:line="119" w:lineRule="exact"/>
        <w:rPr>
          <w:sz w:val="20"/>
          <w:szCs w:val="20"/>
          <w:color w:val="auto"/>
        </w:rPr>
      </w:pPr>
    </w:p>
    <w:p>
      <w:pPr>
        <w:ind w:left="120" w:right="580" w:firstLine="551"/>
        <w:spacing w:after="0" w:line="281" w:lineRule="auto"/>
        <w:rPr>
          <w:sz w:val="20"/>
          <w:szCs w:val="20"/>
          <w:color w:val="auto"/>
        </w:rPr>
      </w:pPr>
      <w:r>
        <w:rPr>
          <w:rFonts w:ascii="Times New Roman" w:cs="Times New Roman" w:eastAsia="Times New Roman" w:hAnsi="Times New Roman"/>
          <w:sz w:val="17"/>
          <w:szCs w:val="17"/>
          <w:color w:val="auto"/>
        </w:rPr>
        <w:t>PennantPark Investment Corporation is a closed-end, externally managed, non-diversified investment company that has elected to be treated as a business development company under the Investment Company Act of 1940, as amended.</w:t>
      </w:r>
    </w:p>
    <w:p>
      <w:pPr>
        <w:spacing w:after="0" w:line="55" w:lineRule="exact"/>
        <w:rPr>
          <w:sz w:val="20"/>
          <w:szCs w:val="20"/>
          <w:color w:val="auto"/>
        </w:rPr>
      </w:pPr>
    </w:p>
    <w:p>
      <w:pPr>
        <w:ind w:left="120" w:right="440" w:firstLine="551"/>
        <w:spacing w:after="0" w:line="265" w:lineRule="auto"/>
        <w:rPr>
          <w:sz w:val="20"/>
          <w:szCs w:val="20"/>
          <w:color w:val="auto"/>
        </w:rPr>
      </w:pPr>
      <w:r>
        <w:rPr>
          <w:rFonts w:ascii="Times New Roman" w:cs="Times New Roman" w:eastAsia="Times New Roman" w:hAnsi="Times New Roman"/>
          <w:sz w:val="17"/>
          <w:szCs w:val="17"/>
          <w:color w:val="auto"/>
        </w:rPr>
        <w:t>Our investment objectives are to generate both current income and capital appreciation while seeking to preserve capital through debt and equity investments primarily made to U.S. middle-market companies in the form of first lien secured debt, second lien secured debt, subordinated debt and equity investments. We can offer no assurances that we will achieve our investment objectives.</w:t>
      </w:r>
    </w:p>
    <w:p>
      <w:pPr>
        <w:spacing w:after="0" w:line="68" w:lineRule="exact"/>
        <w:rPr>
          <w:sz w:val="20"/>
          <w:szCs w:val="20"/>
          <w:color w:val="auto"/>
        </w:rPr>
      </w:pPr>
    </w:p>
    <w:p>
      <w:pPr>
        <w:ind w:left="120" w:right="640" w:firstLine="551"/>
        <w:spacing w:after="0" w:line="281" w:lineRule="auto"/>
        <w:rPr>
          <w:sz w:val="20"/>
          <w:szCs w:val="20"/>
          <w:color w:val="auto"/>
        </w:rPr>
      </w:pPr>
      <w:r>
        <w:rPr>
          <w:rFonts w:ascii="Times New Roman" w:cs="Times New Roman" w:eastAsia="Times New Roman" w:hAnsi="Times New Roman"/>
          <w:sz w:val="17"/>
          <w:szCs w:val="17"/>
          <w:color w:val="auto"/>
        </w:rPr>
        <w:t>We are managed by PennantPark Investment Advisers, LLC. PennantPark Investment Administration, LLC provides the administrative services necessary for us to operate.</w:t>
      </w:r>
    </w:p>
    <w:p>
      <w:pPr>
        <w:spacing w:after="0" w:line="55" w:lineRule="exact"/>
        <w:rPr>
          <w:sz w:val="20"/>
          <w:szCs w:val="20"/>
          <w:color w:val="auto"/>
        </w:rPr>
      </w:pPr>
    </w:p>
    <w:p>
      <w:pPr>
        <w:ind w:left="120" w:right="60" w:firstLine="551"/>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offer, from time to time, in one or more offerings or series, together or separately, up to $750,000,000 of our common stock, preferred stock, warrants representing rights to purchase shares of our common stock, preferred stock or debt securities, subscription rights, debt securities, or units, which we refer to, collectively, as the “securities.”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w:t>
      </w:r>
      <w:hyperlink w:anchor="page13">
        <w:r>
          <w:rPr>
            <w:rFonts w:ascii="Times New Roman" w:cs="Times New Roman" w:eastAsia="Times New Roman" w:hAnsi="Times New Roman"/>
            <w:sz w:val="17"/>
            <w:szCs w:val="17"/>
            <w:u w:val="single" w:color="auto"/>
            <w:color w:val="0000EE"/>
          </w:rPr>
          <w:t>Risk Factors</w:t>
        </w:r>
      </w:hyperlink>
      <w:r>
        <w:rPr>
          <w:rFonts w:ascii="Times New Roman" w:cs="Times New Roman" w:eastAsia="Times New Roman" w:hAnsi="Times New Roman"/>
          <w:sz w:val="17"/>
          <w:szCs w:val="17"/>
          <w:color w:val="auto"/>
        </w:rPr>
        <w:t>” on page 9 and “</w:t>
      </w:r>
      <w:hyperlink w:anchor="page19">
        <w:r>
          <w:rPr>
            <w:rFonts w:ascii="Times New Roman" w:cs="Times New Roman" w:eastAsia="Times New Roman" w:hAnsi="Times New Roman"/>
            <w:sz w:val="17"/>
            <w:szCs w:val="17"/>
            <w:u w:val="single" w:color="auto"/>
            <w:color w:val="0000EE"/>
          </w:rPr>
          <w:t>Sales of Common Stock Below Net Asset Value</w:t>
        </w:r>
      </w:hyperlink>
      <w:r>
        <w:rPr>
          <w:rFonts w:ascii="Times New Roman" w:cs="Times New Roman" w:eastAsia="Times New Roman" w:hAnsi="Times New Roman"/>
          <w:sz w:val="17"/>
          <w:szCs w:val="17"/>
          <w:color w:val="auto"/>
        </w:rPr>
        <w:t>” on page 15 of this prospectus for more information.</w:t>
      </w:r>
    </w:p>
    <w:p>
      <w:pPr>
        <w:spacing w:after="0" w:line="80" w:lineRule="exact"/>
        <w:rPr>
          <w:sz w:val="20"/>
          <w:szCs w:val="20"/>
          <w:color w:val="auto"/>
        </w:rPr>
      </w:pPr>
    </w:p>
    <w:p>
      <w:pPr>
        <w:ind w:left="120" w:right="100" w:firstLine="551"/>
        <w:spacing w:after="0" w:line="265" w:lineRule="auto"/>
        <w:rPr>
          <w:sz w:val="20"/>
          <w:szCs w:val="20"/>
          <w:color w:val="auto"/>
        </w:rPr>
      </w:pPr>
      <w:r>
        <w:rPr>
          <w:rFonts w:ascii="Times New Roman" w:cs="Times New Roman" w:eastAsia="Times New Roman" w:hAnsi="Times New Roman"/>
          <w:sz w:val="17"/>
          <w:szCs w:val="17"/>
          <w:color w:val="auto"/>
        </w:rPr>
        <w:t>Our common stock is traded on The New York Stock Exchange under the symbol “PNNT.” Prior to April 14, 2022, our common stock was traded on The Nasdaq Global Select Market under the same symbol. The last reported closing price for our common stock on April 19, 2022 was $7.95 per share, and our net asset value on December 31, 2021 was $10.11 per share.</w:t>
      </w:r>
    </w:p>
    <w:p>
      <w:pPr>
        <w:spacing w:after="0" w:line="68" w:lineRule="exact"/>
        <w:rPr>
          <w:sz w:val="20"/>
          <w:szCs w:val="20"/>
          <w:color w:val="auto"/>
        </w:rPr>
      </w:pPr>
    </w:p>
    <w:p>
      <w:pPr>
        <w:ind w:left="120" w:right="80" w:firstLine="551"/>
        <w:spacing w:after="0" w:line="253" w:lineRule="auto"/>
        <w:rPr>
          <w:sz w:val="20"/>
          <w:szCs w:val="20"/>
          <w:color w:val="auto"/>
        </w:rPr>
      </w:pPr>
      <w:r>
        <w:rPr>
          <w:rFonts w:ascii="Times New Roman" w:cs="Times New Roman" w:eastAsia="Times New Roman" w:hAnsi="Times New Roman"/>
          <w:sz w:val="17"/>
          <w:szCs w:val="17"/>
          <w:color w:val="auto"/>
        </w:rPr>
        <w:t xml:space="preserve">This prospectus and any accompanying prospectus supplement contain important information you should know before investing in our securities. We may also authorize one or more free writing prospectuses to be provided to you in connection with offerings. The prospectus supplement and any free writing prospectus may also add, update, or change information contained in this prospectus. Please read this prospectus, the applicable prospectus supplement, and any free writing prospectus, and the documents incorporated by reference,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1691 Michigan Avenue, Miami Beach, Florida 33139, by calling us collect at (212) 905-1000 or by visiting our website at </w:t>
      </w:r>
      <w:r>
        <w:rPr>
          <w:rFonts w:ascii="Times New Roman" w:cs="Times New Roman" w:eastAsia="Times New Roman" w:hAnsi="Times New Roman"/>
          <w:sz w:val="17"/>
          <w:szCs w:val="17"/>
          <w:i w:val="1"/>
          <w:iCs w:val="1"/>
          <w:u w:val="single" w:color="auto"/>
          <w:color w:val="auto"/>
        </w:rPr>
        <w:t>www.pennantpark.com</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information on our website is not incorporated by reference into this prospectus. The SEC also maintains a website at </w:t>
      </w:r>
      <w:r>
        <w:rPr>
          <w:rFonts w:ascii="Times New Roman" w:cs="Times New Roman" w:eastAsia="Times New Roman" w:hAnsi="Times New Roman"/>
          <w:sz w:val="17"/>
          <w:szCs w:val="17"/>
          <w:i w:val="1"/>
          <w:iCs w:val="1"/>
          <w:u w:val="single" w:color="auto"/>
          <w:color w:val="auto"/>
        </w:rPr>
        <w:t>www.sec.gov</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64135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76" w:lineRule="exact"/>
        <w:rPr>
          <w:sz w:val="20"/>
          <w:szCs w:val="20"/>
          <w:color w:val="auto"/>
        </w:rPr>
      </w:pPr>
    </w:p>
    <w:p>
      <w:pPr>
        <w:ind w:left="120" w:right="300" w:firstLine="440"/>
        <w:spacing w:after="0" w:line="25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Investing in our securities involves a high degree of risk, including the risk of the use of leverage. Before buying any of our securities, you should read the discussion of the material risks of investing in us in “</w:t>
      </w:r>
      <w:hyperlink w:anchor="page13">
        <w:r>
          <w:rPr>
            <w:rFonts w:ascii="Times New Roman" w:cs="Times New Roman" w:eastAsia="Times New Roman" w:hAnsi="Times New Roman"/>
            <w:sz w:val="20"/>
            <w:szCs w:val="20"/>
            <w:b w:val="1"/>
            <w:bCs w:val="1"/>
            <w:u w:val="single" w:color="auto"/>
            <w:color w:val="0000EE"/>
          </w:rPr>
          <w:t>Risk Factors</w:t>
        </w:r>
      </w:hyperlink>
      <w:r>
        <w:rPr>
          <w:rFonts w:ascii="Times New Roman" w:cs="Times New Roman" w:eastAsia="Times New Roman" w:hAnsi="Times New Roman"/>
          <w:sz w:val="20"/>
          <w:szCs w:val="20"/>
          <w:b w:val="1"/>
          <w:bCs w:val="1"/>
          <w:color w:val="auto"/>
        </w:rPr>
        <w:t>” beginning on page 9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46990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0"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7"/>
          <w:szCs w:val="17"/>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37465</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This prospectus may not be used to consummate sales of securities unless accompanied by a prospectus supplement.</w:t>
      </w:r>
    </w:p>
    <w:p>
      <w:pPr>
        <w:spacing w:after="0" w:line="115" w:lineRule="exact"/>
        <w:rPr>
          <w:sz w:val="20"/>
          <w:szCs w:val="20"/>
          <w:color w:val="auto"/>
        </w:rPr>
      </w:pPr>
    </w:p>
    <w:tbl>
      <w:tblPr>
        <w:tblLayout w:type="fixed"/>
        <w:tblInd w:w="4440" w:type="dxa"/>
        <w:tblCellMar>
          <w:top w:w="0" w:type="dxa"/>
          <w:left w:w="0" w:type="dxa"/>
          <w:bottom w:w="0" w:type="dxa"/>
          <w:right w:w="0" w:type="dxa"/>
        </w:tblCellMar>
      </w:tblPr>
      <w:tr>
        <w:trPr>
          <w:trHeight w:val="226"/>
        </w:trPr>
        <w:tc>
          <w:tcPr>
            <w:tcW w:w="1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Prospectus dated</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 2022</w:t>
            </w:r>
          </w:p>
        </w:tc>
      </w:tr>
    </w:tbl>
    <w:p>
      <w:pPr>
        <w:sectPr>
          <w:pgSz w:w="11900" w:h="16838" w:orient="portrait"/>
          <w:cols w:equalWidth="0" w:num="1">
            <w:col w:w="11140"/>
          </w:cols>
          <w:pgMar w:left="320" w:top="455" w:right="4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551"/>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any accompanying prospectus supplement, any free writing prospectus and the documents incorporated by reference in this prospectus and any applicable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supplements or free writing prospectuses.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or free writing prospectus is accurate only as of the date of this prospectus or such prospectus supplement or free writing prospectus. We will update these documents to reflect material changes only as required by law. Our business, financial condition, results of operations and prospects may have changed since then.</w:t>
      </w:r>
    </w:p>
    <w:p>
      <w:pPr>
        <w:spacing w:after="0" w:line="200" w:lineRule="exact"/>
        <w:rPr>
          <w:sz w:val="20"/>
          <w:szCs w:val="20"/>
          <w:color w:val="auto"/>
        </w:rPr>
      </w:pP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18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60" w:type="dxa"/>
            <w:vAlign w:val="bottom"/>
            <w:gridSpan w:val="26"/>
            <w:vMerge w:val="restart"/>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PROSPECTUS SUMMARY</w:t>
              </w:r>
            </w:hyperlink>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660" w:type="dxa"/>
            <w:vAlign w:val="bottom"/>
            <w:gridSpan w:val="26"/>
            <w:vMerge w:val="continue"/>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FEES AND EXPENSES</w:t>
              </w:r>
            </w:hyperlink>
          </w:p>
        </w:tc>
        <w:tc>
          <w:tcPr>
            <w:tcW w:w="8580" w:type="dxa"/>
            <w:vAlign w:val="bottom"/>
            <w:gridSpan w:val="1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78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RISK FACTORS</w:t>
              </w:r>
            </w:hyperlink>
          </w:p>
        </w:tc>
        <w:tc>
          <w:tcPr>
            <w:tcW w:w="8880" w:type="dxa"/>
            <w:vAlign w:val="bottom"/>
            <w:gridSpan w:val="2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26"/>
          </w:tcPr>
          <w:p>
            <w:pPr>
              <w:spacing w:after="0" w:line="19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FORWARD-LOOKING STATEMENTS</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w:anchor="page16">
              <w:r>
                <w:rPr>
                  <w:rFonts w:ascii="Times New Roman" w:cs="Times New Roman" w:eastAsia="Times New Roman" w:hAnsi="Times New Roman"/>
                  <w:sz w:val="18"/>
                  <w:szCs w:val="18"/>
                  <w:color w:val="0000EE"/>
                  <w:w w:val="98"/>
                </w:rPr>
                <w:t>USE OF PROCEEDS</w:t>
              </w:r>
            </w:hyperlink>
          </w:p>
        </w:tc>
        <w:tc>
          <w:tcPr>
            <w:tcW w:w="1340" w:type="dxa"/>
            <w:vAlign w:val="bottom"/>
            <w:tcBorders>
              <w:top w:val="single" w:sz="8" w:color="0000EE"/>
            </w:tcBorders>
            <w:gridSpan w:val="10"/>
          </w:tcPr>
          <w:p>
            <w:pPr>
              <w:spacing w:after="0"/>
              <w:rPr>
                <w:sz w:val="17"/>
                <w:szCs w:val="17"/>
                <w:color w:val="auto"/>
              </w:rPr>
            </w:pPr>
          </w:p>
        </w:tc>
        <w:tc>
          <w:tcPr>
            <w:tcW w:w="7740" w:type="dxa"/>
            <w:vAlign w:val="bottom"/>
            <w:gridSpan w:val="1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17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17">
              <w:r>
                <w:rPr>
                  <w:rFonts w:ascii="Times New Roman" w:cs="Times New Roman" w:eastAsia="Times New Roman" w:hAnsi="Times New Roman"/>
                  <w:sz w:val="18"/>
                  <w:szCs w:val="18"/>
                  <w:color w:val="0000EE"/>
                  <w:w w:val="99"/>
                </w:rPr>
                <w:t>SENIOR SECURITIES</w:t>
              </w:r>
            </w:hyperlink>
          </w:p>
        </w:tc>
        <w:tc>
          <w:tcPr>
            <w:tcW w:w="8940" w:type="dxa"/>
            <w:vAlign w:val="bottom"/>
            <w:gridSpan w:val="2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w:anchor="page18">
              <w:r>
                <w:rPr>
                  <w:rFonts w:ascii="Times New Roman" w:cs="Times New Roman" w:eastAsia="Times New Roman" w:hAnsi="Times New Roman"/>
                  <w:sz w:val="18"/>
                  <w:szCs w:val="18"/>
                  <w:color w:val="0000EE"/>
                  <w:w w:val="99"/>
                </w:rPr>
                <w:t>PRICE RANGE OF COMMON STOCK</w:t>
              </w:r>
            </w:hyperlink>
          </w:p>
        </w:tc>
        <w:tc>
          <w:tcPr>
            <w:tcW w:w="7700" w:type="dxa"/>
            <w:vAlign w:val="bottom"/>
            <w:gridSpan w:val="1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46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w:anchor="page19">
              <w:r>
                <w:rPr>
                  <w:rFonts w:ascii="Times New Roman" w:cs="Times New Roman" w:eastAsia="Times New Roman" w:hAnsi="Times New Roman"/>
                  <w:sz w:val="18"/>
                  <w:szCs w:val="18"/>
                  <w:color w:val="0000EE"/>
                  <w:w w:val="99"/>
                </w:rPr>
                <w:t>SALES OF COMMON STOCK BELOW NET ASSET VALUE</w:t>
              </w:r>
            </w:hyperlink>
          </w:p>
        </w:tc>
        <w:tc>
          <w:tcPr>
            <w:tcW w:w="602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13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24">
              <w:r>
                <w:rPr>
                  <w:rFonts w:ascii="Times New Roman" w:cs="Times New Roman" w:eastAsia="Times New Roman" w:hAnsi="Times New Roman"/>
                  <w:sz w:val="18"/>
                  <w:szCs w:val="18"/>
                  <w:color w:val="0000EE"/>
                  <w:w w:val="98"/>
                </w:rPr>
                <w:t>DISTRIBUTIONS</w:t>
              </w:r>
            </w:hyperlink>
          </w:p>
        </w:tc>
        <w:tc>
          <w:tcPr>
            <w:tcW w:w="9300" w:type="dxa"/>
            <w:vAlign w:val="bottom"/>
            <w:gridSpan w:val="2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10660" w:type="dxa"/>
            <w:vAlign w:val="bottom"/>
            <w:gridSpan w:val="26"/>
          </w:tcPr>
          <w:p>
            <w:pPr>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PORTFOLIO COMPANIES</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146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w:anchor="page35">
              <w:r>
                <w:rPr>
                  <w:rFonts w:ascii="Times New Roman" w:cs="Times New Roman" w:eastAsia="Times New Roman" w:hAnsi="Times New Roman"/>
                  <w:sz w:val="18"/>
                  <w:szCs w:val="18"/>
                  <w:color w:val="0000EE"/>
                  <w:w w:val="98"/>
                </w:rPr>
                <w:t>PORTFOLIO MANAGEMENT</w:t>
              </w:r>
            </w:hyperlink>
          </w:p>
        </w:tc>
        <w:tc>
          <w:tcPr>
            <w:tcW w:w="8340" w:type="dxa"/>
            <w:vAlign w:val="bottom"/>
            <w:gridSpan w:val="1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10660" w:type="dxa"/>
            <w:vAlign w:val="bottom"/>
            <w:gridSpan w:val="26"/>
          </w:tcPr>
          <w:p>
            <w:pPr>
              <w:spacing w:after="0" w:line="19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DETERMINATION OF NET ASSET VALUE</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282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DIVIDEND REINVESTMENT PLAN</w:t>
              </w:r>
            </w:hyperlink>
          </w:p>
        </w:tc>
        <w:tc>
          <w:tcPr>
            <w:tcW w:w="540" w:type="dxa"/>
            <w:vAlign w:val="bottom"/>
            <w:tcBorders>
              <w:top w:val="single" w:sz="8" w:color="0000EE"/>
            </w:tcBorders>
            <w:gridSpan w:val="5"/>
          </w:tcPr>
          <w:p>
            <w:pPr>
              <w:spacing w:after="0"/>
              <w:rPr>
                <w:sz w:val="17"/>
                <w:szCs w:val="17"/>
                <w:color w:val="auto"/>
              </w:rPr>
            </w:pPr>
          </w:p>
        </w:tc>
        <w:tc>
          <w:tcPr>
            <w:tcW w:w="730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6"/>
        </w:trPr>
        <w:tc>
          <w:tcPr>
            <w:tcW w:w="10660" w:type="dxa"/>
            <w:vAlign w:val="bottom"/>
            <w:gridSpan w:val="26"/>
          </w:tcPr>
          <w:p>
            <w:pPr>
              <w:spacing w:after="0" w:line="196"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DESCRIPTION OF OUR CAPITAL STOCK</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146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26"/>
          </w:tcPr>
          <w:p>
            <w:pPr>
              <w:spacing w:after="0" w:line="196" w:lineRule="exact"/>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DESCRIPTION OF OUR PREFERRED STOCK</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356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DESCRIPTION OF OUR WARRANTS</w:t>
              </w:r>
            </w:hyperlink>
          </w:p>
        </w:tc>
        <w:tc>
          <w:tcPr>
            <w:tcW w:w="710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146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26"/>
          </w:tcPr>
          <w:p>
            <w:pPr>
              <w:spacing w:after="0" w:line="196"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DESCRIPTION OF OUR SUBSCRIPTION RIGHTS</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6"/>
        </w:trPr>
        <w:tc>
          <w:tcPr>
            <w:tcW w:w="388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DESCRIPTION OF OUR DEBT SECURITIES</w:t>
              </w:r>
            </w:hyperlink>
          </w:p>
        </w:tc>
        <w:tc>
          <w:tcPr>
            <w:tcW w:w="678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6"/>
        </w:trPr>
        <w:tc>
          <w:tcPr>
            <w:tcW w:w="344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DESCRIPTION OF OUR UNITS</w:t>
              </w:r>
            </w:hyperlink>
          </w:p>
        </w:tc>
        <w:tc>
          <w:tcPr>
            <w:tcW w:w="722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146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gridSpan w:val="9"/>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8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w:anchor="page68">
              <w:r>
                <w:rPr>
                  <w:rFonts w:ascii="Times New Roman" w:cs="Times New Roman" w:eastAsia="Times New Roman" w:hAnsi="Times New Roman"/>
                  <w:sz w:val="18"/>
                  <w:szCs w:val="18"/>
                  <w:color w:val="0000EE"/>
                  <w:w w:val="99"/>
                </w:rPr>
                <w:t>BROKERAGE ALLOCATIONS AND OTHER PRACTICES</w:t>
              </w:r>
            </w:hyperlink>
          </w:p>
        </w:tc>
        <w:tc>
          <w:tcPr>
            <w:tcW w:w="618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96"/>
        </w:trPr>
        <w:tc>
          <w:tcPr>
            <w:tcW w:w="10660" w:type="dxa"/>
            <w:vAlign w:val="bottom"/>
            <w:gridSpan w:val="26"/>
          </w:tcPr>
          <w:p>
            <w:pPr>
              <w:spacing w:after="0" w:line="196" w:lineRule="exact"/>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MATERIAL U.S. FEDERAL INCOME TAX CONSIDERATIONS</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96"/>
        </w:trPr>
        <w:tc>
          <w:tcPr>
            <w:tcW w:w="486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w:anchor="page79">
              <w:r>
                <w:rPr>
                  <w:rFonts w:ascii="Times New Roman" w:cs="Times New Roman" w:eastAsia="Times New Roman" w:hAnsi="Times New Roman"/>
                  <w:sz w:val="18"/>
                  <w:szCs w:val="18"/>
                  <w:color w:val="0000EE"/>
                </w:rPr>
                <w:t>PLAN OF DISTRIBUTION</w:t>
              </w:r>
            </w:hyperlink>
          </w:p>
        </w:tc>
        <w:tc>
          <w:tcPr>
            <w:tcW w:w="580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146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980" w:type="dxa"/>
            <w:vAlign w:val="bottom"/>
            <w:gridSpan w:val="11"/>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w:anchor="page81">
              <w:r>
                <w:rPr>
                  <w:rFonts w:ascii="Times New Roman" w:cs="Times New Roman" w:eastAsia="Times New Roman" w:hAnsi="Times New Roman"/>
                  <w:sz w:val="18"/>
                  <w:szCs w:val="18"/>
                  <w:color w:val="0000EE"/>
                  <w:w w:val="99"/>
                </w:rPr>
                <w:t>SUB-ADMINISTRATOR, CUSTODIAN, TRANSFER AGENT AND TRUSTEE</w:t>
              </w:r>
            </w:hyperlink>
          </w:p>
        </w:tc>
        <w:tc>
          <w:tcPr>
            <w:tcW w:w="472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81">
              <w:r>
                <w:rPr>
                  <w:rFonts w:ascii="Times New Roman" w:cs="Times New Roman" w:eastAsia="Times New Roman" w:hAnsi="Times New Roman"/>
                  <w:sz w:val="18"/>
                  <w:szCs w:val="18"/>
                  <w:color w:val="0000EE"/>
                  <w:w w:val="97"/>
                </w:rPr>
                <w:t>LEGAL MATTERS</w:t>
              </w:r>
            </w:hyperlink>
          </w:p>
        </w:tc>
        <w:tc>
          <w:tcPr>
            <w:tcW w:w="9200" w:type="dxa"/>
            <w:vAlign w:val="bottom"/>
            <w:gridSpan w:val="2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w:anchor="page81">
              <w:r>
                <w:rPr>
                  <w:rFonts w:ascii="Times New Roman" w:cs="Times New Roman" w:eastAsia="Times New Roman" w:hAnsi="Times New Roman"/>
                  <w:sz w:val="18"/>
                  <w:szCs w:val="18"/>
                  <w:color w:val="0000EE"/>
                  <w:w w:val="99"/>
                </w:rPr>
                <w:t>INDEPENDENT REGISTERED PUBLIC ACCOUNTING FIRM</w:t>
              </w:r>
            </w:hyperlink>
          </w:p>
        </w:tc>
        <w:tc>
          <w:tcPr>
            <w:tcW w:w="586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6"/>
        </w:trPr>
        <w:tc>
          <w:tcPr>
            <w:tcW w:w="22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INDEPENDENT AUDITORS</w:t>
              </w:r>
            </w:hyperlink>
          </w:p>
        </w:tc>
        <w:tc>
          <w:tcPr>
            <w:tcW w:w="8400" w:type="dxa"/>
            <w:vAlign w:val="bottom"/>
            <w:gridSpan w:val="1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8"/>
              </w:rPr>
            </w:pPr>
            <w:hyperlink w:anchor="page81">
              <w:r>
                <w:rPr>
                  <w:rFonts w:ascii="Times New Roman" w:cs="Times New Roman" w:eastAsia="Times New Roman" w:hAnsi="Times New Roman"/>
                  <w:sz w:val="18"/>
                  <w:szCs w:val="18"/>
                  <w:color w:val="0000EE"/>
                  <w:w w:val="98"/>
                </w:rPr>
                <w:t>INCORPORATION BY REFERENCE</w:t>
              </w:r>
            </w:hyperlink>
          </w:p>
        </w:tc>
        <w:tc>
          <w:tcPr>
            <w:tcW w:w="7840" w:type="dxa"/>
            <w:vAlign w:val="bottom"/>
            <w:gridSpan w:val="1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6"/>
        </w:trPr>
        <w:tc>
          <w:tcPr>
            <w:tcW w:w="10660" w:type="dxa"/>
            <w:vAlign w:val="bottom"/>
            <w:gridSpan w:val="26"/>
          </w:tcPr>
          <w:p>
            <w:pPr>
              <w:spacing w:after="0" w:line="196"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AVAILABLE INFORMATION</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20"/>
          </w:cols>
          <w:pgMar w:left="320" w:top="455" w:right="45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firstLine="551"/>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have filed with the SEC using the “shelf” registration process. Under the shelf registration process, we may offer from time to time up to $750,000,000 of our common stock, preferred stock, warrants representing rights to purchase shares of our common stock, preferred stock or debt securities, subscription rights, debt securities, or units on the terms to be determined at the time of the offering.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and any free writing prospectus, together with any exhibits and the additional information described in the sections titled “Incorporation By Reference” and “Available Information,” before you make an investment decision.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40"/>
          </w:cols>
          <w:pgMar w:left="320" w:top="455" w:right="4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21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firstLine="426"/>
        <w:spacing w:after="0" w:line="252" w:lineRule="auto"/>
        <w:rPr>
          <w:sz w:val="20"/>
          <w:szCs w:val="20"/>
          <w:color w:val="auto"/>
        </w:rPr>
      </w:pPr>
      <w:r>
        <w:rPr>
          <w:rFonts w:ascii="Times New Roman" w:cs="Times New Roman" w:eastAsia="Times New Roman" w:hAnsi="Times New Roman"/>
          <w:sz w:val="18"/>
          <w:szCs w:val="18"/>
          <w:i w:val="1"/>
          <w:iCs w:val="1"/>
          <w:color w:val="auto"/>
        </w:rPr>
        <w:t>This summary highlights some of the information in this prospectus. It is not complete and may not contain all of the information that you may want to consider in making an investment decision. References to our portfolio, our investments and our business include investments we make through our consolidated subsidiaries. Some of the statements in this prospectus constitute forward-looking statements, which apply to both us and our consolidated subsidiaries, as applicable, and relate to future events, future performance or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or free writing prospectus, except where the context suggests otherwise: the terms “we,” “us,” “our” and “Company” refer to PennantPark Investment Corporation and its consolidated subsidiaries; “PennantPark Investment” refers to only PennantPark Investment Corporation; “our SBIC Fund” refers collectively to our consolidated subsidiary, PennantPark SBIC II LP, or SBIC II, and its general partner, PennantPark SBIC GP II, LLC; “Funding I” refers to PennantPark Investment Funding I, LLC; “Taxable Subsidiary” refers to PNNT Investment Holdings, LLC; “PSLF” refers to PennantPark Senior Loan Fund, LLC, an unconsolidated joint venture; “PennantPark Investment Advisers” or “Investment Adviser” refers to PennantPark Investment Advisers, LLC; “PennantPark Investment Administration” or “Administrator” refers to PennantPark Investment Administration, LLC; “SBA” refers to the Small Business Administration; “BNP Credit Facility” refers to our revolving credit facility with BNP Paribas prior to deconsolidation of Funding I; “Truist Credit Facility” refers to our multi-currency, senior secured revolving credit facility with Truist Bank (formerly SunTrust Bank), as amended and restated; “2024 Notes” refers to our 5.50% Notes due 2024; “2026 Notes” refers to our 4.50% Notes due May 2026; “2026 Notes-2” refers to our 4.00% Notes due November 2026; “1940 Act” refers to the Investment Company Act of 1940, as amended; “1958 Act” refers to the Small Business Investment Act of 1958, as amended; “Code” refers to the Internal Revenue Code of 1986, as amended; “RIC” refers to a regulated investment company under the Code; and “BDC” refers to a business development company under the 1940 Act.</w:t>
      </w:r>
    </w:p>
    <w:p>
      <w:pPr>
        <w:spacing w:after="0" w:line="2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 Business of PennantPark Investment Corporation</w:t>
      </w:r>
    </w:p>
    <w:p>
      <w:pPr>
        <w:spacing w:after="0" w:line="121" w:lineRule="exact"/>
        <w:rPr>
          <w:sz w:val="20"/>
          <w:szCs w:val="20"/>
          <w:color w:val="auto"/>
        </w:rPr>
      </w:pPr>
    </w:p>
    <w:p>
      <w:pPr>
        <w:ind w:left="300" w:right="160" w:firstLine="426"/>
        <w:spacing w:after="0" w:line="266" w:lineRule="auto"/>
        <w:rPr>
          <w:sz w:val="20"/>
          <w:szCs w:val="20"/>
          <w:color w:val="auto"/>
        </w:rPr>
      </w:pPr>
      <w:r>
        <w:rPr>
          <w:rFonts w:ascii="Times New Roman" w:cs="Times New Roman" w:eastAsia="Times New Roman" w:hAnsi="Times New Roman"/>
          <w:sz w:val="18"/>
          <w:szCs w:val="18"/>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subordinated debt and equity investments.</w:t>
      </w:r>
    </w:p>
    <w:p>
      <w:pPr>
        <w:spacing w:after="0" w:line="176" w:lineRule="exact"/>
        <w:rPr>
          <w:sz w:val="20"/>
          <w:szCs w:val="20"/>
          <w:color w:val="auto"/>
        </w:rPr>
      </w:pPr>
    </w:p>
    <w:p>
      <w:pPr>
        <w:ind w:left="300" w:right="40" w:firstLine="426"/>
        <w:spacing w:after="0" w:line="253" w:lineRule="auto"/>
        <w:rPr>
          <w:sz w:val="20"/>
          <w:szCs w:val="20"/>
          <w:color w:val="auto"/>
        </w:rPr>
      </w:pPr>
      <w:r>
        <w:rPr>
          <w:rFonts w:ascii="Times New Roman" w:cs="Times New Roman" w:eastAsia="Times New Roman" w:hAnsi="Times New Roman"/>
          <w:sz w:val="18"/>
          <w:szCs w:val="18"/>
          <w:color w:val="auto"/>
        </w:rPr>
        <w:t>We believe U.S. middle-market companies offer attractive risk-reward to investors due to a limited amount of capital available for such companies.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or S&amp;P,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30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706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 For a description of our debt capital, please see “Management’s Discussion and Analysis of Financial Condition and Results of Operations—Liquidity and Capital Resources” in our most recent Annual Report on Form 10-K or Quarterly Report on Form 10-Q.</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Organization and Structure of PennantPark Investment Corporation</w:t>
      </w:r>
    </w:p>
    <w:p>
      <w:pPr>
        <w:spacing w:after="0" w:line="121" w:lineRule="exact"/>
        <w:rPr>
          <w:sz w:val="20"/>
          <w:szCs w:val="20"/>
          <w:color w:val="auto"/>
        </w:rPr>
      </w:pPr>
    </w:p>
    <w:p>
      <w:pPr>
        <w:ind w:left="300" w:right="260" w:firstLine="426"/>
        <w:spacing w:after="0" w:line="266" w:lineRule="auto"/>
        <w:rPr>
          <w:sz w:val="20"/>
          <w:szCs w:val="20"/>
          <w:color w:val="auto"/>
        </w:rPr>
      </w:pPr>
      <w:r>
        <w:rPr>
          <w:rFonts w:ascii="Times New Roman" w:cs="Times New Roman" w:eastAsia="Times New Roman" w:hAnsi="Times New Roman"/>
          <w:sz w:val="18"/>
          <w:szCs w:val="18"/>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76" w:lineRule="exact"/>
        <w:rPr>
          <w:sz w:val="20"/>
          <w:szCs w:val="20"/>
          <w:color w:val="auto"/>
        </w:rPr>
      </w:pPr>
    </w:p>
    <w:p>
      <w:pPr>
        <w:ind w:left="300" w:right="100" w:firstLine="426"/>
        <w:spacing w:after="0" w:line="281" w:lineRule="auto"/>
        <w:rPr>
          <w:sz w:val="20"/>
          <w:szCs w:val="20"/>
          <w:color w:val="auto"/>
        </w:rPr>
      </w:pPr>
      <w:r>
        <w:rPr>
          <w:rFonts w:ascii="Times New Roman" w:cs="Times New Roman" w:eastAsia="Times New Roman" w:hAnsi="Times New Roman"/>
          <w:sz w:val="17"/>
          <w:szCs w:val="17"/>
          <w:color w:val="auto"/>
        </w:rPr>
        <w:t>SBIC II, our wholly owned subsidiary, was organized in Delaware as a limited partnership in July 2012. SBIC II received a license from the SBA to operate as a Small Business Investment Company, or SBIC, under Section 301(c) of the Small Business Investment Act of 1958, as amended, or the 1958 Act, in 2013. SBIC II’s objectives are to generate both current income and capital appreciation through debt and equity investments generally by investing with us in SBA-eligible businesses that meet the investment selection criteria used by PennantPark Investment.</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Investment Adviser and Administrator</w:t>
      </w:r>
    </w:p>
    <w:p>
      <w:pPr>
        <w:spacing w:after="0" w:line="121"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w:t>
      </w:r>
    </w:p>
    <w:p>
      <w:pPr>
        <w:spacing w:after="0" w:line="1" w:lineRule="exact"/>
        <w:rPr>
          <w:sz w:val="20"/>
          <w:szCs w:val="20"/>
          <w:color w:val="auto"/>
        </w:rPr>
      </w:pPr>
    </w:p>
    <w:p>
      <w:pPr>
        <w:ind w:left="300" w:right="80"/>
        <w:spacing w:after="0" w:line="260" w:lineRule="auto"/>
        <w:rPr>
          <w:sz w:val="20"/>
          <w:szCs w:val="20"/>
          <w:color w:val="auto"/>
        </w:rPr>
      </w:pPr>
      <w:r>
        <w:rPr>
          <w:rFonts w:ascii="Times New Roman" w:cs="Times New Roman" w:eastAsia="Times New Roman" w:hAnsi="Times New Roman"/>
          <w:sz w:val="18"/>
          <w:szCs w:val="18"/>
          <w:color w:val="auto"/>
        </w:rPr>
        <w:t>$15.0 billion in 605 companies with over 200 different financial sponsors through its managed funds, which includes investments by the Company totaling $6.7 billion in 302 companies.</w:t>
      </w:r>
    </w:p>
    <w:p>
      <w:pPr>
        <w:spacing w:after="0" w:line="181" w:lineRule="exact"/>
        <w:rPr>
          <w:sz w:val="20"/>
          <w:szCs w:val="20"/>
          <w:color w:val="auto"/>
        </w:rPr>
      </w:pPr>
    </w:p>
    <w:p>
      <w:pPr>
        <w:ind w:left="300" w:right="260" w:firstLine="426"/>
        <w:spacing w:after="0" w:line="254" w:lineRule="auto"/>
        <w:rPr>
          <w:sz w:val="20"/>
          <w:szCs w:val="20"/>
          <w:color w:val="auto"/>
        </w:rPr>
      </w:pPr>
      <w:r>
        <w:rPr>
          <w:rFonts w:ascii="Times New Roman" w:cs="Times New Roman" w:eastAsia="Times New Roman" w:hAnsi="Times New Roman"/>
          <w:sz w:val="18"/>
          <w:szCs w:val="18"/>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in our most recent Annual Report on Form 10-K for more information.</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21" w:lineRule="exact"/>
        <w:rPr>
          <w:sz w:val="20"/>
          <w:szCs w:val="20"/>
          <w:color w:val="auto"/>
        </w:rPr>
      </w:pPr>
    </w:p>
    <w:p>
      <w:pPr>
        <w:ind w:left="300" w:right="140" w:firstLine="426"/>
        <w:spacing w:after="0" w:line="282" w:lineRule="auto"/>
        <w:rPr>
          <w:sz w:val="20"/>
          <w:szCs w:val="20"/>
          <w:color w:val="auto"/>
        </w:rPr>
      </w:pPr>
      <w:r>
        <w:rPr>
          <w:rFonts w:ascii="Times New Roman" w:cs="Times New Roman" w:eastAsia="Times New Roman" w:hAnsi="Times New Roman"/>
          <w:sz w:val="18"/>
          <w:szCs w:val="18"/>
          <w:color w:val="auto"/>
        </w:rPr>
        <w:t>We believe that the limited amount of capital available to middle-market companies, coupled with the desire of these companies for flexible sources of capital, creates an attractive investment environment for us. From our</w:t>
      </w: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33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perspective, middle-market companies have faced difficulty in raising debt through private and public capital markets. We believe that, as a result of the difficulties in the credit markets and fewer sources of capital for middle-market companies, we see opportunities for improved risk-reward on our investments. Furthermore, we believe with a large pool of uninvested private equity capital seeking debt capital to complete private investments and a substantial supply of refinancing opportunities, there is an opportunity to attain attractive risk-reward returns with debt investments. See “Business” in our most recent Annual Report on Form 10-K for more information.</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right="220" w:firstLine="426"/>
        <w:spacing w:after="0" w:line="261" w:lineRule="auto"/>
        <w:rPr>
          <w:sz w:val="20"/>
          <w:szCs w:val="20"/>
          <w:color w:val="auto"/>
        </w:rPr>
      </w:pPr>
      <w:r>
        <w:rPr>
          <w:rFonts w:ascii="Times New Roman" w:cs="Times New Roman" w:eastAsia="Times New Roman" w:hAnsi="Times New Roman"/>
          <w:sz w:val="18"/>
          <w:szCs w:val="18"/>
          <w:color w:val="auto"/>
        </w:rPr>
        <w:t>We may use the net proceeds from selling securities pursuant to this prospectus to reduce our then-outstanding debt obligations to invest in new or existing portfolio companies, to capitalize a subsidiary or for other general corporate or strategic purposes. Any supplements to this prospectus or free writing prospectus relating to an offering will more fully identify the use of the proceeds from such offering. See “Use of Proceeds” for more information.</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Distributions on Common Stock</w:t>
      </w:r>
    </w:p>
    <w:p>
      <w:pPr>
        <w:spacing w:after="0" w:line="121" w:lineRule="exact"/>
        <w:rPr>
          <w:sz w:val="20"/>
          <w:szCs w:val="20"/>
          <w:color w:val="auto"/>
        </w:rPr>
      </w:pPr>
    </w:p>
    <w:p>
      <w:pPr>
        <w:ind w:left="300" w:right="140" w:firstLine="426"/>
        <w:spacing w:after="0" w:line="282" w:lineRule="auto"/>
        <w:rPr>
          <w:sz w:val="20"/>
          <w:szCs w:val="20"/>
          <w:color w:val="auto"/>
        </w:rPr>
      </w:pPr>
      <w:r>
        <w:rPr>
          <w:rFonts w:ascii="Times New Roman" w:cs="Times New Roman" w:eastAsia="Times New Roman" w:hAnsi="Times New Roman"/>
          <w:sz w:val="18"/>
          <w:szCs w:val="18"/>
          <w:color w:val="auto"/>
        </w:rPr>
        <w:t>We intend to continue making quarterly distributions to our common stockholders. Our quarterly distributions, if any, are determined by our board of directors. Distributions may include a return of capital. See “Distributions” for more information.</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Dividends on Preferred Stock</w:t>
      </w:r>
    </w:p>
    <w:p>
      <w:pPr>
        <w:spacing w:after="0" w:line="121" w:lineRule="exact"/>
        <w:rPr>
          <w:sz w:val="20"/>
          <w:szCs w:val="20"/>
          <w:color w:val="auto"/>
        </w:rPr>
      </w:pPr>
    </w:p>
    <w:p>
      <w:pPr>
        <w:ind w:left="300" w:firstLine="426"/>
        <w:spacing w:after="0" w:line="277" w:lineRule="auto"/>
        <w:rPr>
          <w:sz w:val="20"/>
          <w:szCs w:val="20"/>
          <w:color w:val="auto"/>
        </w:rPr>
      </w:pPr>
      <w:r>
        <w:rPr>
          <w:rFonts w:ascii="Times New Roman" w:cs="Times New Roman" w:eastAsia="Times New Roman" w:hAnsi="Times New Roman"/>
          <w:sz w:val="17"/>
          <w:szCs w:val="17"/>
          <w:color w:val="auto"/>
        </w:rPr>
        <w:t>We may issue preferred stock from time to time, although we have no immediate intention to do so. Any such preferred stock will be a senior security for purposes of the 1940 Act and, accordingly, subject to the leverage test under the 1940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“Description of our Preferred Stock” for more information.</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 Reinvestment Plan</w:t>
      </w:r>
    </w:p>
    <w:p>
      <w:pPr>
        <w:spacing w:after="0" w:line="121" w:lineRule="exact"/>
        <w:rPr>
          <w:sz w:val="20"/>
          <w:szCs w:val="20"/>
          <w:color w:val="auto"/>
        </w:rPr>
      </w:pPr>
    </w:p>
    <w:p>
      <w:pPr>
        <w:ind w:left="300" w:right="260" w:firstLine="426"/>
        <w:spacing w:after="0" w:line="258" w:lineRule="auto"/>
        <w:rPr>
          <w:sz w:val="20"/>
          <w:szCs w:val="20"/>
          <w:color w:val="auto"/>
        </w:rPr>
      </w:pPr>
      <w:r>
        <w:rPr>
          <w:rFonts w:ascii="Times New Roman" w:cs="Times New Roman" w:eastAsia="Times New Roman" w:hAnsi="Times New Roman"/>
          <w:sz w:val="18"/>
          <w:szCs w:val="18"/>
          <w:color w:val="auto"/>
        </w:rPr>
        <w:t>We have adopted an “opt-out” dividend reinvestment plan that provides for reinvestment of our distributions on behalf of our stockholders unless a stockholder elects to receive cash. As a result, if our board of directors authorizes, and we declare, a cash distribution, then our stockholders who have not ‘opted out’ of our dividend reinvestment plan will have their cash distribution automatically reinvested in additional shares of our common stock rather than receiving the cash distribution. Registered stockholders must notify our transfer agent in writing if they wish to ‘opt-out’ of the dividend reinvestment plan. See “Dividend Reinvestment Plan” for more information.</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ind w:left="300" w:right="380" w:firstLine="426"/>
        <w:spacing w:after="0" w:line="282" w:lineRule="auto"/>
        <w:rPr>
          <w:sz w:val="20"/>
          <w:szCs w:val="20"/>
          <w:color w:val="auto"/>
        </w:rPr>
      </w:pPr>
      <w:r>
        <w:rPr>
          <w:rFonts w:ascii="Times New Roman" w:cs="Times New Roman" w:eastAsia="Times New Roman" w:hAnsi="Times New Roman"/>
          <w:sz w:val="18"/>
          <w:szCs w:val="18"/>
          <w:color w:val="auto"/>
        </w:rPr>
        <w:t>We may offer, from time to time, up to $750 million of our securities, on terms to be determined at the time of each such offering and set forth in a supplement to this prospectus.</w:t>
      </w:r>
    </w:p>
    <w:p>
      <w:pPr>
        <w:spacing w:after="0" w:line="162"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Securities may be offered at prices and on terms described in one or more supplements to this prospectus. We may sell our securities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w:t>
      </w:r>
    </w:p>
    <w:p>
      <w:pPr>
        <w:spacing w:after="0" w:line="28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32531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32531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any accompanying supplements to this prospectus may not exceed 10% of the aggregate offering price of the securities as set forth on the cover page of such supplement to this prospectus.</w:t>
      </w:r>
    </w:p>
    <w:p>
      <w:pPr>
        <w:spacing w:after="0" w:line="183" w:lineRule="exact"/>
        <w:rPr>
          <w:sz w:val="20"/>
          <w:szCs w:val="20"/>
          <w:color w:val="auto"/>
        </w:rPr>
      </w:pPr>
    </w:p>
    <w:p>
      <w:pPr>
        <w:ind w:left="300" w:right="480" w:firstLine="426"/>
        <w:spacing w:after="0" w:line="282" w:lineRule="auto"/>
        <w:rPr>
          <w:sz w:val="20"/>
          <w:szCs w:val="20"/>
          <w:color w:val="auto"/>
        </w:rPr>
      </w:pPr>
      <w:r>
        <w:rPr>
          <w:rFonts w:ascii="Times New Roman" w:cs="Times New Roman" w:eastAsia="Times New Roman" w:hAnsi="Times New Roman"/>
          <w:sz w:val="18"/>
          <w:szCs w:val="18"/>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121" w:lineRule="exact"/>
        <w:rPr>
          <w:sz w:val="20"/>
          <w:szCs w:val="20"/>
          <w:color w:val="auto"/>
        </w:rPr>
      </w:pPr>
    </w:p>
    <w:p>
      <w:pPr>
        <w:ind w:left="300" w:firstLine="426"/>
        <w:spacing w:after="0" w:line="281" w:lineRule="auto"/>
        <w:rPr>
          <w:sz w:val="20"/>
          <w:szCs w:val="20"/>
          <w:color w:val="auto"/>
        </w:rPr>
      </w:pPr>
      <w:r>
        <w:rPr>
          <w:rFonts w:ascii="Times New Roman" w:cs="Times New Roman" w:eastAsia="Times New Roman" w:hAnsi="Times New Roman"/>
          <w:sz w:val="17"/>
          <w:szCs w:val="17"/>
          <w:color w:val="auto"/>
        </w:rPr>
        <w:t>Our business is subject to numerous risks, as described in the section titled “Risk Factors” in this prospectus, the applicable prospectus supplement and related free writing prospectuses we may authorize for use in connection with a specific offering, if any, and under similar headings in the documents that are incorporated by reference into this prospectus, including the section titled “Risk Factors” included in our most recent Annual Report on Form 10-K and Quarterly Reports on Form 10-Q, as well as any amendments reflected in subsequent filings with the SEC.</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administrative and principal executive offices are located at 1691 Michigan Avenue, Miami Beach, Florida 33139. Our phone number is</w:t>
      </w:r>
    </w:p>
    <w:p>
      <w:pPr>
        <w:spacing w:after="0" w:line="27" w:lineRule="exact"/>
        <w:rPr>
          <w:sz w:val="20"/>
          <w:szCs w:val="20"/>
          <w:color w:val="auto"/>
        </w:rPr>
      </w:pPr>
    </w:p>
    <w:p>
      <w:pPr>
        <w:ind w:left="300" w:right="120" w:hanging="2"/>
        <w:spacing w:after="0" w:line="255" w:lineRule="auto"/>
        <w:tabs>
          <w:tab w:leader="none" w:pos="7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905-1000, and our internet website address is </w:t>
      </w:r>
      <w:r>
        <w:rPr>
          <w:rFonts w:ascii="Times New Roman" w:cs="Times New Roman" w:eastAsia="Times New Roman" w:hAnsi="Times New Roman"/>
          <w:sz w:val="18"/>
          <w:szCs w:val="18"/>
          <w:i w:val="1"/>
          <w:iCs w:val="1"/>
          <w:u w:val="single" w:color="auto"/>
          <w:color w:val="auto"/>
        </w:rPr>
        <w:t>www.pennantpark.com</w:t>
      </w:r>
      <w:r>
        <w:rPr>
          <w:rFonts w:ascii="Times New Roman" w:cs="Times New Roman" w:eastAsia="Times New Roman" w:hAnsi="Times New Roman"/>
          <w:sz w:val="18"/>
          <w:szCs w:val="18"/>
          <w:color w:val="auto"/>
        </w:rPr>
        <w:t>. Information contained on our website is not incorporated by reference into this prospectus or any supplements to this prospectus, and you should not consider information contained on our website to be part of this prospectus or any supplements to this prospectus.</w:t>
      </w:r>
    </w:p>
    <w:p>
      <w:pPr>
        <w:spacing w:after="0" w:line="2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this prospectus or any prospectus supplements, if any, contains a reference to fees or expenses paid by “you” or “us” or that “we” will pay, stockholders will indirectly bear such fees or expenses as investors in us.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0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 transaction expenses</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Sales load (as a percentage of offering price)</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98"/>
        </w:trPr>
        <w:tc>
          <w:tcPr>
            <w:tcW w:w="10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Offering expenses (as a percentage of offering price)</w:t>
            </w:r>
          </w:p>
        </w:tc>
        <w:tc>
          <w:tcPr>
            <w:tcW w:w="920" w:type="dxa"/>
            <w:vAlign w:val="bottom"/>
            <w:gridSpan w:val="2"/>
            <w:shd w:val="clear" w:color="auto" w:fill="CCEEFF"/>
          </w:tcPr>
          <w:p>
            <w:pPr>
              <w:jc w:val="right"/>
              <w:ind w:right="280"/>
              <w:spacing w:after="0" w:line="198"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48"/>
        </w:trPr>
        <w:tc>
          <w:tcPr>
            <w:tcW w:w="10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reinvestment plan expenses</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16"/>
        </w:trPr>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 expenses</w:t>
            </w: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Estimated annual expenses (as a percentage of average net assets attributable to common shares)</w:t>
            </w:r>
            <w:r>
              <w:rPr>
                <w:rFonts w:ascii="Times New Roman" w:cs="Times New Roman" w:eastAsia="Times New Roman" w:hAnsi="Times New Roman"/>
                <w:sz w:val="15"/>
                <w:szCs w:val="15"/>
                <w:b w:val="1"/>
                <w:bCs w:val="1"/>
                <w:color w:val="auto"/>
              </w:rPr>
              <w:t>(4)</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fees</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3.09%</w:t>
            </w: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216"/>
        </w:trPr>
        <w:tc>
          <w:tcPr>
            <w:tcW w:w="10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fees</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1.61%</w:t>
            </w: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198"/>
        </w:trPr>
        <w:tc>
          <w:tcPr>
            <w:tcW w:w="10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Interest on borrowed funds</w:t>
            </w:r>
          </w:p>
        </w:tc>
        <w:tc>
          <w:tcPr>
            <w:tcW w:w="92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4.16%</w:t>
            </w:r>
            <w:r>
              <w:rPr>
                <w:rFonts w:ascii="Times New Roman" w:cs="Times New Roman" w:eastAsia="Times New Roman" w:hAnsi="Times New Roman"/>
                <w:sz w:val="15"/>
                <w:szCs w:val="15"/>
                <w:color w:val="auto"/>
              </w:rPr>
              <w:t>(7)</w:t>
            </w:r>
          </w:p>
        </w:tc>
        <w:tc>
          <w:tcPr>
            <w:tcW w:w="0" w:type="dxa"/>
            <w:vAlign w:val="bottom"/>
          </w:tcPr>
          <w:p>
            <w:pPr>
              <w:spacing w:after="0"/>
              <w:rPr>
                <w:sz w:val="1"/>
                <w:szCs w:val="1"/>
                <w:color w:val="auto"/>
              </w:rPr>
            </w:pPr>
          </w:p>
        </w:tc>
      </w:tr>
      <w:tr>
        <w:trPr>
          <w:trHeight w:val="241"/>
        </w:trPr>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Acquired fund fees and expenses</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1.63%</w:t>
            </w: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223"/>
        </w:trPr>
        <w:tc>
          <w:tcPr>
            <w:tcW w:w="10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0.71%</w:t>
            </w: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20"/>
        </w:trPr>
        <w:tc>
          <w:tcPr>
            <w:tcW w:w="10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estimated annual expenses</w:t>
            </w: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0100" w:type="dxa"/>
            <w:vAlign w:val="bottom"/>
            <w:vMerge w:val="continue"/>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11.20%</w:t>
            </w: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540" w:right="820" w:hanging="424"/>
        <w:spacing w:after="0" w:line="261"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securities to which this prospectus relates are sold to or through underwriters or agents, a corresponding prospectus supplement will disclose the applicable sales load.</w:t>
      </w:r>
    </w:p>
    <w:p>
      <w:pPr>
        <w:ind w:left="540" w:right="140" w:hanging="424"/>
        <w:spacing w:after="0" w:line="250"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prospectus supplement will disclose the estimated amount of offering expenses, the offering price and the offering expenses borne by us as a percentage of the offering price.</w:t>
      </w:r>
    </w:p>
    <w:p>
      <w:pPr>
        <w:ind w:left="540" w:hanging="424"/>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of the dividend reinvestment plan are included in “Other expenses.”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assets attributable to common shares equals average net assets as of December 31, 2021.</w:t>
      </w:r>
    </w:p>
    <w:p>
      <w:pPr>
        <w:spacing w:after="0" w:line="9" w:lineRule="exact"/>
        <w:rPr>
          <w:rFonts w:ascii="Times New Roman" w:cs="Times New Roman" w:eastAsia="Times New Roman" w:hAnsi="Times New Roman"/>
          <w:sz w:val="18"/>
          <w:szCs w:val="18"/>
          <w:color w:val="auto"/>
        </w:rPr>
      </w:pPr>
    </w:p>
    <w:p>
      <w:pPr>
        <w:ind w:left="540" w:right="180" w:hanging="424"/>
        <w:spacing w:after="0" w:line="250"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management fee is calculated at an annual rate of 1.50% of our average adjusted gross assets up to 200% of the Company’s total net assets as of the immediately preceding quarter-end and 1.00% for amounts that exceed such amount as of the immediately preceding quarter-end, which for purposes of this table was December 31, 2021. See “Business—Investment Management Agreement” and “Business— Management Fees” in our most recent Annual Report on Form 10-K for more information.</w:t>
      </w:r>
    </w:p>
    <w:p>
      <w:pPr>
        <w:spacing w:after="0" w:line="1"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incentive fees paid with respect to net investment income and capital gains, if any, is based on actual amounts incurred during the fiscal quarter ended December 31, 2021, annualized for a full year.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17.5%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U.S. generally accepted accounting principles, or GAAP. As we cannot predict our future net investment income or capital gains, the incentive fee paid in future periods, if any, may be substantially different than the fee earned during the fiscal quarter ended December 31, 2021. For more detailed information about the incentive fee, please see “Business—Investment Management Agreement” and “Business—Management Fees” in our most recent Annual Report on Form 10-K for more information.</w:t>
      </w:r>
    </w:p>
    <w:p>
      <w:pPr>
        <w:spacing w:after="0" w:line="4" w:lineRule="exact"/>
        <w:rPr>
          <w:rFonts w:ascii="Times New Roman" w:cs="Times New Roman" w:eastAsia="Times New Roman" w:hAnsi="Times New Roman"/>
          <w:sz w:val="18"/>
          <w:szCs w:val="18"/>
          <w:color w:val="auto"/>
        </w:rPr>
      </w:pPr>
    </w:p>
    <w:p>
      <w:pPr>
        <w:ind w:left="540" w:right="180" w:hanging="424"/>
        <w:spacing w:after="0" w:line="250"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we had $19.8 million of unused borrowing capacity, subject to maintenance of the applicable total assets to debt ratio, under the 1940 Act. As of such date, we had $445.2 million in borrowings outstanding under our $465.0 million Truist Credit Facility,</w:t>
      </w: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 million in aggregate</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55" w:right="4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53" w:lineRule="auto"/>
        <w:rPr>
          <w:sz w:val="20"/>
          <w:szCs w:val="20"/>
          <w:color w:val="auto"/>
        </w:rPr>
      </w:pPr>
      <w:r>
        <w:rPr>
          <w:rFonts w:ascii="Times New Roman" w:cs="Times New Roman" w:eastAsia="Times New Roman" w:hAnsi="Times New Roman"/>
          <w:sz w:val="18"/>
          <w:szCs w:val="18"/>
          <w:color w:val="auto"/>
        </w:rPr>
        <w:t>principal of 2026 Notes and $165.0 million in aggregate principal of 2026 Notes-2. As of December 31, 2021, our SBIC Fund had debenture commitments from the SBA in the amount of $63.5 million, all of which were outstanding with a weighted average interest rate of 3.2%, exclusive of the 3.4% of upfront fees. We may use proceeds of any offering of securities under any applicable registration statement to repay outstanding obligations under the Truist Credit Facility. After completing any such offering, we may continue to borrow under our Truist Credit Facility to finance our investment objectives. Annual interest expense on borrowed funds represents actual interest expense incurred for the fiscal quarter ended December 31, 2021, annualized for a full year, and amendment costs and make-whole premiums, if any, and we caution you that our actual interest expense will depend on prevailing interest rates and our rate of borrowing, which may be substantially higher than the estimate provided in this table.</w:t>
      </w:r>
    </w:p>
    <w:p>
      <w:pPr>
        <w:spacing w:after="0" w:line="1" w:lineRule="exact"/>
        <w:rPr>
          <w:sz w:val="20"/>
          <w:szCs w:val="20"/>
          <w:color w:val="auto"/>
        </w:rPr>
      </w:pPr>
    </w:p>
    <w:p>
      <w:pPr>
        <w:ind w:left="540" w:hanging="424"/>
        <w:spacing w:after="0" w:line="250"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indirectly bear 60.5% of the expenses of our investment in PSLF. No management fee is charged by PennantPark Investment Advisers in connection with PSLF. PSLF pays the Administrator an annual fee of 0.25% of average gross assets under management. For this chart, PSLF fees and operating expenses are based on our share of the actual fees and operating expenses of PSLF for the fiscal quarter ended December 31, 2021, annualized for a full year. Expenses for PSLF may fluctuate over time and may be substantially higher or lower in the future.</w:t>
      </w:r>
    </w:p>
    <w:p>
      <w:pPr>
        <w:spacing w:after="0" w:line="1" w:lineRule="exact"/>
        <w:rPr>
          <w:rFonts w:ascii="Times New Roman" w:cs="Times New Roman" w:eastAsia="Times New Roman" w:hAnsi="Times New Roman"/>
          <w:sz w:val="18"/>
          <w:szCs w:val="18"/>
          <w:color w:val="auto"/>
        </w:rPr>
      </w:pPr>
    </w:p>
    <w:p>
      <w:pPr>
        <w:ind w:left="540" w:right="240" w:hanging="424"/>
        <w:spacing w:after="0" w:line="250"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estimated amounts for the current fiscal year.</w:t>
      </w:r>
    </w:p>
    <w:p>
      <w:pPr>
        <w:spacing w:after="0" w:line="1" w:lineRule="exact"/>
        <w:rPr>
          <w:rFonts w:ascii="Times New Roman" w:cs="Times New Roman" w:eastAsia="Times New Roman" w:hAnsi="Times New Roman"/>
          <w:sz w:val="18"/>
          <w:szCs w:val="18"/>
          <w:color w:val="auto"/>
        </w:rPr>
      </w:pPr>
    </w:p>
    <w:p>
      <w:pPr>
        <w:ind w:left="540" w:right="60" w:hanging="424"/>
        <w:spacing w:after="0" w:line="252"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net assets (defined as total assets less indebtedness) rather than total assets, which include assets that have been funded with borrowed money. If the “Total estimated annual expenses” percentage were calculated instead as a percentage of total assets, our “Total estimated annual expenses” would be 5.26% of average total assets.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Example</w:t>
      </w:r>
    </w:p>
    <w:p>
      <w:pPr>
        <w:spacing w:after="0" w:line="121"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The following example illustrates the projected dollar amount of total cumulative expenses that you would pay on a $1,000 hypothetical investment in common shares, assuming (1) a 3.00% sales load (underwriting discounts and commissions) and offering expenses totaling 0.51%, (2) total net annual expenses of 9.59% of average net assets attributable to common shares as set forth in the table above (other than performance-based incentive fees) and (3) a 5% annual return.</w:t>
      </w:r>
    </w:p>
    <w:p>
      <w:pPr>
        <w:spacing w:after="0" w:line="200" w:lineRule="exact"/>
        <w:rPr>
          <w:sz w:val="20"/>
          <w:szCs w:val="20"/>
          <w:color w:val="auto"/>
        </w:rPr>
      </w:pPr>
    </w:p>
    <w:tbl>
      <w:tblPr>
        <w:tblLayout w:type="fixed"/>
        <w:tblInd w:w="560" w:type="dxa"/>
        <w:tblCellMar>
          <w:top w:w="0" w:type="dxa"/>
          <w:left w:w="0" w:type="dxa"/>
          <w:bottom w:w="0" w:type="dxa"/>
          <w:right w:w="0" w:type="dxa"/>
        </w:tblCellMar>
      </w:tblPr>
      <w:tr>
        <w:trPr>
          <w:trHeight w:val="193"/>
        </w:trPr>
        <w:tc>
          <w:tcPr>
            <w:tcW w:w="4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You would pay the following expenses on a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1,000 common stock investment</w:t>
            </w:r>
          </w:p>
        </w:tc>
        <w:tc>
          <w:tcPr>
            <w:tcW w:w="1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40" w:type="dxa"/>
            <w:vAlign w:val="bottom"/>
          </w:tcPr>
          <w:p>
            <w:pPr>
              <w:spacing w:after="0"/>
              <w:rPr>
                <w:sz w:val="16"/>
                <w:szCs w:val="16"/>
                <w:color w:val="auto"/>
              </w:rPr>
            </w:pPr>
          </w:p>
        </w:tc>
        <w:tc>
          <w:tcPr>
            <w:tcW w:w="6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2"/>
              </w:rPr>
              <w:t>3 Years</w:t>
            </w:r>
          </w:p>
        </w:tc>
        <w:tc>
          <w:tcPr>
            <w:tcW w:w="200" w:type="dxa"/>
            <w:vAlign w:val="bottom"/>
          </w:tcPr>
          <w:p>
            <w:pPr>
              <w:spacing w:after="0"/>
              <w:rPr>
                <w:sz w:val="16"/>
                <w:szCs w:val="16"/>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10 Years</w:t>
            </w:r>
          </w:p>
        </w:tc>
      </w:tr>
      <w:tr>
        <w:trPr>
          <w:trHeight w:val="171"/>
        </w:trPr>
        <w:tc>
          <w:tcPr>
            <w:tcW w:w="658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Assuming a 5% annual return (assumes no return from net realized capital gains or net</w:t>
            </w:r>
          </w:p>
        </w:tc>
        <w:tc>
          <w:tcPr>
            <w:tcW w:w="3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r>
      <w:tr>
        <w:trPr>
          <w:trHeight w:val="234"/>
        </w:trPr>
        <w:tc>
          <w:tcPr>
            <w:tcW w:w="6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capital appreciation)</w:t>
            </w:r>
          </w:p>
        </w:tc>
        <w:tc>
          <w:tcPr>
            <w:tcW w:w="9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$ 126</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448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774</w:t>
            </w:r>
          </w:p>
        </w:tc>
      </w:tr>
      <w:tr>
        <w:trPr>
          <w:trHeight w:val="198"/>
        </w:trPr>
        <w:tc>
          <w:tcPr>
            <w:tcW w:w="65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Assuming a 5% annual return (assumes return from only realized capital gains and thus</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subject to the capital gains incentive fee)</w:t>
            </w:r>
          </w:p>
        </w:tc>
        <w:tc>
          <w:tcPr>
            <w:tcW w:w="9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$ 133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475</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808</w:t>
            </w:r>
          </w:p>
        </w:tc>
      </w:tr>
    </w:tbl>
    <w:p>
      <w:pPr>
        <w:spacing w:after="0" w:line="198"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equal to or less than 5% from net investment income, the incentive fee under our Investment Management Agreement would not be earned or payable. If returns on our investments, including realized capital gains, result in an incentive fee, our expenses, and returns to investors, would be higher. The example assumes that all distributions are reinvested at NAV. Reinvestment of distributions under our dividend reinvestment plan may occur at a price per share that differs from NAV. See “Distributions” for more information.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2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financial data set forth in the following table as of and for the years ended September 30, 2021, 2020, 2019, 2018, 2017, 2016, 2015, 2014, 2013 and 2012 are derived from our consolidated financial statements, which have been audited by an independent registered public accounting firm for those periods. The financial data set forth in the following table as of and for the three months ended December 31, 2021 is derived from our unaudited consolidated financial statements, but in the opinion of management, reflects all adjustments (consisting only of normal recurring adjustments) that are necessary to present fairly the results of such interim period. Interim results as of and for the three months ended December 31, 2021 are not necessarily indicative of the results that may be expected for the year ending September 30, 2022. This financial data should be read in conjunction with our Consolidated Financial Statements and related notes thereto and “Management’s Discussion and Analysis of Financial Condition and Results of Operations” included in our most recent Annual Report on Form 10-K and subsequent Quarterly Reports on Form 10-Q.</w:t>
      </w:r>
    </w:p>
    <w:p>
      <w:pPr>
        <w:spacing w:after="0" w:line="216"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1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For the</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89"/>
              </w:rPr>
              <w:t>three</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7"/>
              </w:rPr>
              <w:t>months</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2"/>
              </w:rPr>
              <w:t>ended</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20" w:type="dxa"/>
            <w:vAlign w:val="bottom"/>
          </w:tcPr>
          <w:p>
            <w:pPr>
              <w:spacing w:after="0"/>
              <w:rPr>
                <w:sz w:val="10"/>
                <w:szCs w:val="10"/>
                <w:color w:val="auto"/>
              </w:rPr>
            </w:pPr>
          </w:p>
        </w:tc>
        <w:tc>
          <w:tcPr>
            <w:tcW w:w="82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9"/>
              </w:rPr>
              <w:t>2021</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920" w:type="dxa"/>
            <w:vAlign w:val="bottom"/>
          </w:tcPr>
          <w:p>
            <w:pPr>
              <w:spacing w:after="0"/>
              <w:rPr>
                <w:sz w:val="11"/>
                <w:szCs w:val="11"/>
                <w:color w:val="auto"/>
              </w:rPr>
            </w:pPr>
          </w:p>
        </w:tc>
        <w:tc>
          <w:tcPr>
            <w:tcW w:w="82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(unaudited)</w:t>
            </w:r>
          </w:p>
        </w:tc>
        <w:tc>
          <w:tcPr>
            <w:tcW w:w="60" w:type="dxa"/>
            <w:vAlign w:val="bottom"/>
          </w:tcPr>
          <w:p>
            <w:pPr>
              <w:spacing w:after="0"/>
              <w:rPr>
                <w:sz w:val="11"/>
                <w:szCs w:val="11"/>
                <w:color w:val="auto"/>
              </w:rPr>
            </w:pPr>
          </w:p>
        </w:tc>
        <w:tc>
          <w:tcPr>
            <w:tcW w:w="54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2021</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2020</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2019</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2018</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2017</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2016</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2015</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2014</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2013</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2012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920" w:type="dxa"/>
            <w:vAlign w:val="bottom"/>
            <w:tcBorders>
              <w:top w:val="single" w:sz="8" w:color="CCEEFF"/>
            </w:tcBorders>
            <w:shd w:val="clear" w:color="auto" w:fill="CCEEFF"/>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Per Share Data:</w:t>
            </w:r>
          </w:p>
        </w:tc>
        <w:tc>
          <w:tcPr>
            <w:tcW w:w="6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9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Net asset value, beginning of period</w:t>
            </w:r>
          </w:p>
        </w:tc>
        <w:tc>
          <w:tcPr>
            <w:tcW w:w="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9.85</w:t>
            </w:r>
          </w:p>
        </w:tc>
        <w:tc>
          <w:tcPr>
            <w:tcW w:w="200" w:type="dxa"/>
            <w:vAlign w:val="bottom"/>
          </w:tcPr>
          <w:p>
            <w:pPr>
              <w:spacing w:after="0"/>
              <w:rPr>
                <w:sz w:val="10"/>
                <w:szCs w:val="10"/>
                <w:color w:val="auto"/>
              </w:rPr>
            </w:pPr>
          </w:p>
        </w:tc>
        <w:tc>
          <w:tcPr>
            <w:tcW w:w="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80"/>
              <w:spacing w:after="0" w:line="122" w:lineRule="exact"/>
              <w:rPr>
                <w:sz w:val="20"/>
                <w:szCs w:val="20"/>
                <w:color w:val="auto"/>
              </w:rPr>
            </w:pPr>
            <w:r>
              <w:rPr>
                <w:rFonts w:ascii="Times New Roman" w:cs="Times New Roman" w:eastAsia="Times New Roman" w:hAnsi="Times New Roman"/>
                <w:sz w:val="11"/>
                <w:szCs w:val="11"/>
                <w:color w:val="auto"/>
              </w:rPr>
              <w:t>7.84</w:t>
            </w:r>
          </w:p>
        </w:tc>
        <w:tc>
          <w:tcPr>
            <w:tcW w:w="4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gridSpan w:val="2"/>
          </w:tcPr>
          <w:p>
            <w:pPr>
              <w:jc w:val="right"/>
              <w:ind w:right="280"/>
              <w:spacing w:after="0" w:line="122" w:lineRule="exact"/>
              <w:rPr>
                <w:sz w:val="20"/>
                <w:szCs w:val="20"/>
                <w:color w:val="auto"/>
              </w:rPr>
            </w:pPr>
            <w:r>
              <w:rPr>
                <w:rFonts w:ascii="Times New Roman" w:cs="Times New Roman" w:eastAsia="Times New Roman" w:hAnsi="Times New Roman"/>
                <w:sz w:val="11"/>
                <w:szCs w:val="11"/>
                <w:color w:val="auto"/>
              </w:rPr>
              <w:t>8.68</w:t>
            </w:r>
          </w:p>
        </w:tc>
        <w:tc>
          <w:tcPr>
            <w:tcW w:w="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9.11</w:t>
            </w:r>
          </w:p>
        </w:tc>
        <w:tc>
          <w:tcPr>
            <w:tcW w:w="1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9.10</w:t>
            </w:r>
          </w:p>
        </w:tc>
        <w:tc>
          <w:tcPr>
            <w:tcW w:w="160" w:type="dxa"/>
            <w:vAlign w:val="bottom"/>
          </w:tcPr>
          <w:p>
            <w:pPr>
              <w:spacing w:after="0"/>
              <w:rPr>
                <w:sz w:val="10"/>
                <w:szCs w:val="10"/>
                <w:color w:val="auto"/>
              </w:rPr>
            </w:pPr>
          </w:p>
        </w:tc>
        <w:tc>
          <w:tcPr>
            <w:tcW w:w="1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9.05</w:t>
            </w:r>
          </w:p>
        </w:tc>
        <w:tc>
          <w:tcPr>
            <w:tcW w:w="160" w:type="dxa"/>
            <w:vAlign w:val="bottom"/>
          </w:tcPr>
          <w:p>
            <w:pPr>
              <w:spacing w:after="0"/>
              <w:rPr>
                <w:sz w:val="10"/>
                <w:szCs w:val="10"/>
                <w:color w:val="auto"/>
              </w:rPr>
            </w:pPr>
          </w:p>
        </w:tc>
        <w:tc>
          <w:tcPr>
            <w:tcW w:w="1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9.82</w:t>
            </w:r>
          </w:p>
        </w:tc>
        <w:tc>
          <w:tcPr>
            <w:tcW w:w="240" w:type="dxa"/>
            <w:vAlign w:val="bottom"/>
          </w:tcPr>
          <w:p>
            <w:pPr>
              <w:spacing w:after="0"/>
              <w:rPr>
                <w:sz w:val="10"/>
                <w:szCs w:val="10"/>
                <w:color w:val="auto"/>
              </w:rPr>
            </w:pPr>
          </w:p>
        </w:tc>
        <w:tc>
          <w:tcPr>
            <w:tcW w:w="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11.03</w:t>
            </w:r>
          </w:p>
        </w:tc>
        <w:tc>
          <w:tcPr>
            <w:tcW w:w="1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10.49</w:t>
            </w:r>
          </w:p>
        </w:tc>
        <w:tc>
          <w:tcPr>
            <w:tcW w:w="240" w:type="dxa"/>
            <w:vAlign w:val="bottom"/>
          </w:tcPr>
          <w:p>
            <w:pPr>
              <w:spacing w:after="0"/>
              <w:rPr>
                <w:sz w:val="10"/>
                <w:szCs w:val="1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10.22</w:t>
            </w:r>
          </w:p>
        </w:tc>
        <w:tc>
          <w:tcPr>
            <w:tcW w:w="1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10.13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Net investment income </w:t>
            </w:r>
            <w:r>
              <w:rPr>
                <w:rFonts w:ascii="Times New Roman" w:cs="Times New Roman" w:eastAsia="Times New Roman" w:hAnsi="Times New Roman"/>
                <w:sz w:val="9"/>
                <w:szCs w:val="9"/>
                <w:color w:val="auto"/>
              </w:rPr>
              <w:t>(1)</w:t>
            </w: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0.19</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280"/>
              <w:spacing w:after="0" w:line="122" w:lineRule="exact"/>
              <w:rPr>
                <w:sz w:val="20"/>
                <w:szCs w:val="20"/>
                <w:color w:val="auto"/>
              </w:rPr>
            </w:pPr>
            <w:r>
              <w:rPr>
                <w:rFonts w:ascii="Times New Roman" w:cs="Times New Roman" w:eastAsia="Times New Roman" w:hAnsi="Times New Roman"/>
                <w:sz w:val="11"/>
                <w:szCs w:val="11"/>
                <w:color w:val="auto"/>
              </w:rPr>
              <w:t>0.54</w:t>
            </w:r>
          </w:p>
        </w:tc>
        <w:tc>
          <w:tcPr>
            <w:tcW w:w="4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280"/>
              <w:spacing w:after="0" w:line="122" w:lineRule="exact"/>
              <w:rPr>
                <w:sz w:val="20"/>
                <w:szCs w:val="20"/>
                <w:color w:val="auto"/>
              </w:rPr>
            </w:pPr>
            <w:r>
              <w:rPr>
                <w:rFonts w:ascii="Times New Roman" w:cs="Times New Roman" w:eastAsia="Times New Roman" w:hAnsi="Times New Roman"/>
                <w:sz w:val="11"/>
                <w:szCs w:val="11"/>
                <w:color w:val="auto"/>
              </w:rPr>
              <w:t>0.58</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0.66</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0.75</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0.79</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0.99</w:t>
            </w: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1.10</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1.06</w:t>
            </w: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1.01</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1.08</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9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Net realized and unrealized (loss) gain </w:t>
            </w:r>
            <w:r>
              <w:rPr>
                <w:rFonts w:ascii="Times New Roman" w:cs="Times New Roman" w:eastAsia="Times New Roman" w:hAnsi="Times New Roman"/>
                <w:sz w:val="9"/>
                <w:szCs w:val="9"/>
                <w:color w:val="auto"/>
              </w:rPr>
              <w:t>(1)</w:t>
            </w:r>
          </w:p>
        </w:tc>
        <w:tc>
          <w:tcPr>
            <w:tcW w:w="60" w:type="dxa"/>
            <w:vAlign w:val="bottom"/>
          </w:tcPr>
          <w:p>
            <w:pPr>
              <w:spacing w:after="0"/>
              <w:rPr>
                <w:sz w:val="11"/>
                <w:szCs w:val="11"/>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0.19</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280"/>
              <w:spacing w:after="0" w:line="122" w:lineRule="exact"/>
              <w:rPr>
                <w:sz w:val="20"/>
                <w:szCs w:val="20"/>
                <w:color w:val="auto"/>
              </w:rPr>
            </w:pPr>
            <w:r>
              <w:rPr>
                <w:rFonts w:ascii="Times New Roman" w:cs="Times New Roman" w:eastAsia="Times New Roman" w:hAnsi="Times New Roman"/>
                <w:sz w:val="11"/>
                <w:szCs w:val="11"/>
                <w:color w:val="auto"/>
              </w:rPr>
              <w:t>1.94</w:t>
            </w:r>
          </w:p>
        </w:tc>
        <w:tc>
          <w:tcPr>
            <w:tcW w:w="40" w:type="dxa"/>
            <w:vAlign w:val="bottom"/>
          </w:tcPr>
          <w:p>
            <w:pPr>
              <w:spacing w:after="0"/>
              <w:rPr>
                <w:sz w:val="11"/>
                <w:szCs w:val="11"/>
                <w:color w:val="auto"/>
              </w:rPr>
            </w:pPr>
          </w:p>
        </w:tc>
        <w:tc>
          <w:tcPr>
            <w:tcW w:w="82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(0.82)</w:t>
            </w:r>
          </w:p>
        </w:tc>
        <w:tc>
          <w:tcPr>
            <w:tcW w:w="60" w:type="dxa"/>
            <w:vAlign w:val="bottom"/>
          </w:tcPr>
          <w:p>
            <w:pPr>
              <w:spacing w:after="0"/>
              <w:rPr>
                <w:sz w:val="11"/>
                <w:szCs w:val="11"/>
                <w:color w:val="auto"/>
              </w:rPr>
            </w:pPr>
          </w:p>
        </w:tc>
        <w:tc>
          <w:tcPr>
            <w:tcW w:w="76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(0.42)</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(0.07)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0.08</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(0.73)</w:t>
            </w:r>
          </w:p>
        </w:tc>
        <w:tc>
          <w:tcPr>
            <w:tcW w:w="60" w:type="dxa"/>
            <w:vAlign w:val="bottom"/>
          </w:tcPr>
          <w:p>
            <w:pPr>
              <w:spacing w:after="0"/>
              <w:rPr>
                <w:sz w:val="11"/>
                <w:szCs w:val="11"/>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(1.24)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0.60</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0.38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0.12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2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Net (decrease) increase in net assets</w:t>
            </w:r>
          </w:p>
        </w:tc>
        <w:tc>
          <w:tcPr>
            <w:tcW w:w="6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resulting from operations </w:t>
            </w:r>
            <w:r>
              <w:rPr>
                <w:rFonts w:ascii="Times New Roman" w:cs="Times New Roman" w:eastAsia="Times New Roman" w:hAnsi="Times New Roman"/>
                <w:sz w:val="9"/>
                <w:szCs w:val="9"/>
                <w:color w:val="auto"/>
              </w:rPr>
              <w:t>(1)</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0.38</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1"/>
                <w:szCs w:val="11"/>
                <w:color w:val="auto"/>
              </w:rPr>
              <w:t>2.49</w:t>
            </w:r>
          </w:p>
        </w:tc>
        <w:tc>
          <w:tcPr>
            <w:tcW w:w="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(0.24)</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0.24</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0.68</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0.87</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0.26</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(0.14)</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w:t>
            </w: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1.39</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Distribution of net investment income</w:t>
            </w:r>
          </w:p>
        </w:tc>
        <w:tc>
          <w:tcPr>
            <w:tcW w:w="60" w:type="dxa"/>
            <w:vAlign w:val="bottom"/>
          </w:tcPr>
          <w:p>
            <w:pPr>
              <w:spacing w:after="0"/>
              <w:rPr>
                <w:sz w:val="10"/>
                <w:szCs w:val="10"/>
                <w:color w:val="auto"/>
              </w:rPr>
            </w:pPr>
          </w:p>
        </w:tc>
        <w:tc>
          <w:tcPr>
            <w:tcW w:w="7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(0.12)</w:t>
            </w:r>
          </w:p>
        </w:tc>
        <w:tc>
          <w:tcPr>
            <w:tcW w:w="6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(0.48)</w:t>
            </w:r>
          </w:p>
        </w:tc>
        <w:tc>
          <w:tcPr>
            <w:tcW w:w="4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(0.60)</w:t>
            </w:r>
          </w:p>
        </w:tc>
        <w:tc>
          <w:tcPr>
            <w:tcW w:w="60" w:type="dxa"/>
            <w:vAlign w:val="bottom"/>
          </w:tcPr>
          <w:p>
            <w:pPr>
              <w:spacing w:after="0"/>
              <w:rPr>
                <w:sz w:val="10"/>
                <w:szCs w:val="10"/>
                <w:color w:val="auto"/>
              </w:rPr>
            </w:pPr>
          </w:p>
        </w:tc>
        <w:tc>
          <w:tcPr>
            <w:tcW w:w="76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(0.72)</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(0.72)</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(0.82)</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(0.81)</w:t>
            </w:r>
          </w:p>
        </w:tc>
        <w:tc>
          <w:tcPr>
            <w:tcW w:w="6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(1.11)</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(1.15)</w:t>
            </w:r>
          </w:p>
        </w:tc>
        <w:tc>
          <w:tcPr>
            <w:tcW w:w="40" w:type="dxa"/>
            <w:vAlign w:val="bottom"/>
          </w:tcPr>
          <w:p>
            <w:pPr>
              <w:spacing w:after="0"/>
              <w:rPr>
                <w:sz w:val="10"/>
                <w:szCs w:val="10"/>
                <w:color w:val="auto"/>
              </w:rPr>
            </w:pPr>
          </w:p>
        </w:tc>
        <w:tc>
          <w:tcPr>
            <w:tcW w:w="7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(1.12)</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(1.13)</w:t>
            </w:r>
          </w:p>
        </w:tc>
        <w:tc>
          <w:tcPr>
            <w:tcW w:w="0" w:type="dxa"/>
            <w:vAlign w:val="bottom"/>
          </w:tcPr>
          <w:p>
            <w:pPr>
              <w:spacing w:after="0"/>
              <w:rPr>
                <w:sz w:val="1"/>
                <w:szCs w:val="1"/>
                <w:color w:val="auto"/>
              </w:rPr>
            </w:pPr>
          </w:p>
        </w:tc>
      </w:tr>
      <w:tr>
        <w:trPr>
          <w:trHeight w:val="121"/>
        </w:trPr>
        <w:tc>
          <w:tcPr>
            <w:tcW w:w="19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Distribution of realized gains</w:t>
            </w: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(0.30)</w:t>
            </w: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3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19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 xml:space="preserve">Total distributions to stockholders </w:t>
            </w:r>
            <w:r>
              <w:rPr>
                <w:rFonts w:ascii="Times New Roman" w:cs="Times New Roman" w:eastAsia="Times New Roman" w:hAnsi="Times New Roman"/>
                <w:sz w:val="9"/>
                <w:szCs w:val="9"/>
                <w:color w:val="auto"/>
              </w:rPr>
              <w:t>(1),(2)</w:t>
            </w: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9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(0.12)</w:t>
            </w:r>
          </w:p>
        </w:tc>
        <w:tc>
          <w:tcPr>
            <w:tcW w:w="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(0.48)</w:t>
            </w:r>
          </w:p>
        </w:tc>
        <w:tc>
          <w:tcPr>
            <w:tcW w:w="40" w:type="dxa"/>
            <w:vAlign w:val="bottom"/>
          </w:tcPr>
          <w:p>
            <w:pPr>
              <w:spacing w:after="0"/>
              <w:rPr>
                <w:sz w:val="11"/>
                <w:szCs w:val="1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(0.60)</w:t>
            </w:r>
          </w:p>
        </w:tc>
        <w:tc>
          <w:tcPr>
            <w:tcW w:w="6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(0.72)</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(0.72)</w:t>
            </w:r>
          </w:p>
        </w:tc>
        <w:tc>
          <w:tcPr>
            <w:tcW w:w="1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(0.82)</w:t>
            </w:r>
          </w:p>
        </w:tc>
        <w:tc>
          <w:tcPr>
            <w:tcW w:w="1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(1.11)</w:t>
            </w:r>
          </w:p>
        </w:tc>
        <w:tc>
          <w:tcPr>
            <w:tcW w:w="60" w:type="dxa"/>
            <w:vAlign w:val="bottom"/>
          </w:tcPr>
          <w:p>
            <w:pPr>
              <w:spacing w:after="0"/>
              <w:rPr>
                <w:sz w:val="11"/>
                <w:szCs w:val="1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(1.11)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w:t>
            </w:r>
          </w:p>
        </w:tc>
        <w:tc>
          <w:tcPr>
            <w:tcW w:w="2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(1.12)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9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Repurchase of common stock </w:t>
            </w:r>
            <w:r>
              <w:rPr>
                <w:rFonts w:ascii="Times New Roman" w:cs="Times New Roman" w:eastAsia="Times New Roman" w:hAnsi="Times New Roman"/>
                <w:sz w:val="9"/>
                <w:szCs w:val="9"/>
                <w:color w:val="auto"/>
              </w:rPr>
              <w:t>(1)</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3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3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0.05</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0.05</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0.80</w:t>
            </w: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0.04</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3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192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Accretive (dilutive) effect of common</w:t>
            </w: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9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stock issuance</w:t>
            </w:r>
            <w:r>
              <w:rPr>
                <w:rFonts w:ascii="Times New Roman" w:cs="Times New Roman" w:eastAsia="Times New Roman" w:hAnsi="Times New Roman"/>
                <w:sz w:val="9"/>
                <w:szCs w:val="9"/>
                <w:color w:val="auto"/>
              </w:rPr>
              <w:t>(1)</w:t>
            </w: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0.03</w:t>
            </w:r>
          </w:p>
        </w:tc>
        <w:tc>
          <w:tcPr>
            <w:tcW w:w="2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0.02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9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Net asset value, end of period</w:t>
            </w:r>
          </w:p>
        </w:tc>
        <w:tc>
          <w:tcPr>
            <w:tcW w:w="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10.11</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280"/>
              <w:spacing w:after="0" w:line="122" w:lineRule="exact"/>
              <w:rPr>
                <w:sz w:val="20"/>
                <w:szCs w:val="20"/>
                <w:color w:val="auto"/>
              </w:rPr>
            </w:pPr>
            <w:r>
              <w:rPr>
                <w:rFonts w:ascii="Times New Roman" w:cs="Times New Roman" w:eastAsia="Times New Roman" w:hAnsi="Times New Roman"/>
                <w:sz w:val="11"/>
                <w:szCs w:val="11"/>
                <w:color w:val="auto"/>
              </w:rPr>
              <w:t>9.85</w:t>
            </w: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gridSpan w:val="2"/>
            <w:shd w:val="clear" w:color="auto" w:fill="CCEEFF"/>
          </w:tcPr>
          <w:p>
            <w:pPr>
              <w:jc w:val="right"/>
              <w:ind w:right="280"/>
              <w:spacing w:after="0" w:line="122" w:lineRule="exact"/>
              <w:rPr>
                <w:sz w:val="20"/>
                <w:szCs w:val="20"/>
                <w:color w:val="auto"/>
              </w:rPr>
            </w:pPr>
            <w:r>
              <w:rPr>
                <w:rFonts w:ascii="Times New Roman" w:cs="Times New Roman" w:eastAsia="Times New Roman" w:hAnsi="Times New Roman"/>
                <w:sz w:val="11"/>
                <w:szCs w:val="11"/>
                <w:color w:val="auto"/>
              </w:rPr>
              <w:t>7.84</w:t>
            </w:r>
          </w:p>
        </w:tc>
        <w:tc>
          <w:tcPr>
            <w:tcW w:w="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8.68</w:t>
            </w:r>
          </w:p>
        </w:tc>
        <w:tc>
          <w:tcPr>
            <w:tcW w:w="1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9.11</w:t>
            </w:r>
          </w:p>
        </w:tc>
        <w:tc>
          <w:tcPr>
            <w:tcW w:w="160" w:type="dxa"/>
            <w:vAlign w:val="bottom"/>
            <w:shd w:val="clear" w:color="auto" w:fill="CCEEFF"/>
          </w:tcPr>
          <w:p>
            <w:pPr>
              <w:spacing w:after="0"/>
              <w:rPr>
                <w:sz w:val="10"/>
                <w:szCs w:val="10"/>
                <w:color w:val="auto"/>
              </w:rPr>
            </w:pPr>
          </w:p>
        </w:tc>
        <w:tc>
          <w:tcPr>
            <w:tcW w:w="1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9.10</w:t>
            </w:r>
          </w:p>
        </w:tc>
        <w:tc>
          <w:tcPr>
            <w:tcW w:w="160" w:type="dxa"/>
            <w:vAlign w:val="bottom"/>
            <w:shd w:val="clear" w:color="auto" w:fill="CCEEFF"/>
          </w:tcPr>
          <w:p>
            <w:pPr>
              <w:spacing w:after="0"/>
              <w:rPr>
                <w:sz w:val="10"/>
                <w:szCs w:val="10"/>
                <w:color w:val="auto"/>
              </w:rPr>
            </w:pPr>
          </w:p>
        </w:tc>
        <w:tc>
          <w:tcPr>
            <w:tcW w:w="1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9.05</w:t>
            </w: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9.82</w:t>
            </w:r>
          </w:p>
        </w:tc>
        <w:tc>
          <w:tcPr>
            <w:tcW w:w="1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11.03</w:t>
            </w: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10.49</w:t>
            </w:r>
          </w:p>
        </w:tc>
        <w:tc>
          <w:tcPr>
            <w:tcW w:w="1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10.22</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9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Per share market value, end of period</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920" w:type="dxa"/>
            <w:vAlign w:val="bottom"/>
            <w:vMerge w:val="continue"/>
          </w:tcPr>
          <w:p>
            <w:pPr>
              <w:spacing w:after="0"/>
              <w:rPr>
                <w:sz w:val="10"/>
                <w:szCs w:val="10"/>
                <w:color w:val="auto"/>
              </w:rPr>
            </w:pPr>
          </w:p>
        </w:tc>
        <w:tc>
          <w:tcPr>
            <w:tcW w:w="60" w:type="dxa"/>
            <w:vAlign w:val="bottom"/>
            <w:tcBorders>
              <w:bottom w:val="single" w:sz="8" w:color="auto"/>
            </w:tcBorders>
          </w:tcPr>
          <w:p>
            <w:pPr>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rPr>
              <w:t>6.93</w:t>
            </w:r>
          </w:p>
        </w:tc>
        <w:tc>
          <w:tcPr>
            <w:tcW w:w="200" w:type="dxa"/>
            <w:vAlign w:val="bottom"/>
          </w:tcPr>
          <w:p>
            <w:pPr>
              <w:spacing w:after="0"/>
              <w:rPr>
                <w:sz w:val="10"/>
                <w:szCs w:val="10"/>
                <w:color w:val="auto"/>
              </w:rPr>
            </w:pPr>
          </w:p>
        </w:tc>
        <w:tc>
          <w:tcPr>
            <w:tcW w:w="6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rPr>
              <w:t>6.49</w:t>
            </w:r>
          </w:p>
        </w:tc>
        <w:tc>
          <w:tcPr>
            <w:tcW w:w="280" w:type="dxa"/>
            <w:vAlign w:val="bottom"/>
          </w:tcPr>
          <w:p>
            <w:pPr>
              <w:spacing w:after="0"/>
              <w:rPr>
                <w:sz w:val="10"/>
                <w:szCs w:val="10"/>
                <w:color w:val="auto"/>
              </w:rPr>
            </w:pPr>
          </w:p>
        </w:tc>
        <w:tc>
          <w:tcPr>
            <w:tcW w:w="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rPr>
              <w:t>3.19</w:t>
            </w:r>
          </w:p>
        </w:tc>
        <w:tc>
          <w:tcPr>
            <w:tcW w:w="280" w:type="dxa"/>
            <w:vAlign w:val="bottom"/>
          </w:tcPr>
          <w:p>
            <w:pPr>
              <w:spacing w:after="0"/>
              <w:rPr>
                <w:sz w:val="10"/>
                <w:szCs w:val="10"/>
                <w:color w:val="auto"/>
              </w:rPr>
            </w:pPr>
          </w:p>
        </w:tc>
        <w:tc>
          <w:tcPr>
            <w:tcW w:w="6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rPr>
              <w:t>6.27</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rPr>
              <w:t>7.46</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rPr>
              <w:t>7.51</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rPr>
              <w:t>7.52</w:t>
            </w:r>
          </w:p>
        </w:tc>
        <w:tc>
          <w:tcPr>
            <w:tcW w:w="240" w:type="dxa"/>
            <w:vAlign w:val="bottom"/>
          </w:tcPr>
          <w:p>
            <w:pPr>
              <w:spacing w:after="0"/>
              <w:rPr>
                <w:sz w:val="10"/>
                <w:szCs w:val="10"/>
                <w:color w:val="auto"/>
              </w:rPr>
            </w:pPr>
          </w:p>
        </w:tc>
        <w:tc>
          <w:tcPr>
            <w:tcW w:w="6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rPr>
              <w:t>6.47</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rPr>
              <w:t>10.91</w:t>
            </w:r>
          </w:p>
        </w:tc>
        <w:tc>
          <w:tcPr>
            <w:tcW w:w="240" w:type="dxa"/>
            <w:vAlign w:val="bottom"/>
          </w:tcPr>
          <w:p>
            <w:pPr>
              <w:spacing w:after="0"/>
              <w:rPr>
                <w:sz w:val="10"/>
                <w:szCs w:val="10"/>
                <w:color w:val="auto"/>
              </w:rPr>
            </w:pPr>
          </w:p>
        </w:tc>
        <w:tc>
          <w:tcPr>
            <w:tcW w:w="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rPr>
              <w:t>11.28</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rPr>
              <w:t>10.61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9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Total return</w:t>
            </w:r>
            <w:r>
              <w:rPr>
                <w:rFonts w:ascii="Times New Roman" w:cs="Times New Roman" w:eastAsia="Times New Roman" w:hAnsi="Times New Roman"/>
                <w:sz w:val="9"/>
                <w:szCs w:val="9"/>
                <w:color w:val="auto"/>
              </w:rPr>
              <w:t>* (3)</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8.57%</w:t>
            </w:r>
          </w:p>
        </w:tc>
        <w:tc>
          <w:tcPr>
            <w:tcW w:w="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80"/>
              <w:spacing w:after="0" w:line="116" w:lineRule="exact"/>
              <w:rPr>
                <w:sz w:val="20"/>
                <w:szCs w:val="20"/>
                <w:color w:val="auto"/>
              </w:rPr>
            </w:pPr>
            <w:r>
              <w:rPr>
                <w:rFonts w:ascii="Times New Roman" w:cs="Times New Roman" w:eastAsia="Times New Roman" w:hAnsi="Times New Roman"/>
                <w:sz w:val="11"/>
                <w:szCs w:val="11"/>
                <w:color w:val="auto"/>
              </w:rPr>
              <w:t>120.98%</w:t>
            </w:r>
          </w:p>
        </w:tc>
        <w:tc>
          <w:tcPr>
            <w:tcW w:w="4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40"/>
              <w:spacing w:after="0" w:line="116" w:lineRule="exact"/>
              <w:rPr>
                <w:sz w:val="20"/>
                <w:szCs w:val="20"/>
                <w:color w:val="auto"/>
              </w:rPr>
            </w:pPr>
            <w:r>
              <w:rPr>
                <w:rFonts w:ascii="Times New Roman" w:cs="Times New Roman" w:eastAsia="Times New Roman" w:hAnsi="Times New Roman"/>
                <w:sz w:val="11"/>
                <w:szCs w:val="11"/>
                <w:color w:val="auto"/>
              </w:rPr>
              <w:t>(39.62)%</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(6.28)%</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9.70%</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10.80%</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40"/>
              <w:spacing w:after="0" w:line="116" w:lineRule="exact"/>
              <w:rPr>
                <w:sz w:val="20"/>
                <w:szCs w:val="20"/>
                <w:color w:val="auto"/>
              </w:rPr>
            </w:pPr>
            <w:r>
              <w:rPr>
                <w:rFonts w:ascii="Times New Roman" w:cs="Times New Roman" w:eastAsia="Times New Roman" w:hAnsi="Times New Roman"/>
                <w:sz w:val="11"/>
                <w:szCs w:val="11"/>
                <w:color w:val="auto"/>
              </w:rPr>
              <w:t>36.64%</w:t>
            </w: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(32.51)%</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40"/>
              <w:spacing w:after="0" w:line="116" w:lineRule="exact"/>
              <w:rPr>
                <w:sz w:val="20"/>
                <w:szCs w:val="20"/>
                <w:color w:val="auto"/>
              </w:rPr>
            </w:pPr>
            <w:r>
              <w:rPr>
                <w:rFonts w:ascii="Times New Roman" w:cs="Times New Roman" w:eastAsia="Times New Roman" w:hAnsi="Times New Roman"/>
                <w:sz w:val="11"/>
                <w:szCs w:val="11"/>
                <w:color w:val="auto"/>
              </w:rPr>
              <w:t>6.76%</w:t>
            </w:r>
          </w:p>
        </w:tc>
        <w:tc>
          <w:tcPr>
            <w:tcW w:w="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17.37%</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40"/>
              <w:spacing w:after="0" w:line="116" w:lineRule="exact"/>
              <w:rPr>
                <w:sz w:val="20"/>
                <w:szCs w:val="20"/>
                <w:color w:val="auto"/>
              </w:rPr>
            </w:pPr>
            <w:r>
              <w:rPr>
                <w:rFonts w:ascii="Times New Roman" w:cs="Times New Roman" w:eastAsia="Times New Roman" w:hAnsi="Times New Roman"/>
                <w:sz w:val="11"/>
                <w:szCs w:val="11"/>
                <w:color w:val="auto"/>
              </w:rPr>
              <w:t>28.71%</w:t>
            </w:r>
          </w:p>
        </w:tc>
        <w:tc>
          <w:tcPr>
            <w:tcW w:w="0" w:type="dxa"/>
            <w:vAlign w:val="bottom"/>
          </w:tcPr>
          <w:p>
            <w:pPr>
              <w:spacing w:after="0"/>
              <w:rPr>
                <w:sz w:val="1"/>
                <w:szCs w:val="1"/>
                <w:color w:val="auto"/>
              </w:rPr>
            </w:pPr>
          </w:p>
        </w:tc>
      </w:tr>
      <w:tr>
        <w:trPr>
          <w:trHeight w:val="122"/>
        </w:trPr>
        <w:tc>
          <w:tcPr>
            <w:tcW w:w="19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Shares outstanding at end of period</w:t>
            </w:r>
          </w:p>
        </w:tc>
        <w:tc>
          <w:tcPr>
            <w:tcW w:w="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67,045,105</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right"/>
              <w:ind w:right="280"/>
              <w:spacing w:after="0" w:line="122" w:lineRule="exact"/>
              <w:rPr>
                <w:sz w:val="20"/>
                <w:szCs w:val="20"/>
                <w:color w:val="auto"/>
              </w:rPr>
            </w:pPr>
            <w:r>
              <w:rPr>
                <w:rFonts w:ascii="Times New Roman" w:cs="Times New Roman" w:eastAsia="Times New Roman" w:hAnsi="Times New Roman"/>
                <w:sz w:val="11"/>
                <w:szCs w:val="11"/>
                <w:color w:val="auto"/>
              </w:rPr>
              <w:t>67,045,105</w:t>
            </w:r>
          </w:p>
        </w:tc>
        <w:tc>
          <w:tcPr>
            <w:tcW w:w="40" w:type="dxa"/>
            <w:vAlign w:val="bottom"/>
          </w:tcPr>
          <w:p>
            <w:pPr>
              <w:spacing w:after="0"/>
              <w:rPr>
                <w:sz w:val="10"/>
                <w:szCs w:val="10"/>
                <w:color w:val="auto"/>
              </w:rPr>
            </w:pPr>
          </w:p>
        </w:tc>
        <w:tc>
          <w:tcPr>
            <w:tcW w:w="820" w:type="dxa"/>
            <w:vAlign w:val="bottom"/>
            <w:gridSpan w:val="2"/>
          </w:tcPr>
          <w:p>
            <w:pPr>
              <w:jc w:val="right"/>
              <w:ind w:right="280"/>
              <w:spacing w:after="0" w:line="122" w:lineRule="exact"/>
              <w:rPr>
                <w:sz w:val="20"/>
                <w:szCs w:val="20"/>
                <w:color w:val="auto"/>
              </w:rPr>
            </w:pPr>
            <w:r>
              <w:rPr>
                <w:rFonts w:ascii="Times New Roman" w:cs="Times New Roman" w:eastAsia="Times New Roman" w:hAnsi="Times New Roman"/>
                <w:sz w:val="11"/>
                <w:szCs w:val="11"/>
                <w:color w:val="auto"/>
              </w:rPr>
              <w:t>67,045,105</w:t>
            </w:r>
          </w:p>
        </w:tc>
        <w:tc>
          <w:tcPr>
            <w:tcW w:w="60" w:type="dxa"/>
            <w:vAlign w:val="bottom"/>
          </w:tcPr>
          <w:p>
            <w:pPr>
              <w:spacing w:after="0"/>
              <w:rPr>
                <w:sz w:val="10"/>
                <w:szCs w:val="10"/>
                <w:color w:val="auto"/>
              </w:rPr>
            </w:pPr>
          </w:p>
        </w:tc>
        <w:tc>
          <w:tcPr>
            <w:tcW w:w="7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67,045,105</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69,053,958</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71,060,836</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71,060,836</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72,966,043</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75,092,911</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66,499,327</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65,514,503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9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Ratios** / Supplemental Data:</w:t>
            </w: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92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Ratio of operating expenses to average net</w:t>
            </w: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assets </w:t>
            </w:r>
            <w:r>
              <w:rPr>
                <w:rFonts w:ascii="Times New Roman" w:cs="Times New Roman" w:eastAsia="Times New Roman" w:hAnsi="Times New Roman"/>
                <w:sz w:val="9"/>
                <w:szCs w:val="9"/>
                <w:color w:val="auto"/>
              </w:rPr>
              <w:t>(4),(6)</w:t>
            </w:r>
          </w:p>
        </w:tc>
        <w:tc>
          <w:tcPr>
            <w:tcW w:w="60" w:type="dxa"/>
            <w:vAlign w:val="bottom"/>
          </w:tcPr>
          <w:p>
            <w:pPr>
              <w:spacing w:after="0"/>
              <w:rPr>
                <w:sz w:val="11"/>
                <w:szCs w:val="11"/>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5.40%</w:t>
            </w:r>
          </w:p>
        </w:tc>
        <w:tc>
          <w:tcPr>
            <w:tcW w:w="60" w:type="dxa"/>
            <w:vAlign w:val="bottom"/>
          </w:tcPr>
          <w:p>
            <w:pPr>
              <w:spacing w:after="0"/>
              <w:rPr>
                <w:sz w:val="11"/>
                <w:szCs w:val="11"/>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3.74%</w:t>
            </w:r>
          </w:p>
        </w:tc>
        <w:tc>
          <w:tcPr>
            <w:tcW w:w="40" w:type="dxa"/>
            <w:vAlign w:val="bottom"/>
          </w:tcPr>
          <w:p>
            <w:pPr>
              <w:spacing w:after="0"/>
              <w:rPr>
                <w:sz w:val="11"/>
                <w:szCs w:val="11"/>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4.91%</w:t>
            </w:r>
          </w:p>
        </w:tc>
        <w:tc>
          <w:tcPr>
            <w:tcW w:w="6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4.83%</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4.99%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5.78%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6.65%</w:t>
            </w:r>
          </w:p>
        </w:tc>
        <w:tc>
          <w:tcPr>
            <w:tcW w:w="60" w:type="dxa"/>
            <w:vAlign w:val="bottom"/>
          </w:tcPr>
          <w:p>
            <w:pPr>
              <w:spacing w:after="0"/>
              <w:rPr>
                <w:sz w:val="11"/>
                <w:szCs w:val="11"/>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6.81%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6.43%</w:t>
            </w:r>
          </w:p>
        </w:tc>
        <w:tc>
          <w:tcPr>
            <w:tcW w:w="4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6.31%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7.11%</w:t>
            </w:r>
          </w:p>
        </w:tc>
        <w:tc>
          <w:tcPr>
            <w:tcW w:w="0" w:type="dxa"/>
            <w:vAlign w:val="bottom"/>
          </w:tcPr>
          <w:p>
            <w:pPr>
              <w:spacing w:after="0"/>
              <w:rPr>
                <w:sz w:val="1"/>
                <w:szCs w:val="1"/>
                <w:color w:val="auto"/>
              </w:rPr>
            </w:pPr>
          </w:p>
        </w:tc>
      </w:tr>
      <w:tr>
        <w:trPr>
          <w:trHeight w:val="108"/>
        </w:trPr>
        <w:tc>
          <w:tcPr>
            <w:tcW w:w="192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Ratio of interest and expenses on debt to</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average net assets </w:t>
            </w:r>
            <w:r>
              <w:rPr>
                <w:rFonts w:ascii="Times New Roman" w:cs="Times New Roman" w:eastAsia="Times New Roman" w:hAnsi="Times New Roman"/>
                <w:sz w:val="9"/>
                <w:szCs w:val="9"/>
                <w:color w:val="auto"/>
              </w:rPr>
              <w:t>(5)</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4.16%</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3.73%</w:t>
            </w:r>
          </w:p>
        </w:tc>
        <w:tc>
          <w:tcPr>
            <w:tcW w:w="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6.22%</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6.29%</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3.54%</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4.69%</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4.18%</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3.39%</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3.83%</w:t>
            </w:r>
          </w:p>
        </w:tc>
        <w:tc>
          <w:tcPr>
            <w:tcW w:w="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2.60%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3.08%</w:t>
            </w:r>
          </w:p>
        </w:tc>
        <w:tc>
          <w:tcPr>
            <w:tcW w:w="0" w:type="dxa"/>
            <w:vAlign w:val="bottom"/>
          </w:tcPr>
          <w:p>
            <w:pPr>
              <w:spacing w:after="0"/>
              <w:rPr>
                <w:sz w:val="1"/>
                <w:szCs w:val="1"/>
                <w:color w:val="auto"/>
              </w:rPr>
            </w:pPr>
          </w:p>
        </w:tc>
      </w:tr>
      <w:tr>
        <w:trPr>
          <w:trHeight w:val="115"/>
        </w:trPr>
        <w:tc>
          <w:tcPr>
            <w:tcW w:w="192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Ratio of total expenses to average net</w:t>
            </w:r>
          </w:p>
        </w:tc>
        <w:tc>
          <w:tcPr>
            <w:tcW w:w="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assets </w:t>
            </w:r>
            <w:r>
              <w:rPr>
                <w:rFonts w:ascii="Times New Roman" w:cs="Times New Roman" w:eastAsia="Times New Roman" w:hAnsi="Times New Roman"/>
                <w:sz w:val="9"/>
                <w:szCs w:val="9"/>
                <w:color w:val="auto"/>
              </w:rPr>
              <w:t>(5),(6),(7)</w:t>
            </w:r>
          </w:p>
        </w:tc>
        <w:tc>
          <w:tcPr>
            <w:tcW w:w="60" w:type="dxa"/>
            <w:vAlign w:val="bottom"/>
          </w:tcPr>
          <w:p>
            <w:pPr>
              <w:spacing w:after="0"/>
              <w:rPr>
                <w:sz w:val="11"/>
                <w:szCs w:val="11"/>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9.56%</w:t>
            </w:r>
          </w:p>
        </w:tc>
        <w:tc>
          <w:tcPr>
            <w:tcW w:w="60" w:type="dxa"/>
            <w:vAlign w:val="bottom"/>
          </w:tcPr>
          <w:p>
            <w:pPr>
              <w:spacing w:after="0"/>
              <w:rPr>
                <w:sz w:val="11"/>
                <w:szCs w:val="11"/>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7.47%</w:t>
            </w:r>
          </w:p>
        </w:tc>
        <w:tc>
          <w:tcPr>
            <w:tcW w:w="40" w:type="dxa"/>
            <w:vAlign w:val="bottom"/>
          </w:tcPr>
          <w:p>
            <w:pPr>
              <w:spacing w:after="0"/>
              <w:rPr>
                <w:sz w:val="11"/>
                <w:szCs w:val="11"/>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11.13%</w:t>
            </w:r>
          </w:p>
        </w:tc>
        <w:tc>
          <w:tcPr>
            <w:tcW w:w="6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11.12%</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8.53%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10.47%</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10.83%</w:t>
            </w:r>
          </w:p>
        </w:tc>
        <w:tc>
          <w:tcPr>
            <w:tcW w:w="60" w:type="dxa"/>
            <w:vAlign w:val="bottom"/>
          </w:tcPr>
          <w:p>
            <w:pPr>
              <w:spacing w:after="0"/>
              <w:rPr>
                <w:sz w:val="11"/>
                <w:szCs w:val="11"/>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10.20%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10.26%</w:t>
            </w:r>
          </w:p>
        </w:tc>
        <w:tc>
          <w:tcPr>
            <w:tcW w:w="4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8.91%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10.19%</w:t>
            </w:r>
          </w:p>
        </w:tc>
        <w:tc>
          <w:tcPr>
            <w:tcW w:w="0" w:type="dxa"/>
            <w:vAlign w:val="bottom"/>
          </w:tcPr>
          <w:p>
            <w:pPr>
              <w:spacing w:after="0"/>
              <w:rPr>
                <w:sz w:val="1"/>
                <w:szCs w:val="1"/>
                <w:color w:val="auto"/>
              </w:rPr>
            </w:pPr>
          </w:p>
        </w:tc>
      </w:tr>
      <w:tr>
        <w:trPr>
          <w:trHeight w:val="108"/>
        </w:trPr>
        <w:tc>
          <w:tcPr>
            <w:tcW w:w="192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Ratio of net investment income to average</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net assets </w:t>
            </w:r>
            <w:r>
              <w:rPr>
                <w:rFonts w:ascii="Times New Roman" w:cs="Times New Roman" w:eastAsia="Times New Roman" w:hAnsi="Times New Roman"/>
                <w:sz w:val="9"/>
                <w:szCs w:val="9"/>
                <w:color w:val="auto"/>
              </w:rPr>
              <w:t>(5)</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7.57%</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6.04%</w:t>
            </w:r>
          </w:p>
        </w:tc>
        <w:tc>
          <w:tcPr>
            <w:tcW w:w="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7.01%</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7.35%</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8.28%</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8.67%</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10.70%</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10.57%</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9.55%</w:t>
            </w:r>
          </w:p>
        </w:tc>
        <w:tc>
          <w:tcPr>
            <w:tcW w:w="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9.60%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10.32%</w:t>
            </w:r>
          </w:p>
        </w:tc>
        <w:tc>
          <w:tcPr>
            <w:tcW w:w="0" w:type="dxa"/>
            <w:vAlign w:val="bottom"/>
          </w:tcPr>
          <w:p>
            <w:pPr>
              <w:spacing w:after="0"/>
              <w:rPr>
                <w:sz w:val="1"/>
                <w:szCs w:val="1"/>
                <w:color w:val="auto"/>
              </w:rPr>
            </w:pPr>
          </w:p>
        </w:tc>
      </w:tr>
      <w:tr>
        <w:trPr>
          <w:trHeight w:val="122"/>
        </w:trPr>
        <w:tc>
          <w:tcPr>
            <w:tcW w:w="19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Net assets at end of period</w:t>
            </w:r>
          </w:p>
        </w:tc>
        <w:tc>
          <w:tcPr>
            <w:tcW w:w="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8"/>
              </w:rPr>
              <w:t>677,609,391</w:t>
            </w:r>
          </w:p>
        </w:tc>
        <w:tc>
          <w:tcPr>
            <w:tcW w:w="200" w:type="dxa"/>
            <w:vAlign w:val="bottom"/>
          </w:tcPr>
          <w:p>
            <w:pPr>
              <w:spacing w:after="0"/>
              <w:rPr>
                <w:sz w:val="10"/>
                <w:szCs w:val="10"/>
                <w:color w:val="auto"/>
              </w:rPr>
            </w:pPr>
          </w:p>
        </w:tc>
        <w:tc>
          <w:tcPr>
            <w:tcW w:w="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u w:val="single" w:color="auto"/>
                <w:color w:val="auto"/>
                <w:w w:val="71"/>
              </w:rPr>
              <w:t>$</w:t>
            </w:r>
          </w:p>
        </w:tc>
        <w:tc>
          <w:tcPr>
            <w:tcW w:w="820" w:type="dxa"/>
            <w:vAlign w:val="bottom"/>
            <w:gridSpan w:val="2"/>
          </w:tcPr>
          <w:p>
            <w:pPr>
              <w:jc w:val="right"/>
              <w:ind w:right="280"/>
              <w:spacing w:after="0" w:line="122" w:lineRule="exact"/>
              <w:rPr>
                <w:sz w:val="20"/>
                <w:szCs w:val="20"/>
                <w:color w:val="auto"/>
              </w:rPr>
            </w:pPr>
            <w:r>
              <w:rPr>
                <w:rFonts w:ascii="Times New Roman" w:cs="Times New Roman" w:eastAsia="Times New Roman" w:hAnsi="Times New Roman"/>
                <w:sz w:val="11"/>
                <w:szCs w:val="11"/>
                <w:color w:val="auto"/>
                <w:w w:val="94"/>
              </w:rPr>
              <w:t>660,144,107</w:t>
            </w:r>
          </w:p>
        </w:tc>
        <w:tc>
          <w:tcPr>
            <w:tcW w:w="40" w:type="dxa"/>
            <w:vAlign w:val="bottom"/>
          </w:tcPr>
          <w:p>
            <w:pPr>
              <w:jc w:val="right"/>
              <w:spacing w:after="0"/>
              <w:rPr>
                <w:sz w:val="20"/>
                <w:szCs w:val="20"/>
                <w:color w:val="auto"/>
              </w:rPr>
            </w:pPr>
            <w:r>
              <w:rPr>
                <w:rFonts w:ascii="Times New Roman" w:cs="Times New Roman" w:eastAsia="Times New Roman" w:hAnsi="Times New Roman"/>
                <w:sz w:val="5"/>
                <w:szCs w:val="5"/>
                <w:u w:val="single" w:color="auto"/>
                <w:color w:val="auto"/>
                <w:w w:val="78"/>
              </w:rPr>
              <w:t>$</w:t>
            </w:r>
          </w:p>
        </w:tc>
        <w:tc>
          <w:tcPr>
            <w:tcW w:w="820" w:type="dxa"/>
            <w:vAlign w:val="bottom"/>
            <w:gridSpan w:val="2"/>
          </w:tcPr>
          <w:p>
            <w:pPr>
              <w:jc w:val="right"/>
              <w:ind w:right="280"/>
              <w:spacing w:after="0" w:line="122" w:lineRule="exact"/>
              <w:rPr>
                <w:sz w:val="20"/>
                <w:szCs w:val="20"/>
                <w:color w:val="auto"/>
              </w:rPr>
            </w:pPr>
            <w:r>
              <w:rPr>
                <w:rFonts w:ascii="Times New Roman" w:cs="Times New Roman" w:eastAsia="Times New Roman" w:hAnsi="Times New Roman"/>
                <w:sz w:val="11"/>
                <w:szCs w:val="11"/>
                <w:color w:val="auto"/>
                <w:w w:val="94"/>
              </w:rPr>
              <w:t>525,708,852</w:t>
            </w:r>
          </w:p>
        </w:tc>
        <w:tc>
          <w:tcPr>
            <w:tcW w:w="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u w:val="single" w:color="auto"/>
                <w:color w:val="auto"/>
                <w:w w:val="71"/>
              </w:rPr>
              <w:t>$</w:t>
            </w:r>
          </w:p>
        </w:tc>
        <w:tc>
          <w:tcPr>
            <w:tcW w:w="7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w w:val="94"/>
              </w:rPr>
              <w:t>581,905,668</w:t>
            </w:r>
          </w:p>
        </w:tc>
        <w:tc>
          <w:tcPr>
            <w:tcW w:w="1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u w:val="single" w:color="auto"/>
                <w:color w:val="auto"/>
              </w:rPr>
              <w:t>$</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4"/>
              </w:rPr>
              <w:t>628,901,895</w:t>
            </w:r>
          </w:p>
        </w:tc>
        <w:tc>
          <w:tcPr>
            <w:tcW w:w="160" w:type="dxa"/>
            <w:vAlign w:val="bottom"/>
          </w:tcPr>
          <w:p>
            <w:pPr>
              <w:spacing w:after="0"/>
              <w:rPr>
                <w:sz w:val="10"/>
                <w:szCs w:val="10"/>
                <w:color w:val="auto"/>
              </w:rPr>
            </w:pPr>
          </w:p>
        </w:tc>
        <w:tc>
          <w:tcPr>
            <w:tcW w:w="1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u w:val="single" w:color="auto"/>
                <w:color w:val="auto"/>
              </w:rPr>
              <w:t>$</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4"/>
              </w:rPr>
              <w:t>646,808,471</w:t>
            </w:r>
          </w:p>
        </w:tc>
        <w:tc>
          <w:tcPr>
            <w:tcW w:w="160" w:type="dxa"/>
            <w:vAlign w:val="bottom"/>
          </w:tcPr>
          <w:p>
            <w:pPr>
              <w:spacing w:after="0"/>
              <w:rPr>
                <w:sz w:val="10"/>
                <w:szCs w:val="10"/>
                <w:color w:val="auto"/>
              </w:rPr>
            </w:pPr>
          </w:p>
        </w:tc>
        <w:tc>
          <w:tcPr>
            <w:tcW w:w="1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u w:val="single" w:color="auto"/>
                <w:color w:val="auto"/>
              </w:rPr>
              <w:t>$</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4"/>
              </w:rPr>
              <w:t>643,366,856</w:t>
            </w:r>
          </w:p>
        </w:tc>
        <w:tc>
          <w:tcPr>
            <w:tcW w:w="240" w:type="dxa"/>
            <w:vAlign w:val="bottom"/>
          </w:tcPr>
          <w:p>
            <w:pPr>
              <w:spacing w:after="0"/>
              <w:rPr>
                <w:sz w:val="10"/>
                <w:szCs w:val="10"/>
                <w:color w:val="auto"/>
              </w:rPr>
            </w:pPr>
          </w:p>
        </w:tc>
        <w:tc>
          <w:tcPr>
            <w:tcW w:w="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u w:val="single" w:color="auto"/>
                <w:color w:val="auto"/>
                <w:w w:val="71"/>
              </w:rPr>
              <w:t>$</w:t>
            </w:r>
          </w:p>
        </w:tc>
        <w:tc>
          <w:tcPr>
            <w:tcW w:w="72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w w:val="94"/>
              </w:rPr>
              <w:t>716,590,542</w:t>
            </w:r>
          </w:p>
        </w:tc>
        <w:tc>
          <w:tcPr>
            <w:tcW w:w="1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u w:val="single" w:color="auto"/>
                <w:color w:val="auto"/>
              </w:rPr>
              <w:t>$</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4"/>
              </w:rPr>
              <w:t>828,009,949</w:t>
            </w:r>
          </w:p>
        </w:tc>
        <w:tc>
          <w:tcPr>
            <w:tcW w:w="240" w:type="dxa"/>
            <w:vAlign w:val="bottom"/>
          </w:tcPr>
          <w:p>
            <w:pPr>
              <w:spacing w:after="0"/>
              <w:rPr>
                <w:sz w:val="10"/>
                <w:szCs w:val="1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5"/>
                <w:szCs w:val="5"/>
                <w:u w:val="single" w:color="auto"/>
                <w:color w:val="auto"/>
                <w:w w:val="78"/>
              </w:rPr>
              <w:t>$</w:t>
            </w:r>
          </w:p>
        </w:tc>
        <w:tc>
          <w:tcPr>
            <w:tcW w:w="72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w w:val="94"/>
              </w:rPr>
              <w:t>697,506,199</w:t>
            </w:r>
          </w:p>
        </w:tc>
        <w:tc>
          <w:tcPr>
            <w:tcW w:w="1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u w:val="single" w:color="auto"/>
                <w:color w:val="auto"/>
              </w:rPr>
              <w:t>$</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4"/>
              </w:rPr>
              <w:t>669,717,047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9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 xml:space="preserve">Weighted average debt outstanding </w:t>
            </w:r>
            <w:r>
              <w:rPr>
                <w:rFonts w:ascii="Times New Roman" w:cs="Times New Roman" w:eastAsia="Times New Roman" w:hAnsi="Times New Roman"/>
                <w:sz w:val="9"/>
                <w:szCs w:val="9"/>
                <w:color w:val="auto"/>
              </w:rPr>
              <w:t>(7)</w:t>
            </w:r>
          </w:p>
        </w:tc>
        <w:tc>
          <w:tcPr>
            <w:tcW w:w="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w w:val="98"/>
              </w:rPr>
              <w:t>697,267,478</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u w:val="single" w:color="auto"/>
                <w:color w:val="auto"/>
                <w:w w:val="71"/>
              </w:rPr>
              <w:t>$</w:t>
            </w:r>
          </w:p>
        </w:tc>
        <w:tc>
          <w:tcPr>
            <w:tcW w:w="820" w:type="dxa"/>
            <w:vAlign w:val="bottom"/>
            <w:gridSpan w:val="2"/>
            <w:shd w:val="clear" w:color="auto" w:fill="CCEEFF"/>
          </w:tcPr>
          <w:p>
            <w:pPr>
              <w:jc w:val="right"/>
              <w:ind w:right="280"/>
              <w:spacing w:after="0" w:line="116" w:lineRule="exact"/>
              <w:rPr>
                <w:sz w:val="20"/>
                <w:szCs w:val="20"/>
                <w:color w:val="auto"/>
              </w:rPr>
            </w:pPr>
            <w:r>
              <w:rPr>
                <w:rFonts w:ascii="Times New Roman" w:cs="Times New Roman" w:eastAsia="Times New Roman" w:hAnsi="Times New Roman"/>
                <w:sz w:val="11"/>
                <w:szCs w:val="11"/>
                <w:color w:val="auto"/>
                <w:w w:val="94"/>
              </w:rPr>
              <w:t>649,665,619</w:t>
            </w: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u w:val="single" w:color="auto"/>
                <w:color w:val="auto"/>
                <w:w w:val="78"/>
              </w:rPr>
              <w:t>$</w:t>
            </w:r>
          </w:p>
        </w:tc>
        <w:tc>
          <w:tcPr>
            <w:tcW w:w="820" w:type="dxa"/>
            <w:vAlign w:val="bottom"/>
            <w:gridSpan w:val="2"/>
            <w:shd w:val="clear" w:color="auto" w:fill="CCEEFF"/>
          </w:tcPr>
          <w:p>
            <w:pPr>
              <w:jc w:val="right"/>
              <w:ind w:right="280"/>
              <w:spacing w:after="0" w:line="116" w:lineRule="exact"/>
              <w:rPr>
                <w:sz w:val="20"/>
                <w:szCs w:val="20"/>
                <w:color w:val="auto"/>
              </w:rPr>
            </w:pPr>
            <w:r>
              <w:rPr>
                <w:rFonts w:ascii="Times New Roman" w:cs="Times New Roman" w:eastAsia="Times New Roman" w:hAnsi="Times New Roman"/>
                <w:sz w:val="11"/>
                <w:szCs w:val="11"/>
                <w:color w:val="auto"/>
                <w:w w:val="94"/>
              </w:rPr>
              <w:t>794,641,334</w:t>
            </w:r>
          </w:p>
        </w:tc>
        <w:tc>
          <w:tcPr>
            <w:tcW w:w="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u w:val="single" w:color="auto"/>
                <w:color w:val="auto"/>
                <w:w w:val="71"/>
              </w:rPr>
              <w:t>$</w:t>
            </w:r>
          </w:p>
        </w:tc>
        <w:tc>
          <w:tcPr>
            <w:tcW w:w="76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w w:val="94"/>
              </w:rPr>
              <w:t>638,424,193</w:t>
            </w:r>
          </w:p>
        </w:tc>
        <w:tc>
          <w:tcPr>
            <w:tcW w:w="10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u w:val="single" w:color="auto"/>
                <w:color w:val="auto"/>
              </w:rPr>
              <w:t>$</w:t>
            </w:r>
          </w:p>
        </w:tc>
        <w:tc>
          <w:tcPr>
            <w:tcW w:w="54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w w:val="94"/>
              </w:rPr>
              <w:t>504,963,762</w:t>
            </w:r>
          </w:p>
        </w:tc>
        <w:tc>
          <w:tcPr>
            <w:tcW w:w="160" w:type="dxa"/>
            <w:vAlign w:val="bottom"/>
            <w:shd w:val="clear" w:color="auto" w:fill="CCEEFF"/>
          </w:tcPr>
          <w:p>
            <w:pPr>
              <w:spacing w:after="0"/>
              <w:rPr>
                <w:sz w:val="10"/>
                <w:szCs w:val="10"/>
                <w:color w:val="auto"/>
              </w:rPr>
            </w:pPr>
          </w:p>
        </w:tc>
        <w:tc>
          <w:tcPr>
            <w:tcW w:w="12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u w:val="single" w:color="auto"/>
                <w:color w:val="auto"/>
              </w:rPr>
              <w:t>$</w:t>
            </w:r>
          </w:p>
        </w:tc>
        <w:tc>
          <w:tcPr>
            <w:tcW w:w="54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w w:val="94"/>
              </w:rPr>
              <w:t>605,661,674</w:t>
            </w:r>
          </w:p>
        </w:tc>
        <w:tc>
          <w:tcPr>
            <w:tcW w:w="160" w:type="dxa"/>
            <w:vAlign w:val="bottom"/>
            <w:shd w:val="clear" w:color="auto" w:fill="CCEEFF"/>
          </w:tcPr>
          <w:p>
            <w:pPr>
              <w:spacing w:after="0"/>
              <w:rPr>
                <w:sz w:val="10"/>
                <w:szCs w:val="10"/>
                <w:color w:val="auto"/>
              </w:rPr>
            </w:pPr>
          </w:p>
        </w:tc>
        <w:tc>
          <w:tcPr>
            <w:tcW w:w="10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u w:val="single" w:color="auto"/>
                <w:color w:val="auto"/>
              </w:rPr>
              <w:t>$</w:t>
            </w:r>
          </w:p>
        </w:tc>
        <w:tc>
          <w:tcPr>
            <w:tcW w:w="54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w w:val="94"/>
              </w:rPr>
              <w:t>634,769,508</w:t>
            </w: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u w:val="single" w:color="auto"/>
                <w:color w:val="auto"/>
                <w:w w:val="71"/>
              </w:rPr>
              <w:t>$</w:t>
            </w:r>
          </w:p>
        </w:tc>
        <w:tc>
          <w:tcPr>
            <w:tcW w:w="720" w:type="dxa"/>
            <w:vAlign w:val="bottom"/>
            <w:gridSpan w:val="2"/>
            <w:shd w:val="clear" w:color="auto" w:fill="CCEEFF"/>
          </w:tcPr>
          <w:p>
            <w:pPr>
              <w:jc w:val="right"/>
              <w:ind w:right="180"/>
              <w:spacing w:after="0" w:line="116" w:lineRule="exact"/>
              <w:rPr>
                <w:sz w:val="20"/>
                <w:szCs w:val="20"/>
                <w:color w:val="auto"/>
              </w:rPr>
            </w:pPr>
            <w:r>
              <w:rPr>
                <w:rFonts w:ascii="Times New Roman" w:cs="Times New Roman" w:eastAsia="Times New Roman" w:hAnsi="Times New Roman"/>
                <w:sz w:val="11"/>
                <w:szCs w:val="11"/>
                <w:color w:val="auto"/>
                <w:w w:val="94"/>
              </w:rPr>
              <w:t>580,367,750</w:t>
            </w:r>
          </w:p>
        </w:tc>
        <w:tc>
          <w:tcPr>
            <w:tcW w:w="12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u w:val="single" w:color="auto"/>
                <w:color w:val="auto"/>
              </w:rPr>
              <w:t>$</w:t>
            </w:r>
          </w:p>
        </w:tc>
        <w:tc>
          <w:tcPr>
            <w:tcW w:w="54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w w:val="94"/>
              </w:rPr>
              <w:t>526,252,068</w:t>
            </w: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u w:val="single" w:color="auto"/>
                <w:color w:val="auto"/>
                <w:w w:val="78"/>
              </w:rPr>
              <w:t>$</w:t>
            </w:r>
          </w:p>
        </w:tc>
        <w:tc>
          <w:tcPr>
            <w:tcW w:w="720" w:type="dxa"/>
            <w:vAlign w:val="bottom"/>
            <w:gridSpan w:val="2"/>
            <w:shd w:val="clear" w:color="auto" w:fill="CCEEFF"/>
          </w:tcPr>
          <w:p>
            <w:pPr>
              <w:jc w:val="right"/>
              <w:ind w:right="180"/>
              <w:spacing w:after="0" w:line="116" w:lineRule="exact"/>
              <w:rPr>
                <w:sz w:val="20"/>
                <w:szCs w:val="20"/>
                <w:color w:val="auto"/>
              </w:rPr>
            </w:pPr>
            <w:r>
              <w:rPr>
                <w:rFonts w:ascii="Times New Roman" w:cs="Times New Roman" w:eastAsia="Times New Roman" w:hAnsi="Times New Roman"/>
                <w:sz w:val="11"/>
                <w:szCs w:val="11"/>
                <w:color w:val="auto"/>
                <w:w w:val="94"/>
              </w:rPr>
              <w:t>363,246,849</w:t>
            </w:r>
          </w:p>
        </w:tc>
        <w:tc>
          <w:tcPr>
            <w:tcW w:w="12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u w:val="single" w:color="auto"/>
                <w:color w:val="auto"/>
              </w:rPr>
              <w:t>$</w:t>
            </w:r>
          </w:p>
        </w:tc>
        <w:tc>
          <w:tcPr>
            <w:tcW w:w="54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w w:val="94"/>
              </w:rPr>
              <w:t>340,868,033</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92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Weighted average debt per share </w:t>
            </w:r>
            <w:r>
              <w:rPr>
                <w:rFonts w:ascii="Times New Roman" w:cs="Times New Roman" w:eastAsia="Times New Roman" w:hAnsi="Times New Roman"/>
                <w:sz w:val="9"/>
                <w:szCs w:val="9"/>
                <w:color w:val="auto"/>
              </w:rPr>
              <w:t>(1),(7)</w:t>
            </w:r>
          </w:p>
        </w:tc>
        <w:tc>
          <w:tcPr>
            <w:tcW w:w="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10.40</w:t>
            </w:r>
          </w:p>
        </w:tc>
        <w:tc>
          <w:tcPr>
            <w:tcW w:w="20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9.69</w:t>
            </w:r>
          </w:p>
        </w:tc>
        <w:tc>
          <w:tcPr>
            <w:tcW w:w="280" w:type="dxa"/>
            <w:vAlign w:val="bottom"/>
          </w:tcPr>
          <w:p>
            <w:pPr>
              <w:spacing w:after="0"/>
              <w:rPr>
                <w:sz w:val="11"/>
                <w:szCs w:val="11"/>
                <w:color w:val="auto"/>
              </w:rPr>
            </w:pPr>
          </w:p>
        </w:tc>
        <w:tc>
          <w:tcPr>
            <w:tcW w:w="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11.85</w:t>
            </w:r>
          </w:p>
        </w:tc>
        <w:tc>
          <w:tcPr>
            <w:tcW w:w="28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9.43</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7.14</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8.52</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8.86</w:t>
            </w:r>
          </w:p>
        </w:tc>
        <w:tc>
          <w:tcPr>
            <w:tcW w:w="24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7.76</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7.85</w:t>
            </w:r>
          </w:p>
        </w:tc>
        <w:tc>
          <w:tcPr>
            <w:tcW w:w="240" w:type="dxa"/>
            <w:vAlign w:val="bottom"/>
          </w:tcPr>
          <w:p>
            <w:pPr>
              <w:spacing w:after="0"/>
              <w:rPr>
                <w:sz w:val="11"/>
                <w:szCs w:val="11"/>
                <w:color w:val="auto"/>
              </w:rPr>
            </w:pPr>
          </w:p>
        </w:tc>
        <w:tc>
          <w:tcPr>
            <w:tcW w:w="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5.47</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 xml:space="preserve">Asset coverage per unit </w:t>
            </w:r>
            <w:r>
              <w:rPr>
                <w:rFonts w:ascii="Times New Roman" w:cs="Times New Roman" w:eastAsia="Times New Roman" w:hAnsi="Times New Roman"/>
                <w:sz w:val="9"/>
                <w:szCs w:val="9"/>
                <w:color w:val="auto"/>
              </w:rPr>
              <w:t>(8)</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1,902</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1"/>
                <w:szCs w:val="11"/>
                <w:color w:val="auto"/>
              </w:rPr>
              <w:t>2,208</w:t>
            </w: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1"/>
                <w:szCs w:val="11"/>
                <w:color w:val="auto"/>
              </w:rPr>
              <w:t>2,078</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2,066</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2,919</w:t>
            </w:r>
          </w:p>
        </w:tc>
        <w:tc>
          <w:tcPr>
            <w:tcW w:w="16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2,998</w:t>
            </w:r>
          </w:p>
        </w:tc>
        <w:tc>
          <w:tcPr>
            <w:tcW w:w="160" w:type="dxa"/>
            <w:vAlign w:val="bottom"/>
            <w:shd w:val="clear" w:color="auto" w:fill="CCEEFF"/>
          </w:tcPr>
          <w:p>
            <w:pPr>
              <w:spacing w:after="0"/>
              <w:rPr>
                <w:sz w:val="11"/>
                <w:szCs w:val="11"/>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2,794</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2,586</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3,215</w:t>
            </w: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4,205</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5,615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Average market value per unit</w:t>
            </w:r>
          </w:p>
        </w:tc>
        <w:tc>
          <w:tcPr>
            <w:tcW w:w="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N/A</w:t>
            </w:r>
          </w:p>
        </w:tc>
        <w:tc>
          <w:tcPr>
            <w:tcW w:w="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25.13</w:t>
            </w:r>
            <w:r>
              <w:rPr>
                <w:rFonts w:ascii="Times New Roman" w:cs="Times New Roman" w:eastAsia="Times New Roman" w:hAnsi="Times New Roman"/>
                <w:sz w:val="9"/>
                <w:szCs w:val="9"/>
                <w:color w:val="auto"/>
              </w:rPr>
              <w:t>(10)</w:t>
            </w:r>
          </w:p>
        </w:tc>
        <w:tc>
          <w:tcPr>
            <w:tcW w:w="4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23.47</w:t>
            </w:r>
            <w:r>
              <w:rPr>
                <w:rFonts w:ascii="Times New Roman" w:cs="Times New Roman" w:eastAsia="Times New Roman" w:hAnsi="Times New Roman"/>
                <w:sz w:val="9"/>
                <w:szCs w:val="9"/>
                <w:color w:val="auto"/>
              </w:rPr>
              <w:t>(10)</w:t>
            </w:r>
          </w:p>
        </w:tc>
        <w:tc>
          <w:tcPr>
            <w:tcW w:w="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24.87</w:t>
            </w:r>
            <w:r>
              <w:rPr>
                <w:rFonts w:ascii="Times New Roman" w:cs="Times New Roman" w:eastAsia="Times New Roman" w:hAnsi="Times New Roman"/>
                <w:sz w:val="9"/>
                <w:szCs w:val="9"/>
                <w:color w:val="auto"/>
              </w:rPr>
              <w:t>(10)</w:t>
            </w:r>
          </w:p>
        </w:tc>
        <w:tc>
          <w:tcPr>
            <w:tcW w:w="1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N/A</w:t>
            </w:r>
          </w:p>
        </w:tc>
        <w:tc>
          <w:tcPr>
            <w:tcW w:w="1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N/A</w:t>
            </w:r>
          </w:p>
        </w:tc>
        <w:tc>
          <w:tcPr>
            <w:tcW w:w="1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24.68</w:t>
            </w:r>
            <w:r>
              <w:rPr>
                <w:rFonts w:ascii="Times New Roman" w:cs="Times New Roman" w:eastAsia="Times New Roman" w:hAnsi="Times New Roman"/>
                <w:sz w:val="9"/>
                <w:szCs w:val="9"/>
                <w:color w:val="auto"/>
              </w:rPr>
              <w:t>(9)</w:t>
            </w:r>
          </w:p>
        </w:tc>
        <w:tc>
          <w:tcPr>
            <w:tcW w:w="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25.13</w:t>
            </w:r>
            <w:r>
              <w:rPr>
                <w:rFonts w:ascii="Times New Roman" w:cs="Times New Roman" w:eastAsia="Times New Roman" w:hAnsi="Times New Roman"/>
                <w:sz w:val="9"/>
                <w:szCs w:val="9"/>
                <w:color w:val="auto"/>
              </w:rPr>
              <w:t>(9)</w:t>
            </w:r>
          </w:p>
        </w:tc>
        <w:tc>
          <w:tcPr>
            <w:tcW w:w="1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24.51</w:t>
            </w:r>
            <w:r>
              <w:rPr>
                <w:rFonts w:ascii="Times New Roman" w:cs="Times New Roman" w:eastAsia="Times New Roman" w:hAnsi="Times New Roman"/>
                <w:sz w:val="9"/>
                <w:szCs w:val="9"/>
                <w:color w:val="auto"/>
              </w:rPr>
              <w:t>(9)</w:t>
            </w:r>
          </w:p>
        </w:tc>
        <w:tc>
          <w:tcPr>
            <w:tcW w:w="4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24.79</w:t>
            </w:r>
            <w:r>
              <w:rPr>
                <w:rFonts w:ascii="Times New Roman" w:cs="Times New Roman" w:eastAsia="Times New Roman" w:hAnsi="Times New Roman"/>
                <w:sz w:val="9"/>
                <w:szCs w:val="9"/>
                <w:color w:val="auto"/>
              </w:rPr>
              <w:t>(9)</w:t>
            </w:r>
          </w:p>
        </w:tc>
        <w:tc>
          <w:tcPr>
            <w:tcW w:w="1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N/A</w:t>
            </w:r>
          </w:p>
        </w:tc>
        <w:tc>
          <w:tcPr>
            <w:tcW w:w="0" w:type="dxa"/>
            <w:vAlign w:val="bottom"/>
          </w:tcPr>
          <w:p>
            <w:pPr>
              <w:spacing w:after="0"/>
              <w:rPr>
                <w:sz w:val="1"/>
                <w:szCs w:val="1"/>
                <w:color w:val="auto"/>
              </w:rPr>
            </w:pPr>
          </w:p>
        </w:tc>
      </w:tr>
      <w:tr>
        <w:trPr>
          <w:trHeight w:val="121"/>
        </w:trPr>
        <w:tc>
          <w:tcPr>
            <w:tcW w:w="19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Portfolio turnover ratio</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9.73%</w:t>
            </w:r>
          </w:p>
        </w:tc>
        <w:tc>
          <w:tcPr>
            <w:tcW w:w="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37.74%</w:t>
            </w:r>
          </w:p>
        </w:tc>
        <w:tc>
          <w:tcPr>
            <w:tcW w:w="4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12.74%</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35.44%</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56.51%</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43.60%</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26.50%</w:t>
            </w: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30.17%</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50.66%</w:t>
            </w:r>
          </w:p>
        </w:tc>
        <w:tc>
          <w:tcPr>
            <w:tcW w:w="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40.91%</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22.81%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120" w:right="8400" w:hanging="4"/>
        <w:spacing w:after="0" w:line="246" w:lineRule="auto"/>
        <w:tabs>
          <w:tab w:leader="none" w:pos="444"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annualized for periods less than one year, ** Annualized for periods less than one year.</w:t>
      </w:r>
    </w:p>
    <w:p>
      <w:pPr>
        <w:ind w:left="440" w:hanging="324"/>
        <w:spacing w:after="0" w:line="218" w:lineRule="auto"/>
        <w:tabs>
          <w:tab w:leader="none" w:pos="44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the weighted average shares outstanding for the respective periods.</w:t>
      </w:r>
    </w:p>
    <w:p>
      <w:pPr>
        <w:ind w:left="440" w:hanging="324"/>
        <w:spacing w:after="0" w:line="216" w:lineRule="auto"/>
        <w:tabs>
          <w:tab w:leader="none" w:pos="44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tax status of distributions is calculated in accordance with income tax regulations, which may differ from amounts determined under GAAP, and reported on Form 1099-DIV each calendar year.</w:t>
      </w:r>
    </w:p>
    <w:p>
      <w:pPr>
        <w:ind w:left="440" w:hanging="324"/>
        <w:spacing w:after="0" w:line="216" w:lineRule="auto"/>
        <w:tabs>
          <w:tab w:leader="none" w:pos="44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the change in market price per share during the period and assumes distributions, if any, are reinvested.</w:t>
      </w:r>
    </w:p>
    <w:p>
      <w:pPr>
        <w:ind w:left="440" w:hanging="324"/>
        <w:spacing w:after="0" w:line="216" w:lineRule="auto"/>
        <w:tabs>
          <w:tab w:leader="none" w:pos="44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debt related costs.</w:t>
      </w:r>
    </w:p>
    <w:p>
      <w:pPr>
        <w:ind w:left="440" w:hanging="324"/>
        <w:spacing w:after="0" w:line="216" w:lineRule="auto"/>
        <w:tabs>
          <w:tab w:leader="none" w:pos="44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interest and expenses on debt (annualized) as well as Credit Facility amendment and debt issuance costs, if any (not annualized).</w:t>
      </w:r>
    </w:p>
    <w:p>
      <w:pPr>
        <w:jc w:val="both"/>
        <w:ind w:left="440" w:right="120" w:hanging="324"/>
        <w:spacing w:after="0" w:line="216" w:lineRule="auto"/>
        <w:tabs>
          <w:tab w:leader="none" w:pos="44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years ended September 30, 2020, 2019, 2018, 2017 and 2016, the ratio of operating expenses to average net assets before the waiver of certain Management Fees to average net assets was 4.65%, 5.26%, 5.21%, 6.65% and 7.64%, respectively, and the ratio of total expenses to average net assets before the waiver of certain Management Fees to average net assets was 9.12%, 11.48%, 8.75%, 11.33% and 11.82%, respectively.</w:t>
      </w:r>
    </w:p>
    <w:p>
      <w:pPr>
        <w:spacing w:after="0" w:line="1" w:lineRule="exact"/>
        <w:rPr>
          <w:rFonts w:ascii="Times New Roman" w:cs="Times New Roman" w:eastAsia="Times New Roman" w:hAnsi="Times New Roman"/>
          <w:sz w:val="13"/>
          <w:szCs w:val="13"/>
          <w:color w:val="auto"/>
        </w:rPr>
      </w:pPr>
    </w:p>
    <w:p>
      <w:pPr>
        <w:ind w:left="440" w:hanging="324"/>
        <w:spacing w:after="0"/>
        <w:tabs>
          <w:tab w:leader="none" w:pos="44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SBA debentures outstanding.</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55" w:right="4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40" w:hanging="324"/>
        <w:spacing w:after="0" w:line="224" w:lineRule="auto"/>
        <w:tabs>
          <w:tab w:leader="none" w:pos="44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asset coverage ratio for a class of senior securities representing indebtedness is calculated as our consolidated total assets, less all liabilities and indebtedness not represented by senior securities, divided by the senior securities representing indebtedness at par (changed from fair value). This asset coverage ratio is multiplied by $1,000 to determine the asset coverage per unit. These amounts exclude SBA debentures from our asset coverage per unit computation pursuant to exemptive relief received from the SEC in June 2011.</w:t>
      </w:r>
    </w:p>
    <w:p>
      <w:pPr>
        <w:ind w:left="440" w:hanging="324"/>
        <w:spacing w:after="0" w:line="216" w:lineRule="auto"/>
        <w:tabs>
          <w:tab w:leader="none" w:pos="44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average market value per unit is derived based on the monthly average closing price of the 2025 Notes trading on NYSE under the symbol “PNTA,” which were issued in increments of $25 per unit. On June 29, 2017, the 2025 Notes were redeemed in full and no amounts were outstanding as of December 31, 2021 or September 30, 2021, 2020, 2019, 2018 or 2017.</w:t>
      </w:r>
    </w:p>
    <w:p>
      <w:pPr>
        <w:ind w:left="440" w:right="80" w:hanging="324"/>
        <w:spacing w:after="0" w:line="228" w:lineRule="auto"/>
        <w:tabs>
          <w:tab w:leader="none" w:pos="44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average market value per unit in is derived based on the daily closing price of the 2024 Notes trading on The Nasdaq Global Select Market under the symbol “PNNTG,” which were issued in increments of $25 per unit and commenced trading on September 30, 2019. On November 13, 2021, the 2024 Notes were redeemed in full and no amounts were outstanding as of December 31, 2021.</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60"/>
          </w:cols>
          <w:pgMar w:left="320" w:top="455" w:right="51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a number of significant risks. In addition to the other information contained in this prospectus and the applicable prospectus supplement and any free writing prospectus, you should consider carefully the following information and the risk factors incorporated by reference in our Annual Report on Form 10-K for the fiscal year ended September 30, 2021, filed on November 17, 2021, and our Quarterly Report on Form 10-Q for the fiscal quarter ended December 31, 2021 filed on February 9, 2022, or our then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Exchange Act and the risk factors and other information contained in any prospectus supplement and any free writing prospectus before acquiring any of such securities and before making an investment in our securities. Additional risks and uncertainties not presently known to us or not presently deemed material by us may also impair our operations and performance. Each of the risk factors could materially adversely affect our business, financial condition and results of operations. In such case, the net asset value and market price of our common stock could decline or the value of our preferred stock, warrants, subscription rights, debt securities or units may decline, and investors may lose all or part of their investment. Please also read carefully the section titled “Forward-Looking Statements.”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This prospectus, including the documents we incorporate by reference herein, contains, and any applicable prospectus supplement or free writing prospectus, including the documents we incorporate by reference therein, contain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or incorporated by reference in this prospectus and any applicable prospectus supplement or free writing prospectus involve risks and uncertainties, including statements as to:</w:t>
      </w:r>
    </w:p>
    <w:p>
      <w:pPr>
        <w:spacing w:after="0" w:line="93"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our prospective portfolio companies, including as a result of the current pandemic caused by COVID-19 or any worsening thereof;</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political, economic or industry conditions, the interest rate environment or conditions affecting the financial and capital markets that could result in changes to the value of our assets, including changes from the impact of the current COVID-19 pandemic or any worsening thereof;</w:t>
      </w:r>
    </w:p>
    <w:p>
      <w:pPr>
        <w:spacing w:after="0" w:line="81"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effectively manage our business due to the significant disruptions caused by the current COVID-19 pandemic or any worsening thereof;</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future success on the general economy and its impact on the industries in which we invest;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protracted decline in the liquidity of credit markets on our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investments that we expect to make;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fluctuations in interest rates and foreign exchange rates on our business and our portfolio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arrangements and relationships with third parties;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of our investments in portfolio companies, particularly those having no liquid trading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prospective portfolio companies to achieve their objectives;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financings and investments;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resources and working capital;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the operations of our prospective portfolio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price and volume fluctuations in the stock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Investment Adviser to locate suitable investments for us and to monitor and administer our investments;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future legislation and regulation on our business and our portfolio companies;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United Kingdom’s withdrawal from the European Union and other world economic and political issues.</w:t>
      </w:r>
    </w:p>
    <w:p>
      <w:pPr>
        <w:spacing w:after="0" w:line="225" w:lineRule="exact"/>
        <w:rPr>
          <w:sz w:val="20"/>
          <w:szCs w:val="20"/>
          <w:color w:val="auto"/>
        </w:rPr>
      </w:pPr>
    </w:p>
    <w:p>
      <w:pPr>
        <w:ind w:left="120" w:right="220" w:firstLine="440"/>
        <w:spacing w:after="0" w:line="289" w:lineRule="auto"/>
        <w:rPr>
          <w:sz w:val="20"/>
          <w:szCs w:val="20"/>
          <w:color w:val="auto"/>
        </w:rPr>
      </w:pPr>
      <w:r>
        <w:rPr>
          <w:rFonts w:ascii="Times New Roman" w:cs="Times New Roman" w:eastAsia="Times New Roman" w:hAnsi="Times New Roman"/>
          <w:sz w:val="17"/>
          <w:szCs w:val="17"/>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contained or incorporated by reference in this prospectus and any applicable prospectus supplement or free writing prospectus should not be regarded as a representation by us that our plans and objectives will be achieved.</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base the forward-looking statements included in this prospectus, any prospectus supplement, free writing prospectus and documents incorporated by reference on information available to us on the date of the relevant document, and we assume no obligation to update any such forward-looking statements. Although we undertake no obligation to revise or update any forward-looking statements in such documents, whether as a result of new information, future events or otherwise, you are advised to consult any additional disclosures that we may make directly to you or through reports that we have filed or in the future may file with the SEC, including reports on Form 10-K/Q and current reports on Form 8-K.</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 should understand that, under Section 27A(b)(2)(B) of the Securities Act of 1933, as amended, or the Securities Act, and Section 21E(b)(2)</w:t>
      </w:r>
    </w:p>
    <w:p>
      <w:pPr>
        <w:spacing w:after="0" w:line="27" w:lineRule="exact"/>
        <w:rPr>
          <w:sz w:val="20"/>
          <w:szCs w:val="20"/>
          <w:color w:val="auto"/>
        </w:rPr>
      </w:pPr>
    </w:p>
    <w:p>
      <w:pPr>
        <w:ind w:left="120" w:right="640" w:hanging="4"/>
        <w:spacing w:after="0" w:line="290" w:lineRule="auto"/>
        <w:tabs>
          <w:tab w:leader="none" w:pos="40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80"/>
          </w:cols>
          <w:pgMar w:left="320" w:top="455" w:right="49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Unless otherwise specified in a prospectus supplement or a free writing prospectus we have authorized for use in connection with a specific offering, we may use the net proceeds from selling securities pursuant to this prospectus for general corporate or strategic purposes, including making investments in portfolio companies or repaying outstanding indebtedness.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indebtedness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“Business—Regulation—Temporary Investments” in our most recently filed Annual Report on Form 10-K for more information.</w:t>
      </w:r>
    </w:p>
    <w:p>
      <w:pPr>
        <w:spacing w:after="0" w:line="12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320" w:top="455" w:right="5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SENIOR SECURITIES</w:t>
      </w:r>
    </w:p>
    <w:p>
      <w:pPr>
        <w:spacing w:after="0" w:line="22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Information about our senior securities is shown in the following table as of December 31, 2021 (unaudited) and September 30, 2021, 2020, 2019, 2018, 2017, 2016, 2015, 2014, 2013, and 2012. Information as of our September 30th fiscal year end, is from our Consolidated Financial Statements, which have been audited by an independent registered public accounting firm for those periods, and the report of RSM US, LLP, an independent registered public accounting firm, on our senior securities table as of September 30, 2021 is attached as an exhibit to the registration statement of which this prospectus is a part. This information about our senior securities should be read in conjunction with our Consolidated Financial Statements and related notes thereto and “Management’s Discussion and Analysis of Financial Condition and Results of Operations” included in our most recent Annual Report on Form 10-K for more information.</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12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Amount</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20" w:type="dxa"/>
            <w:vAlign w:val="bottom"/>
          </w:tcPr>
          <w:p>
            <w:pPr>
              <w:spacing w:after="0"/>
              <w:rPr>
                <w:sz w:val="13"/>
                <w:szCs w:val="13"/>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Class and Year</w:t>
            </w:r>
          </w:p>
        </w:tc>
        <w:tc>
          <w:tcPr>
            <w:tcW w:w="5980" w:type="dxa"/>
            <w:vAlign w:val="bottom"/>
            <w:vMerge w:val="restart"/>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Coverage</w:t>
            </w:r>
          </w:p>
        </w:tc>
        <w:tc>
          <w:tcPr>
            <w:tcW w:w="10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Market Value</w:t>
            </w:r>
          </w:p>
        </w:tc>
        <w:tc>
          <w:tcPr>
            <w:tcW w:w="0" w:type="dxa"/>
            <w:vAlign w:val="bottom"/>
          </w:tcPr>
          <w:p>
            <w:pPr>
              <w:spacing w:after="0"/>
              <w:rPr>
                <w:sz w:val="1"/>
                <w:szCs w:val="1"/>
                <w:color w:val="auto"/>
              </w:rPr>
            </w:pPr>
          </w:p>
        </w:tc>
      </w:tr>
      <w:tr>
        <w:trPr>
          <w:trHeight w:val="180"/>
        </w:trPr>
        <w:tc>
          <w:tcPr>
            <w:tcW w:w="920" w:type="dxa"/>
            <w:vAlign w:val="bottom"/>
            <w:tcBorders>
              <w:bottom w:val="single" w:sz="8" w:color="auto"/>
            </w:tcBorders>
            <w:vMerge w:val="continue"/>
          </w:tcPr>
          <w:p>
            <w:pPr>
              <w:spacing w:after="0"/>
              <w:rPr>
                <w:sz w:val="15"/>
                <w:szCs w:val="15"/>
                <w:color w:val="auto"/>
              </w:rPr>
            </w:pPr>
          </w:p>
        </w:tc>
        <w:tc>
          <w:tcPr>
            <w:tcW w:w="5980" w:type="dxa"/>
            <w:vAlign w:val="bottom"/>
            <w:vMerge w:val="continue"/>
          </w:tcPr>
          <w:p>
            <w:pPr>
              <w:spacing w:after="0"/>
              <w:rPr>
                <w:sz w:val="15"/>
                <w:szCs w:val="15"/>
                <w:color w:val="auto"/>
              </w:rPr>
            </w:pPr>
          </w:p>
        </w:tc>
        <w:tc>
          <w:tcPr>
            <w:tcW w:w="124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Outstanding</w:t>
            </w:r>
            <w:r>
              <w:rPr>
                <w:rFonts w:ascii="Times New Roman" w:cs="Times New Roman" w:eastAsia="Times New Roman" w:hAnsi="Times New Roman"/>
                <w:sz w:val="12"/>
                <w:szCs w:val="12"/>
                <w:b w:val="1"/>
                <w:bCs w:val="1"/>
                <w:color w:val="auto"/>
              </w:rPr>
              <w:t>(1)</w:t>
            </w:r>
          </w:p>
        </w:tc>
        <w:tc>
          <w:tcPr>
            <w:tcW w:w="320" w:type="dxa"/>
            <w:vAlign w:val="bottom"/>
          </w:tcPr>
          <w:p>
            <w:pPr>
              <w:spacing w:after="0"/>
              <w:rPr>
                <w:sz w:val="15"/>
                <w:szCs w:val="15"/>
                <w:color w:val="auto"/>
              </w:rPr>
            </w:pPr>
          </w:p>
        </w:tc>
        <w:tc>
          <w:tcPr>
            <w:tcW w:w="148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per Unit</w:t>
            </w:r>
            <w:r>
              <w:rPr>
                <w:rFonts w:ascii="Times New Roman" w:cs="Times New Roman" w:eastAsia="Times New Roman" w:hAnsi="Times New Roman"/>
                <w:sz w:val="12"/>
                <w:szCs w:val="12"/>
                <w:b w:val="1"/>
                <w:bCs w:val="1"/>
                <w:color w:val="auto"/>
              </w:rPr>
              <w:t>(2),(3)</w:t>
            </w:r>
          </w:p>
        </w:tc>
        <w:tc>
          <w:tcPr>
            <w:tcW w:w="120" w:type="dxa"/>
            <w:vAlign w:val="bottom"/>
          </w:tcPr>
          <w:p>
            <w:pPr>
              <w:spacing w:after="0"/>
              <w:rPr>
                <w:sz w:val="15"/>
                <w:szCs w:val="15"/>
                <w:color w:val="auto"/>
              </w:rPr>
            </w:pPr>
          </w:p>
        </w:tc>
        <w:tc>
          <w:tcPr>
            <w:tcW w:w="96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189"/>
        </w:trPr>
        <w:tc>
          <w:tcPr>
            <w:tcW w:w="69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Truist Credit Facility</w:t>
            </w:r>
          </w:p>
        </w:tc>
        <w:tc>
          <w:tcPr>
            <w:tcW w:w="2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2022 (As of December 31, 2021, unaudited)</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445,224</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1,902</w:t>
            </w:r>
          </w:p>
        </w:tc>
        <w:tc>
          <w:tcPr>
            <w:tcW w:w="12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316,545</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2,208</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2020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388,252</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2,078</w:t>
            </w:r>
          </w:p>
        </w:tc>
        <w:tc>
          <w:tcPr>
            <w:tcW w:w="12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2019</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301,636</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2,066</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2018</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80,520</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2,919</w:t>
            </w:r>
          </w:p>
        </w:tc>
        <w:tc>
          <w:tcPr>
            <w:tcW w:w="12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79,393</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2,998</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2016</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50,340</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2,794</w:t>
            </w:r>
          </w:p>
        </w:tc>
        <w:tc>
          <w:tcPr>
            <w:tcW w:w="12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2015</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136,864</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2,586</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2014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55,226</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3,215</w:t>
            </w:r>
          </w:p>
        </w:tc>
        <w:tc>
          <w:tcPr>
            <w:tcW w:w="12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2013</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145,500</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4,205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2012</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145,000</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5,615</w:t>
            </w:r>
          </w:p>
        </w:tc>
        <w:tc>
          <w:tcPr>
            <w:tcW w:w="12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BNP Credit Facility</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2019</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171,000</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2,066</w:t>
            </w:r>
          </w:p>
        </w:tc>
        <w:tc>
          <w:tcPr>
            <w:tcW w:w="12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2019 Notes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2018</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250,000</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2,919</w:t>
            </w:r>
          </w:p>
        </w:tc>
        <w:tc>
          <w:tcPr>
            <w:tcW w:w="12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250,000</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2,998</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2016</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250,000</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2,794</w:t>
            </w:r>
          </w:p>
        </w:tc>
        <w:tc>
          <w:tcPr>
            <w:tcW w:w="12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2015</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250,000</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2,586</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2014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250,000</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3,215</w:t>
            </w:r>
          </w:p>
        </w:tc>
        <w:tc>
          <w:tcPr>
            <w:tcW w:w="12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2024 Notes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2021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86,250</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2,208</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25.14</w:t>
            </w: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86,250</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2,078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23.47</w:t>
            </w: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2019</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75,000</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2,066</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24.87</w:t>
            </w: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2025 Notes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2016</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71,250</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2,794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24.68</w:t>
            </w: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2015</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71,250</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2,586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25.13</w:t>
            </w: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2014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71,250</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3,215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24.51</w:t>
            </w: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2013</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71,250</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4,205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24.79</w:t>
            </w: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2026 Notes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2022 (As of December 31, 2021, unaudited)</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150,000</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1,902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2021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150,000</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2,208</w:t>
            </w:r>
          </w:p>
        </w:tc>
        <w:tc>
          <w:tcPr>
            <w:tcW w:w="12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2026-2 Notes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2022 (As of December 31, 2021, unaudited)</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165,000</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1,902</w:t>
            </w:r>
          </w:p>
        </w:tc>
        <w:tc>
          <w:tcPr>
            <w:tcW w:w="120" w:type="dxa"/>
            <w:vAlign w:val="bottom"/>
          </w:tcPr>
          <w:p>
            <w:pPr>
              <w:spacing w:after="0"/>
              <w:rPr>
                <w:sz w:val="20"/>
                <w:szCs w:val="20"/>
                <w:color w:val="auto"/>
              </w:rPr>
            </w:pPr>
          </w:p>
        </w:tc>
        <w:tc>
          <w:tcPr>
            <w:tcW w:w="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ind w:left="540" w:hanging="424"/>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 of each class of senior securities outstanding at the end of the period presented in thousands (000s).</w:t>
      </w:r>
    </w:p>
    <w:p>
      <w:pPr>
        <w:spacing w:after="0" w:line="27" w:lineRule="exact"/>
        <w:rPr>
          <w:rFonts w:ascii="Times New Roman" w:cs="Times New Roman" w:eastAsia="Times New Roman" w:hAnsi="Times New Roman"/>
          <w:sz w:val="18"/>
          <w:szCs w:val="18"/>
          <w:color w:val="auto"/>
        </w:rPr>
      </w:pPr>
    </w:p>
    <w:p>
      <w:pPr>
        <w:ind w:left="540" w:right="260" w:hanging="424"/>
        <w:spacing w:after="0" w:line="250"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at par. This asset coverage ratio is multiplied by $1,000 to determine the Asset Coverage Per Unit.</w:t>
      </w:r>
    </w:p>
    <w:p>
      <w:pPr>
        <w:spacing w:after="0" w:line="1" w:lineRule="exact"/>
        <w:rPr>
          <w:rFonts w:ascii="Times New Roman" w:cs="Times New Roman" w:eastAsia="Times New Roman" w:hAnsi="Times New Roman"/>
          <w:sz w:val="18"/>
          <w:szCs w:val="18"/>
          <w:color w:val="auto"/>
        </w:rPr>
      </w:pPr>
    </w:p>
    <w:p>
      <w:pPr>
        <w:ind w:left="540" w:right="380" w:hanging="424"/>
        <w:spacing w:after="0" w:line="250"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exclude SBA debentures from our total amount outstanding and asset coverage per unit computation pursuant to an exemptive relief letter provided by the SEC in June 2011.</w:t>
      </w:r>
    </w:p>
    <w:p>
      <w:pPr>
        <w:ind w:left="540" w:right="120" w:hanging="424"/>
        <w:spacing w:after="0" w:line="250"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market value per unit is derived based on the daily closing price of the 2024 Notes which were traded on The Nasdaq Global Select Market under the symbol “PNNTG” prior to their redemption. The 2024 Notes were issued in increments of $25 per unit and commenced trading on September 30, 2019. On November 13, 2021, the 2024 Notes were redeemed in full.</w:t>
      </w:r>
    </w:p>
    <w:p>
      <w:pPr>
        <w:spacing w:after="0" w:line="1" w:lineRule="exact"/>
        <w:rPr>
          <w:rFonts w:ascii="Times New Roman" w:cs="Times New Roman" w:eastAsia="Times New Roman" w:hAnsi="Times New Roman"/>
          <w:sz w:val="18"/>
          <w:szCs w:val="18"/>
          <w:color w:val="auto"/>
        </w:rPr>
      </w:pPr>
    </w:p>
    <w:p>
      <w:pPr>
        <w:ind w:left="540" w:right="200" w:hanging="424"/>
        <w:spacing w:after="0" w:line="255"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market value per unit is derived based on the monthly average closing price of the 2025 Notes, which were traded on the New York Stock Exchange, or NYSE, under the symbol “PNTA” since issuance. The 2025 Notes were issued in increments of $25 per unit. On June 29, 2017, the 2025 Notes were redeemed in full.</w:t>
      </w:r>
    </w:p>
    <w:p>
      <w:pPr>
        <w:sectPr>
          <w:pgSz w:w="11900" w:h="16838" w:orient="portrait"/>
          <w:cols w:equalWidth="0" w:num="1">
            <w:col w:w="11140"/>
          </w:cols>
          <w:pgMar w:left="320" w:top="455" w:right="439" w:bottom="1440" w:gutter="0" w:footer="0" w:header="0"/>
        </w:sectPr>
      </w:pP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55" w:right="43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PRICE RANGE OF COMMON STOCK</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common stock is traded on The New York Stock Exchange under the symbol “PNNT.” Prior to April 14, 2022, our common stock was traded on The Nasdaq Global Select Market under the same symbol. The following table lists the high and low closing sale prices for our common stock, the closing sale prices as a premium or (discount) to our NAV and quarterly distributions per share since October 1, 2019. On April 19, 2022, the last reported closing price of our common stock was $7.95 per share.</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4"/>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Closing Sales Price</w:t>
            </w:r>
          </w:p>
        </w:tc>
        <w:tc>
          <w:tcPr>
            <w:tcW w:w="420" w:type="dxa"/>
            <w:vAlign w:val="bottom"/>
            <w:vMerge w:val="restart"/>
          </w:tcPr>
          <w:p>
            <w:pPr>
              <w:spacing w:after="0"/>
              <w:rPr>
                <w:sz w:val="13"/>
                <w:szCs w:val="13"/>
                <w:color w:val="auto"/>
              </w:rPr>
            </w:pPr>
          </w:p>
        </w:tc>
        <w:tc>
          <w:tcPr>
            <w:tcW w:w="18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Premium (Discount)</w:t>
            </w:r>
          </w:p>
        </w:tc>
        <w:tc>
          <w:tcPr>
            <w:tcW w:w="18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Premium (Discount)</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420" w:type="dxa"/>
            <w:vAlign w:val="bottom"/>
          </w:tcPr>
          <w:p>
            <w:pPr>
              <w:spacing w:after="0"/>
              <w:rPr>
                <w:sz w:val="6"/>
                <w:szCs w:val="6"/>
                <w:color w:val="auto"/>
              </w:rPr>
            </w:pPr>
          </w:p>
        </w:tc>
        <w:tc>
          <w:tcPr>
            <w:tcW w:w="3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60" w:type="dxa"/>
            <w:vAlign w:val="bottom"/>
            <w:tcBorders>
              <w:bottom w:val="single" w:sz="8" w:color="auto"/>
            </w:tcBorders>
            <w:gridSpan w:val="4"/>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1820" w:type="dxa"/>
            <w:vAlign w:val="bottom"/>
            <w:gridSpan w:val="2"/>
            <w:vMerge w:val="restart"/>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of High Sales</w:t>
            </w:r>
          </w:p>
        </w:tc>
        <w:tc>
          <w:tcPr>
            <w:tcW w:w="1820" w:type="dxa"/>
            <w:vAlign w:val="bottom"/>
            <w:gridSpan w:val="2"/>
            <w:vMerge w:val="restart"/>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of Low Sales</w:t>
            </w:r>
          </w:p>
        </w:tc>
        <w:tc>
          <w:tcPr>
            <w:tcW w:w="880" w:type="dxa"/>
            <w:vAlign w:val="bottom"/>
            <w:gridSpan w:val="3"/>
            <w:vMerge w:val="restart"/>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Distributions</w:t>
            </w:r>
          </w:p>
        </w:tc>
        <w:tc>
          <w:tcPr>
            <w:tcW w:w="0" w:type="dxa"/>
            <w:vAlign w:val="bottom"/>
          </w:tcPr>
          <w:p>
            <w:pPr>
              <w:spacing w:after="0"/>
              <w:rPr>
                <w:sz w:val="1"/>
                <w:szCs w:val="1"/>
                <w:color w:val="auto"/>
              </w:rPr>
            </w:pPr>
          </w:p>
        </w:tc>
      </w:tr>
      <w:tr>
        <w:trPr>
          <w:trHeight w:val="50"/>
        </w:trPr>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3280" w:type="dxa"/>
            <w:vAlign w:val="bottom"/>
            <w:vMerge w:val="restart"/>
          </w:tcPr>
          <w:p>
            <w:pPr>
              <w:spacing w:after="0"/>
              <w:rPr>
                <w:sz w:val="4"/>
                <w:szCs w:val="4"/>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NAV</w:t>
            </w:r>
            <w:r>
              <w:rPr>
                <w:rFonts w:ascii="Times New Roman" w:cs="Times New Roman" w:eastAsia="Times New Roman" w:hAnsi="Times New Roman"/>
                <w:sz w:val="12"/>
                <w:szCs w:val="12"/>
                <w:b w:val="1"/>
                <w:bCs w:val="1"/>
                <w:color w:val="auto"/>
              </w:rPr>
              <w:t>(1)</w:t>
            </w:r>
          </w:p>
        </w:tc>
        <w:tc>
          <w:tcPr>
            <w:tcW w:w="200" w:type="dxa"/>
            <w:vAlign w:val="bottom"/>
          </w:tcPr>
          <w:p>
            <w:pPr>
              <w:spacing w:after="0"/>
              <w:rPr>
                <w:sz w:val="4"/>
                <w:szCs w:val="4"/>
                <w:color w:val="auto"/>
              </w:rPr>
            </w:pPr>
          </w:p>
        </w:tc>
        <w:tc>
          <w:tcPr>
            <w:tcW w:w="7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High</w:t>
            </w:r>
          </w:p>
        </w:tc>
        <w:tc>
          <w:tcPr>
            <w:tcW w:w="220" w:type="dxa"/>
            <w:vAlign w:val="bottom"/>
          </w:tcPr>
          <w:p>
            <w:pPr>
              <w:spacing w:after="0"/>
              <w:rPr>
                <w:sz w:val="4"/>
                <w:szCs w:val="4"/>
                <w:color w:val="auto"/>
              </w:rPr>
            </w:pPr>
          </w:p>
        </w:tc>
        <w:tc>
          <w:tcPr>
            <w:tcW w:w="96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Low</w:t>
            </w:r>
          </w:p>
        </w:tc>
        <w:tc>
          <w:tcPr>
            <w:tcW w:w="1820" w:type="dxa"/>
            <w:vAlign w:val="bottom"/>
            <w:gridSpan w:val="2"/>
            <w:vMerge w:val="continue"/>
          </w:tcPr>
          <w:p>
            <w:pPr>
              <w:spacing w:after="0"/>
              <w:rPr>
                <w:sz w:val="4"/>
                <w:szCs w:val="4"/>
                <w:color w:val="auto"/>
              </w:rPr>
            </w:pPr>
          </w:p>
        </w:tc>
        <w:tc>
          <w:tcPr>
            <w:tcW w:w="1820" w:type="dxa"/>
            <w:vAlign w:val="bottom"/>
            <w:gridSpan w:val="2"/>
            <w:vMerge w:val="continue"/>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420" w:type="dxa"/>
            <w:vAlign w:val="bottom"/>
            <w:tcBorders>
              <w:bottom w:val="single" w:sz="8" w:color="auto"/>
            </w:tcBorders>
            <w:vMerge w:val="continue"/>
          </w:tcPr>
          <w:p>
            <w:pPr>
              <w:spacing w:after="0"/>
              <w:rPr>
                <w:sz w:val="15"/>
                <w:szCs w:val="15"/>
                <w:color w:val="auto"/>
              </w:rPr>
            </w:pPr>
          </w:p>
        </w:tc>
        <w:tc>
          <w:tcPr>
            <w:tcW w:w="328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820" w:type="dxa"/>
            <w:vAlign w:val="bottom"/>
            <w:gridSpan w:val="2"/>
          </w:tcPr>
          <w:p>
            <w:pPr>
              <w:jc w:val="center"/>
              <w:ind w:right="5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Price to NAV</w:t>
            </w:r>
            <w:r>
              <w:rPr>
                <w:rFonts w:ascii="Times New Roman" w:cs="Times New Roman" w:eastAsia="Times New Roman" w:hAnsi="Times New Roman"/>
                <w:sz w:val="12"/>
                <w:szCs w:val="12"/>
                <w:b w:val="1"/>
                <w:bCs w:val="1"/>
                <w:color w:val="auto"/>
                <w:w w:val="99"/>
              </w:rPr>
              <w:t>(2)</w:t>
            </w:r>
          </w:p>
        </w:tc>
        <w:tc>
          <w:tcPr>
            <w:tcW w:w="1820" w:type="dxa"/>
            <w:vAlign w:val="bottom"/>
            <w:gridSpan w:val="2"/>
          </w:tcPr>
          <w:p>
            <w:pPr>
              <w:jc w:val="center"/>
              <w:ind w:right="5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Price to NAV</w:t>
            </w:r>
            <w:r>
              <w:rPr>
                <w:rFonts w:ascii="Times New Roman" w:cs="Times New Roman" w:eastAsia="Times New Roman" w:hAnsi="Times New Roman"/>
                <w:sz w:val="12"/>
                <w:szCs w:val="12"/>
                <w:b w:val="1"/>
                <w:bCs w:val="1"/>
                <w:color w:val="auto"/>
                <w:w w:val="99"/>
              </w:rPr>
              <w:t>(2)</w:t>
            </w:r>
          </w:p>
        </w:tc>
        <w:tc>
          <w:tcPr>
            <w:tcW w:w="120" w:type="dxa"/>
            <w:vAlign w:val="bottom"/>
          </w:tcPr>
          <w:p>
            <w:pPr>
              <w:spacing w:after="0"/>
              <w:rPr>
                <w:sz w:val="15"/>
                <w:szCs w:val="15"/>
                <w:color w:val="auto"/>
              </w:rPr>
            </w:pPr>
          </w:p>
        </w:tc>
        <w:tc>
          <w:tcPr>
            <w:tcW w:w="76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Declared</w:t>
            </w:r>
          </w:p>
        </w:tc>
        <w:tc>
          <w:tcPr>
            <w:tcW w:w="0" w:type="dxa"/>
            <w:vAlign w:val="bottom"/>
          </w:tcPr>
          <w:p>
            <w:pPr>
              <w:spacing w:after="0"/>
              <w:rPr>
                <w:sz w:val="1"/>
                <w:szCs w:val="1"/>
                <w:color w:val="auto"/>
              </w:rPr>
            </w:pPr>
          </w:p>
        </w:tc>
      </w:tr>
      <w:tr>
        <w:trPr>
          <w:trHeight w:val="190"/>
        </w:trPr>
        <w:tc>
          <w:tcPr>
            <w:tcW w:w="37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Year Ended September 30, 2022</w:t>
            </w:r>
          </w:p>
        </w:tc>
        <w:tc>
          <w:tcPr>
            <w:tcW w:w="5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quarter (as of April 19, 2022</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N/A</w:t>
            </w: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$ 7.95</w:t>
            </w:r>
          </w:p>
        </w:tc>
        <w:tc>
          <w:tcPr>
            <w:tcW w:w="11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  7.65</w:t>
            </w:r>
          </w:p>
        </w:tc>
        <w:tc>
          <w:tcPr>
            <w:tcW w:w="1820" w:type="dxa"/>
            <w:vAlign w:val="bottom"/>
            <w:gridSpan w:val="2"/>
          </w:tcPr>
          <w:p>
            <w:pPr>
              <w:jc w:val="center"/>
              <w:ind w:left="434"/>
              <w:spacing w:after="0"/>
              <w:rPr>
                <w:sz w:val="20"/>
                <w:szCs w:val="20"/>
                <w:color w:val="auto"/>
              </w:rPr>
            </w:pPr>
            <w:r>
              <w:rPr>
                <w:rFonts w:ascii="Times New Roman" w:cs="Times New Roman" w:eastAsia="Times New Roman" w:hAnsi="Times New Roman"/>
                <w:sz w:val="18"/>
                <w:szCs w:val="18"/>
                <w:color w:val="auto"/>
                <w:w w:val="99"/>
              </w:rPr>
              <w:t>N/A%</w:t>
            </w:r>
          </w:p>
        </w:tc>
        <w:tc>
          <w:tcPr>
            <w:tcW w:w="1820" w:type="dxa"/>
            <w:vAlign w:val="bottom"/>
            <w:gridSpan w:val="2"/>
          </w:tcPr>
          <w:p>
            <w:pPr>
              <w:jc w:val="center"/>
              <w:ind w:left="474"/>
              <w:spacing w:after="0"/>
              <w:rPr>
                <w:sz w:val="20"/>
                <w:szCs w:val="20"/>
                <w:color w:val="auto"/>
              </w:rPr>
            </w:pPr>
            <w:r>
              <w:rPr>
                <w:rFonts w:ascii="Times New Roman" w:cs="Times New Roman" w:eastAsia="Times New Roman" w:hAnsi="Times New Roman"/>
                <w:sz w:val="18"/>
                <w:szCs w:val="18"/>
                <w:color w:val="auto"/>
                <w:w w:val="99"/>
              </w:rPr>
              <w:t>N/A%</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7.85</w:t>
            </w:r>
          </w:p>
        </w:tc>
        <w:tc>
          <w:tcPr>
            <w:tcW w:w="11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6.66</w:t>
            </w:r>
          </w:p>
        </w:tc>
        <w:tc>
          <w:tcPr>
            <w:tcW w:w="18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N/A</w:t>
            </w:r>
          </w:p>
        </w:tc>
        <w:tc>
          <w:tcPr>
            <w:tcW w:w="18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10.11</w:t>
            </w: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7.18</w:t>
            </w:r>
          </w:p>
        </w:tc>
        <w:tc>
          <w:tcPr>
            <w:tcW w:w="11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6.49</w:t>
            </w:r>
          </w:p>
        </w:tc>
        <w:tc>
          <w:tcPr>
            <w:tcW w:w="1820" w:type="dxa"/>
            <w:vAlign w:val="bottom"/>
            <w:gridSpan w:val="2"/>
          </w:tcPr>
          <w:p>
            <w:pPr>
              <w:jc w:val="center"/>
              <w:ind w:left="434"/>
              <w:spacing w:after="0"/>
              <w:rPr>
                <w:sz w:val="20"/>
                <w:szCs w:val="20"/>
                <w:color w:val="auto"/>
              </w:rPr>
            </w:pPr>
            <w:r>
              <w:rPr>
                <w:rFonts w:ascii="Times New Roman" w:cs="Times New Roman" w:eastAsia="Times New Roman" w:hAnsi="Times New Roman"/>
                <w:sz w:val="18"/>
                <w:szCs w:val="18"/>
                <w:color w:val="auto"/>
                <w:w w:val="99"/>
              </w:rPr>
              <w:t>(29)</w:t>
            </w:r>
          </w:p>
        </w:tc>
        <w:tc>
          <w:tcPr>
            <w:tcW w:w="1820" w:type="dxa"/>
            <w:vAlign w:val="bottom"/>
            <w:gridSpan w:val="2"/>
          </w:tcPr>
          <w:p>
            <w:pPr>
              <w:jc w:val="center"/>
              <w:ind w:left="434"/>
              <w:spacing w:after="0"/>
              <w:rPr>
                <w:sz w:val="20"/>
                <w:szCs w:val="20"/>
                <w:color w:val="auto"/>
              </w:rPr>
            </w:pPr>
            <w:r>
              <w:rPr>
                <w:rFonts w:ascii="Times New Roman" w:cs="Times New Roman" w:eastAsia="Times New Roman" w:hAnsi="Times New Roman"/>
                <w:sz w:val="18"/>
                <w:szCs w:val="18"/>
                <w:color w:val="auto"/>
                <w:w w:val="99"/>
              </w:rPr>
              <w:t>(36)</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September 30, 2021</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9.85</w:t>
            </w: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6.88</w:t>
            </w:r>
          </w:p>
        </w:tc>
        <w:tc>
          <w:tcPr>
            <w:tcW w:w="11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6.28</w:t>
            </w:r>
          </w:p>
        </w:tc>
        <w:tc>
          <w:tcPr>
            <w:tcW w:w="1820" w:type="dxa"/>
            <w:vAlign w:val="bottom"/>
            <w:gridSpan w:val="2"/>
          </w:tcPr>
          <w:p>
            <w:pPr>
              <w:jc w:val="center"/>
              <w:ind w:left="434"/>
              <w:spacing w:after="0"/>
              <w:rPr>
                <w:sz w:val="20"/>
                <w:szCs w:val="20"/>
                <w:color w:val="auto"/>
              </w:rPr>
            </w:pPr>
            <w:r>
              <w:rPr>
                <w:rFonts w:ascii="Times New Roman" w:cs="Times New Roman" w:eastAsia="Times New Roman" w:hAnsi="Times New Roman"/>
                <w:sz w:val="18"/>
                <w:szCs w:val="18"/>
                <w:color w:val="auto"/>
                <w:w w:val="99"/>
              </w:rPr>
              <w:t>(30)</w:t>
            </w:r>
          </w:p>
        </w:tc>
        <w:tc>
          <w:tcPr>
            <w:tcW w:w="1820" w:type="dxa"/>
            <w:vAlign w:val="bottom"/>
            <w:gridSpan w:val="2"/>
          </w:tcPr>
          <w:p>
            <w:pPr>
              <w:jc w:val="center"/>
              <w:ind w:left="434"/>
              <w:spacing w:after="0"/>
              <w:rPr>
                <w:sz w:val="20"/>
                <w:szCs w:val="20"/>
                <w:color w:val="auto"/>
              </w:rPr>
            </w:pPr>
            <w:r>
              <w:rPr>
                <w:rFonts w:ascii="Times New Roman" w:cs="Times New Roman" w:eastAsia="Times New Roman" w:hAnsi="Times New Roman"/>
                <w:sz w:val="18"/>
                <w:szCs w:val="18"/>
                <w:color w:val="auto"/>
                <w:w w:val="99"/>
              </w:rPr>
              <w:t>(36)</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9.59</w:t>
            </w: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7.37</w:t>
            </w:r>
          </w:p>
        </w:tc>
        <w:tc>
          <w:tcPr>
            <w:tcW w:w="11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5.74</w:t>
            </w:r>
          </w:p>
        </w:tc>
        <w:tc>
          <w:tcPr>
            <w:tcW w:w="1820" w:type="dxa"/>
            <w:vAlign w:val="bottom"/>
            <w:gridSpan w:val="2"/>
            <w:shd w:val="clear" w:color="auto" w:fill="CCEEFF"/>
          </w:tcPr>
          <w:p>
            <w:pPr>
              <w:jc w:val="center"/>
              <w:ind w:left="434"/>
              <w:spacing w:after="0"/>
              <w:rPr>
                <w:sz w:val="20"/>
                <w:szCs w:val="20"/>
                <w:color w:val="auto"/>
              </w:rPr>
            </w:pPr>
            <w:r>
              <w:rPr>
                <w:rFonts w:ascii="Times New Roman" w:cs="Times New Roman" w:eastAsia="Times New Roman" w:hAnsi="Times New Roman"/>
                <w:sz w:val="18"/>
                <w:szCs w:val="18"/>
                <w:color w:val="auto"/>
                <w:w w:val="99"/>
              </w:rPr>
              <w:t>(23)</w:t>
            </w:r>
          </w:p>
        </w:tc>
        <w:tc>
          <w:tcPr>
            <w:tcW w:w="1820" w:type="dxa"/>
            <w:vAlign w:val="bottom"/>
            <w:gridSpan w:val="2"/>
            <w:shd w:val="clear" w:color="auto" w:fill="CCEEFF"/>
          </w:tcPr>
          <w:p>
            <w:pPr>
              <w:jc w:val="center"/>
              <w:ind w:left="434"/>
              <w:spacing w:after="0"/>
              <w:rPr>
                <w:sz w:val="20"/>
                <w:szCs w:val="20"/>
                <w:color w:val="auto"/>
              </w:rPr>
            </w:pPr>
            <w:r>
              <w:rPr>
                <w:rFonts w:ascii="Times New Roman" w:cs="Times New Roman" w:eastAsia="Times New Roman" w:hAnsi="Times New Roman"/>
                <w:sz w:val="18"/>
                <w:szCs w:val="18"/>
                <w:color w:val="auto"/>
                <w:w w:val="99"/>
              </w:rPr>
              <w:t>(40)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9.24</w:t>
            </w: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6.21</w:t>
            </w:r>
          </w:p>
        </w:tc>
        <w:tc>
          <w:tcPr>
            <w:tcW w:w="11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4.49</w:t>
            </w:r>
          </w:p>
        </w:tc>
        <w:tc>
          <w:tcPr>
            <w:tcW w:w="1820" w:type="dxa"/>
            <w:vAlign w:val="bottom"/>
            <w:gridSpan w:val="2"/>
          </w:tcPr>
          <w:p>
            <w:pPr>
              <w:jc w:val="center"/>
              <w:ind w:left="434"/>
              <w:spacing w:after="0"/>
              <w:rPr>
                <w:sz w:val="20"/>
                <w:szCs w:val="20"/>
                <w:color w:val="auto"/>
              </w:rPr>
            </w:pPr>
            <w:r>
              <w:rPr>
                <w:rFonts w:ascii="Times New Roman" w:cs="Times New Roman" w:eastAsia="Times New Roman" w:hAnsi="Times New Roman"/>
                <w:sz w:val="18"/>
                <w:szCs w:val="18"/>
                <w:color w:val="auto"/>
                <w:w w:val="99"/>
              </w:rPr>
              <w:t>(33)</w:t>
            </w:r>
          </w:p>
        </w:tc>
        <w:tc>
          <w:tcPr>
            <w:tcW w:w="1820" w:type="dxa"/>
            <w:vAlign w:val="bottom"/>
            <w:gridSpan w:val="2"/>
          </w:tcPr>
          <w:p>
            <w:pPr>
              <w:jc w:val="center"/>
              <w:ind w:left="434"/>
              <w:spacing w:after="0"/>
              <w:rPr>
                <w:sz w:val="20"/>
                <w:szCs w:val="20"/>
                <w:color w:val="auto"/>
              </w:rPr>
            </w:pPr>
            <w:r>
              <w:rPr>
                <w:rFonts w:ascii="Times New Roman" w:cs="Times New Roman" w:eastAsia="Times New Roman" w:hAnsi="Times New Roman"/>
                <w:sz w:val="18"/>
                <w:szCs w:val="18"/>
                <w:color w:val="auto"/>
                <w:w w:val="99"/>
              </w:rPr>
              <w:t>(51)</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8.78</w:t>
            </w: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4.62</w:t>
            </w:r>
          </w:p>
        </w:tc>
        <w:tc>
          <w:tcPr>
            <w:tcW w:w="11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2.85</w:t>
            </w:r>
          </w:p>
        </w:tc>
        <w:tc>
          <w:tcPr>
            <w:tcW w:w="1820" w:type="dxa"/>
            <w:vAlign w:val="bottom"/>
            <w:gridSpan w:val="2"/>
            <w:shd w:val="clear" w:color="auto" w:fill="CCEEFF"/>
          </w:tcPr>
          <w:p>
            <w:pPr>
              <w:jc w:val="center"/>
              <w:ind w:left="434"/>
              <w:spacing w:after="0"/>
              <w:rPr>
                <w:sz w:val="20"/>
                <w:szCs w:val="20"/>
                <w:color w:val="auto"/>
              </w:rPr>
            </w:pPr>
            <w:r>
              <w:rPr>
                <w:rFonts w:ascii="Times New Roman" w:cs="Times New Roman" w:eastAsia="Times New Roman" w:hAnsi="Times New Roman"/>
                <w:sz w:val="18"/>
                <w:szCs w:val="18"/>
                <w:color w:val="auto"/>
                <w:w w:val="99"/>
              </w:rPr>
              <w:t>(47)</w:t>
            </w:r>
          </w:p>
        </w:tc>
        <w:tc>
          <w:tcPr>
            <w:tcW w:w="1820" w:type="dxa"/>
            <w:vAlign w:val="bottom"/>
            <w:gridSpan w:val="2"/>
            <w:shd w:val="clear" w:color="auto" w:fill="CCEEFF"/>
          </w:tcPr>
          <w:p>
            <w:pPr>
              <w:jc w:val="center"/>
              <w:ind w:left="434"/>
              <w:spacing w:after="0"/>
              <w:rPr>
                <w:sz w:val="20"/>
                <w:szCs w:val="20"/>
                <w:color w:val="auto"/>
              </w:rPr>
            </w:pPr>
            <w:r>
              <w:rPr>
                <w:rFonts w:ascii="Times New Roman" w:cs="Times New Roman" w:eastAsia="Times New Roman" w:hAnsi="Times New Roman"/>
                <w:sz w:val="18"/>
                <w:szCs w:val="18"/>
                <w:color w:val="auto"/>
                <w:w w:val="99"/>
              </w:rPr>
              <w:t>(68)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September 30, 2020</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7.84</w:t>
            </w: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3.78</w:t>
            </w:r>
          </w:p>
        </w:tc>
        <w:tc>
          <w:tcPr>
            <w:tcW w:w="11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3.01</w:t>
            </w:r>
          </w:p>
        </w:tc>
        <w:tc>
          <w:tcPr>
            <w:tcW w:w="1820" w:type="dxa"/>
            <w:vAlign w:val="bottom"/>
            <w:gridSpan w:val="2"/>
            <w:shd w:val="clear" w:color="auto" w:fill="CCEEFF"/>
          </w:tcPr>
          <w:p>
            <w:pPr>
              <w:jc w:val="center"/>
              <w:ind w:left="434"/>
              <w:spacing w:after="0"/>
              <w:rPr>
                <w:sz w:val="20"/>
                <w:szCs w:val="20"/>
                <w:color w:val="auto"/>
              </w:rPr>
            </w:pPr>
            <w:r>
              <w:rPr>
                <w:rFonts w:ascii="Times New Roman" w:cs="Times New Roman" w:eastAsia="Times New Roman" w:hAnsi="Times New Roman"/>
                <w:sz w:val="18"/>
                <w:szCs w:val="18"/>
                <w:color w:val="auto"/>
                <w:w w:val="99"/>
              </w:rPr>
              <w:t>(52)</w:t>
            </w:r>
          </w:p>
        </w:tc>
        <w:tc>
          <w:tcPr>
            <w:tcW w:w="1820" w:type="dxa"/>
            <w:vAlign w:val="bottom"/>
            <w:gridSpan w:val="2"/>
            <w:shd w:val="clear" w:color="auto" w:fill="CCEEFF"/>
          </w:tcPr>
          <w:p>
            <w:pPr>
              <w:jc w:val="center"/>
              <w:ind w:left="434"/>
              <w:spacing w:after="0"/>
              <w:rPr>
                <w:sz w:val="20"/>
                <w:szCs w:val="20"/>
                <w:color w:val="auto"/>
              </w:rPr>
            </w:pPr>
            <w:r>
              <w:rPr>
                <w:rFonts w:ascii="Times New Roman" w:cs="Times New Roman" w:eastAsia="Times New Roman" w:hAnsi="Times New Roman"/>
                <w:sz w:val="18"/>
                <w:szCs w:val="18"/>
                <w:color w:val="auto"/>
                <w:w w:val="99"/>
              </w:rPr>
              <w:t>(62)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7.82</w:t>
            </w: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4.19</w:t>
            </w:r>
          </w:p>
        </w:tc>
        <w:tc>
          <w:tcPr>
            <w:tcW w:w="11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2.32</w:t>
            </w:r>
          </w:p>
        </w:tc>
        <w:tc>
          <w:tcPr>
            <w:tcW w:w="1820" w:type="dxa"/>
            <w:vAlign w:val="bottom"/>
            <w:gridSpan w:val="2"/>
          </w:tcPr>
          <w:p>
            <w:pPr>
              <w:jc w:val="center"/>
              <w:ind w:left="434"/>
              <w:spacing w:after="0"/>
              <w:rPr>
                <w:sz w:val="20"/>
                <w:szCs w:val="20"/>
                <w:color w:val="auto"/>
              </w:rPr>
            </w:pPr>
            <w:r>
              <w:rPr>
                <w:rFonts w:ascii="Times New Roman" w:cs="Times New Roman" w:eastAsia="Times New Roman" w:hAnsi="Times New Roman"/>
                <w:sz w:val="18"/>
                <w:szCs w:val="18"/>
                <w:color w:val="auto"/>
                <w:w w:val="99"/>
              </w:rPr>
              <w:t>(46)</w:t>
            </w:r>
          </w:p>
        </w:tc>
        <w:tc>
          <w:tcPr>
            <w:tcW w:w="1820" w:type="dxa"/>
            <w:vAlign w:val="bottom"/>
            <w:gridSpan w:val="2"/>
          </w:tcPr>
          <w:p>
            <w:pPr>
              <w:jc w:val="center"/>
              <w:ind w:left="434"/>
              <w:spacing w:after="0"/>
              <w:rPr>
                <w:sz w:val="20"/>
                <w:szCs w:val="20"/>
                <w:color w:val="auto"/>
              </w:rPr>
            </w:pPr>
            <w:r>
              <w:rPr>
                <w:rFonts w:ascii="Times New Roman" w:cs="Times New Roman" w:eastAsia="Times New Roman" w:hAnsi="Times New Roman"/>
                <w:sz w:val="18"/>
                <w:szCs w:val="18"/>
                <w:color w:val="auto"/>
                <w:w w:val="99"/>
              </w:rPr>
              <w:t>(70)</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7.71</w:t>
            </w: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6.70</w:t>
            </w:r>
          </w:p>
        </w:tc>
        <w:tc>
          <w:tcPr>
            <w:tcW w:w="11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1.95</w:t>
            </w:r>
          </w:p>
        </w:tc>
        <w:tc>
          <w:tcPr>
            <w:tcW w:w="1820" w:type="dxa"/>
            <w:vAlign w:val="bottom"/>
            <w:gridSpan w:val="2"/>
            <w:shd w:val="clear" w:color="auto" w:fill="CCEEFF"/>
          </w:tcPr>
          <w:p>
            <w:pPr>
              <w:jc w:val="center"/>
              <w:ind w:left="434"/>
              <w:spacing w:after="0"/>
              <w:rPr>
                <w:sz w:val="20"/>
                <w:szCs w:val="20"/>
                <w:color w:val="auto"/>
              </w:rPr>
            </w:pPr>
            <w:r>
              <w:rPr>
                <w:rFonts w:ascii="Times New Roman" w:cs="Times New Roman" w:eastAsia="Times New Roman" w:hAnsi="Times New Roman"/>
                <w:sz w:val="18"/>
                <w:szCs w:val="18"/>
                <w:color w:val="auto"/>
                <w:w w:val="99"/>
              </w:rPr>
              <w:t>(13)</w:t>
            </w:r>
          </w:p>
        </w:tc>
        <w:tc>
          <w:tcPr>
            <w:tcW w:w="1820" w:type="dxa"/>
            <w:vAlign w:val="bottom"/>
            <w:gridSpan w:val="2"/>
            <w:shd w:val="clear" w:color="auto" w:fill="CCEEFF"/>
          </w:tcPr>
          <w:p>
            <w:pPr>
              <w:jc w:val="center"/>
              <w:ind w:left="434"/>
              <w:spacing w:after="0"/>
              <w:rPr>
                <w:sz w:val="20"/>
                <w:szCs w:val="20"/>
                <w:color w:val="auto"/>
              </w:rPr>
            </w:pPr>
            <w:r>
              <w:rPr>
                <w:rFonts w:ascii="Times New Roman" w:cs="Times New Roman" w:eastAsia="Times New Roman" w:hAnsi="Times New Roman"/>
                <w:sz w:val="18"/>
                <w:szCs w:val="18"/>
                <w:color w:val="auto"/>
                <w:w w:val="99"/>
              </w:rPr>
              <w:t>(75)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34"/>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8.79</w:t>
            </w: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6.84</w:t>
            </w:r>
          </w:p>
        </w:tc>
        <w:tc>
          <w:tcPr>
            <w:tcW w:w="11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5.92</w:t>
            </w:r>
          </w:p>
        </w:tc>
        <w:tc>
          <w:tcPr>
            <w:tcW w:w="1820" w:type="dxa"/>
            <w:vAlign w:val="bottom"/>
            <w:gridSpan w:val="2"/>
          </w:tcPr>
          <w:p>
            <w:pPr>
              <w:jc w:val="center"/>
              <w:ind w:left="434"/>
              <w:spacing w:after="0"/>
              <w:rPr>
                <w:sz w:val="20"/>
                <w:szCs w:val="20"/>
                <w:color w:val="auto"/>
              </w:rPr>
            </w:pPr>
            <w:r>
              <w:rPr>
                <w:rFonts w:ascii="Times New Roman" w:cs="Times New Roman" w:eastAsia="Times New Roman" w:hAnsi="Times New Roman"/>
                <w:sz w:val="18"/>
                <w:szCs w:val="18"/>
                <w:color w:val="auto"/>
                <w:w w:val="99"/>
              </w:rPr>
              <w:t>(22)</w:t>
            </w:r>
          </w:p>
        </w:tc>
        <w:tc>
          <w:tcPr>
            <w:tcW w:w="1820" w:type="dxa"/>
            <w:vAlign w:val="bottom"/>
            <w:gridSpan w:val="2"/>
          </w:tcPr>
          <w:p>
            <w:pPr>
              <w:jc w:val="center"/>
              <w:ind w:left="434"/>
              <w:spacing w:after="0"/>
              <w:rPr>
                <w:sz w:val="20"/>
                <w:szCs w:val="20"/>
                <w:color w:val="auto"/>
              </w:rPr>
            </w:pPr>
            <w:r>
              <w:rPr>
                <w:rFonts w:ascii="Times New Roman" w:cs="Times New Roman" w:eastAsia="Times New Roman" w:hAnsi="Times New Roman"/>
                <w:sz w:val="18"/>
                <w:szCs w:val="18"/>
                <w:color w:val="auto"/>
                <w:w w:val="99"/>
              </w:rPr>
              <w:t>(33)</w:t>
            </w:r>
          </w:p>
        </w:tc>
        <w:tc>
          <w:tcPr>
            <w:tcW w:w="12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ind w:left="540" w:right="160" w:hanging="424"/>
        <w:spacing w:after="0" w:line="261"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540" w:hanging="424"/>
        <w:spacing w:after="0"/>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of the respective high or low closing sales price less NAV per share, divided by the quarter-end NAV per share.</w:t>
      </w:r>
    </w:p>
    <w:p>
      <w:pPr>
        <w:spacing w:after="0" w:line="207"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Shares of BDCs may trade at a market price both above and below the NAV that is attributable to those shares. During the periods covered in the above table, our shares have traded below our NAV. Our shares closed on The Nasdaq Global Select Market at $6.93 and $6.49 on December 31, 2021 and September 30, 2021, respectively. Our NAV per share was $10.11 and $9.85 as of December 31, 2021 and September 30, 2021,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March 31, 2022, we had 6 stockholders of record.</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455" w:right="4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SALES OF COMMON STOCK BELOW NET ASSET VALUE</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stockholders have in the past and may again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85" w:lineRule="exact"/>
        <w:rPr>
          <w:sz w:val="20"/>
          <w:szCs w:val="20"/>
          <w:color w:val="auto"/>
        </w:rPr>
      </w:pPr>
    </w:p>
    <w:p>
      <w:pPr>
        <w:ind w:left="1080" w:right="2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that an offering below NAV per share would have on our stockholders, including the potential dilution they would experience as a result of the offering;</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per share by which the offering price per share and the net proceeds per share are less than the most recently determined NAV per share;</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relationship of recent market prices of our common stock to NAV per share and the potential impact of the offering on the market price per share of our common stock;</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estimated offering price would closely approximate the market value of our shares, less distributing commissions or discounts, and would not be below current market price;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market impact of being able to raise capital in the current financial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any new investors anticipated to acquire shares in the offering;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rate of return on and quality, type and availability of investments;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leverage available to us and our SBIC Fund, both before and after the offering and other borrowing terms;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investment opportunities available relative to the potential dilutive effect of additional capital at the time of the offering.</w:t>
      </w:r>
    </w:p>
    <w:p>
      <w:pPr>
        <w:spacing w:after="0" w:line="225"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Investment or from the offering of common stock at premium to NAV per share.</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62" w:lineRule="exact"/>
        <w:rPr>
          <w:sz w:val="20"/>
          <w:szCs w:val="20"/>
          <w:color w:val="auto"/>
        </w:rPr>
      </w:pPr>
    </w:p>
    <w:p>
      <w:pPr>
        <w:ind w:left="120" w:right="180" w:firstLine="440"/>
        <w:spacing w:after="0" w:line="268" w:lineRule="auto"/>
        <w:rPr>
          <w:sz w:val="20"/>
          <w:szCs w:val="20"/>
          <w:color w:val="auto"/>
        </w:rPr>
      </w:pPr>
      <w:r>
        <w:rPr>
          <w:rFonts w:ascii="Times New Roman" w:cs="Times New Roman" w:eastAsia="Times New Roman" w:hAnsi="Times New Roman"/>
          <w:sz w:val="17"/>
          <w:szCs w:val="17"/>
          <w:color w:val="auto"/>
        </w:rPr>
        <w:t>We will not seek to sell shares under a prospectus supplement to the registration statement, or a post-effective amendment to the registration statement, of which this prospectus forms a part (the “current registration statement”) if the cumulative dilution to our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For example, if our most recently determined NAV per share at the time of the first offering is $10.00, and we</w:t>
      </w:r>
    </w:p>
    <w:p>
      <w:pPr>
        <w:spacing w:after="0" w:line="5" w:lineRule="exact"/>
        <w:rPr>
          <w:sz w:val="20"/>
          <w:szCs w:val="20"/>
          <w:color w:val="auto"/>
        </w:rPr>
      </w:pPr>
    </w:p>
    <w:p>
      <w:pPr>
        <w:ind w:left="120" w:right="60"/>
        <w:spacing w:after="0" w:line="250" w:lineRule="auto"/>
        <w:rPr>
          <w:sz w:val="20"/>
          <w:szCs w:val="20"/>
          <w:color w:val="auto"/>
        </w:rPr>
      </w:pPr>
      <w:r>
        <w:rPr>
          <w:rFonts w:ascii="Times New Roman" w:cs="Times New Roman" w:eastAsia="Times New Roman" w:hAnsi="Times New Roman"/>
          <w:sz w:val="18"/>
          <w:szCs w:val="18"/>
          <w:color w:val="auto"/>
        </w:rPr>
        <w:t>have 100 million shares outstanding, the sale of an additional 25 million shares at net proceeds to us of $5.00 per share (a 50% discount) would produce dilution of 10.0%. If we subsequently determined that our NAV per share increased to $11.00 on the then outstanding 125 million</w:t>
      </w:r>
    </w:p>
    <w:p>
      <w:pPr>
        <w:spacing w:after="0" w:line="1" w:lineRule="exact"/>
        <w:rPr>
          <w:sz w:val="20"/>
          <w:szCs w:val="20"/>
          <w:color w:val="auto"/>
        </w:rPr>
      </w:pPr>
    </w:p>
    <w:p>
      <w:pPr>
        <w:ind w:left="120" w:right="240"/>
        <w:spacing w:after="0" w:line="255" w:lineRule="auto"/>
        <w:rPr>
          <w:sz w:val="20"/>
          <w:szCs w:val="20"/>
          <w:color w:val="auto"/>
        </w:rPr>
      </w:pPr>
      <w:r>
        <w:rPr>
          <w:rFonts w:ascii="Times New Roman" w:cs="Times New Roman" w:eastAsia="Times New Roman" w:hAnsi="Times New Roman"/>
          <w:sz w:val="18"/>
          <w:szCs w:val="18"/>
          <w:color w:val="auto"/>
        </w:rPr>
        <w:t>shares and contemplated an additional offering, we could, for example, propose to sell approximately 31.25 million additional shares at a price that would be expected to yield net proceeds to us of $8.25 per share, resulting in incremental dilution of 5.0%, before we would reach the aggregate 15% limit. If we file a new post-effective amendment, the threshold would reset.</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67"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stockholders who do not purchase any shares in the offering;</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stockholders who purchase a relatively small amount of shares in the offering or a relatively large amount of shares in the offering;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investors who become stockholders by purchasing shares in the offering.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Impact on Existing Stockholders who do not Participate in the Offering</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Our existing stockholders who do not participate, or who are not given the opportunity to participate, in an offering below NAV per share or who do not buy additional shares in the secondary market at the same or lower price we obtain in the offering (after any underwriting discounts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89"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effect on nonparticipating Stockholder A of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left="341"/>
              <w:spacing w:after="0"/>
              <w:rPr>
                <w:sz w:val="20"/>
                <w:szCs w:val="20"/>
                <w:color w:val="auto"/>
              </w:rPr>
            </w:pPr>
            <w:r>
              <w:rPr>
                <w:rFonts w:ascii="Times New Roman" w:cs="Times New Roman" w:eastAsia="Times New Roman" w:hAnsi="Times New Roman"/>
                <w:sz w:val="14"/>
                <w:szCs w:val="14"/>
                <w:b w:val="1"/>
                <w:bCs w:val="1"/>
                <w:color w:val="auto"/>
              </w:rPr>
              <w:t>Example 1</w:t>
            </w: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left="343"/>
              <w:spacing w:after="0"/>
              <w:rPr>
                <w:sz w:val="20"/>
                <w:szCs w:val="20"/>
                <w:color w:val="auto"/>
              </w:rPr>
            </w:pPr>
            <w:r>
              <w:rPr>
                <w:rFonts w:ascii="Times New Roman" w:cs="Times New Roman" w:eastAsia="Times New Roman" w:hAnsi="Times New Roman"/>
                <w:sz w:val="14"/>
                <w:szCs w:val="14"/>
                <w:b w:val="1"/>
                <w:bCs w:val="1"/>
                <w:color w:val="auto"/>
              </w:rPr>
              <w:t>Example 2</w:t>
            </w: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left="343"/>
              <w:spacing w:after="0"/>
              <w:rPr>
                <w:sz w:val="20"/>
                <w:szCs w:val="20"/>
                <w:color w:val="auto"/>
              </w:rPr>
            </w:pPr>
            <w:r>
              <w:rPr>
                <w:rFonts w:ascii="Times New Roman" w:cs="Times New Roman" w:eastAsia="Times New Roman" w:hAnsi="Times New Roman"/>
                <w:sz w:val="14"/>
                <w:szCs w:val="14"/>
                <w:b w:val="1"/>
                <w:bCs w:val="1"/>
                <w:color w:val="auto"/>
              </w:rPr>
              <w:t>Example 3</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gridSpan w:val="4"/>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5% Offering</w:t>
            </w:r>
          </w:p>
        </w:tc>
        <w:tc>
          <w:tcPr>
            <w:tcW w:w="80" w:type="dxa"/>
            <w:vAlign w:val="bottom"/>
          </w:tcPr>
          <w:p>
            <w:pPr>
              <w:spacing w:after="0"/>
              <w:rPr>
                <w:sz w:val="12"/>
                <w:szCs w:val="12"/>
                <w:color w:val="auto"/>
              </w:rPr>
            </w:pPr>
          </w:p>
        </w:tc>
        <w:tc>
          <w:tcPr>
            <w:tcW w:w="1960" w:type="dxa"/>
            <w:vAlign w:val="bottom"/>
            <w:gridSpan w:val="4"/>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10% Offering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4"/>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25% Offering</w:t>
            </w:r>
          </w:p>
        </w:tc>
        <w:tc>
          <w:tcPr>
            <w:tcW w:w="0" w:type="dxa"/>
            <w:vAlign w:val="bottom"/>
          </w:tcPr>
          <w:p>
            <w:pPr>
              <w:spacing w:after="0"/>
              <w:rPr>
                <w:sz w:val="1"/>
                <w:szCs w:val="1"/>
                <w:color w:val="auto"/>
              </w:rPr>
            </w:pPr>
          </w:p>
        </w:tc>
      </w:tr>
      <w:tr>
        <w:trPr>
          <w:trHeight w:val="173"/>
        </w:trPr>
        <w:tc>
          <w:tcPr>
            <w:tcW w:w="3460" w:type="dxa"/>
            <w:vAlign w:val="bottom"/>
          </w:tcPr>
          <w:p>
            <w:pPr>
              <w:spacing w:after="0"/>
              <w:rPr>
                <w:sz w:val="15"/>
                <w:szCs w:val="15"/>
                <w:color w:val="auto"/>
              </w:rPr>
            </w:pPr>
          </w:p>
        </w:tc>
        <w:tc>
          <w:tcPr>
            <w:tcW w:w="1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Prior to Sale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gridSpan w:val="4"/>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at 5% Discount</w:t>
            </w:r>
          </w:p>
        </w:tc>
        <w:tc>
          <w:tcPr>
            <w:tcW w:w="80" w:type="dxa"/>
            <w:vAlign w:val="bottom"/>
          </w:tcPr>
          <w:p>
            <w:pPr>
              <w:spacing w:after="0"/>
              <w:rPr>
                <w:sz w:val="15"/>
                <w:szCs w:val="15"/>
                <w:color w:val="auto"/>
              </w:rPr>
            </w:pPr>
          </w:p>
        </w:tc>
        <w:tc>
          <w:tcPr>
            <w:tcW w:w="196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at 10% Discount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at 25% Discount</w:t>
            </w:r>
          </w:p>
        </w:tc>
        <w:tc>
          <w:tcPr>
            <w:tcW w:w="0" w:type="dxa"/>
            <w:vAlign w:val="bottom"/>
          </w:tcPr>
          <w:p>
            <w:pPr>
              <w:spacing w:after="0"/>
              <w:rPr>
                <w:sz w:val="1"/>
                <w:szCs w:val="1"/>
                <w:color w:val="auto"/>
              </w:rPr>
            </w:pPr>
          </w:p>
        </w:tc>
      </w:tr>
      <w:tr>
        <w:trPr>
          <w:trHeight w:val="117"/>
        </w:trPr>
        <w:tc>
          <w:tcPr>
            <w:tcW w:w="346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7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7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460" w:type="dxa"/>
            <w:vAlign w:val="bottom"/>
          </w:tcPr>
          <w:p>
            <w:pPr>
              <w:spacing w:after="0"/>
              <w:rPr>
                <w:sz w:val="15"/>
                <w:szCs w:val="15"/>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Below NAV</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Sale</w:t>
            </w: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11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Sale</w:t>
            </w: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346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i w:val="1"/>
                <w:iCs w:val="1"/>
                <w:color w:val="auto"/>
              </w:rPr>
              <w:t>Offering Price</w:t>
            </w: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Price per share to public</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460" w:type="dxa"/>
            <w:vAlign w:val="bottom"/>
          </w:tcPr>
          <w:p>
            <w:pPr>
              <w:spacing w:after="0"/>
              <w:rPr>
                <w:sz w:val="18"/>
                <w:szCs w:val="18"/>
                <w:color w:val="auto"/>
              </w:rPr>
            </w:pPr>
          </w:p>
        </w:tc>
        <w:tc>
          <w:tcPr>
            <w:tcW w:w="10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9.47</w:t>
            </w: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46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offering proceeds per share to issuer</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9.00</w:t>
            </w:r>
          </w:p>
        </w:tc>
        <w:tc>
          <w:tcPr>
            <w:tcW w:w="8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Decrease to NAV</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shares outstanding</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1,000,000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1,050,000</w:t>
            </w:r>
          </w:p>
        </w:tc>
        <w:tc>
          <w:tcPr>
            <w:tcW w:w="4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5.00%</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w w:val="99"/>
              </w:rPr>
              <w:t>1,100,000</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1,250,000</w:t>
            </w:r>
          </w:p>
        </w:tc>
        <w:tc>
          <w:tcPr>
            <w:tcW w:w="4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25.00%</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NAV per share</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46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(0.20)%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9.91</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(0.90)%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46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Dilution to Stockholder A</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Shares held by stockholder A</w:t>
            </w: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10,000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460" w:type="dxa"/>
            <w:vAlign w:val="bottom"/>
          </w:tcPr>
          <w:p>
            <w:pPr>
              <w:spacing w:after="0"/>
              <w:rPr>
                <w:sz w:val="18"/>
                <w:szCs w:val="18"/>
                <w:color w:val="auto"/>
              </w:rPr>
            </w:pPr>
          </w:p>
        </w:tc>
        <w:tc>
          <w:tcPr>
            <w:tcW w:w="10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10,000</w:t>
            </w: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46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Percentage held by stockholder A</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0.95%</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(5.00)%</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0.91%</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0.80%</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(20.00)%</w:t>
            </w:r>
          </w:p>
        </w:tc>
        <w:tc>
          <w:tcPr>
            <w:tcW w:w="0" w:type="dxa"/>
            <w:vAlign w:val="bottom"/>
          </w:tcPr>
          <w:p>
            <w:pPr>
              <w:spacing w:after="0"/>
              <w:rPr>
                <w:sz w:val="1"/>
                <w:szCs w:val="1"/>
                <w:color w:val="auto"/>
              </w:rPr>
            </w:pPr>
          </w:p>
        </w:tc>
      </w:tr>
      <w:tr>
        <w:trPr>
          <w:trHeight w:val="365"/>
        </w:trPr>
        <w:tc>
          <w:tcPr>
            <w:tcW w:w="3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w:t>
            </w: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gridSpan w:val="4"/>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Example 1</w:t>
            </w:r>
          </w:p>
        </w:tc>
        <w:tc>
          <w:tcPr>
            <w:tcW w:w="80" w:type="dxa"/>
            <w:vAlign w:val="bottom"/>
          </w:tcPr>
          <w:p>
            <w:pPr>
              <w:spacing w:after="0"/>
              <w:rPr>
                <w:sz w:val="13"/>
                <w:szCs w:val="13"/>
                <w:color w:val="auto"/>
              </w:rPr>
            </w:pPr>
          </w:p>
        </w:tc>
        <w:tc>
          <w:tcPr>
            <w:tcW w:w="1760" w:type="dxa"/>
            <w:vAlign w:val="bottom"/>
            <w:gridSpan w:val="4"/>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Example 2</w:t>
            </w:r>
          </w:p>
        </w:tc>
        <w:tc>
          <w:tcPr>
            <w:tcW w:w="80" w:type="dxa"/>
            <w:vAlign w:val="bottom"/>
          </w:tcPr>
          <w:p>
            <w:pPr>
              <w:spacing w:after="0"/>
              <w:rPr>
                <w:sz w:val="13"/>
                <w:szCs w:val="13"/>
                <w:color w:val="auto"/>
              </w:rPr>
            </w:pPr>
          </w:p>
        </w:tc>
        <w:tc>
          <w:tcPr>
            <w:tcW w:w="154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Example 3</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4"/>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5% Offering</w:t>
            </w:r>
          </w:p>
        </w:tc>
        <w:tc>
          <w:tcPr>
            <w:tcW w:w="80" w:type="dxa"/>
            <w:vAlign w:val="bottom"/>
          </w:tcPr>
          <w:p>
            <w:pPr>
              <w:spacing w:after="0"/>
              <w:rPr>
                <w:sz w:val="12"/>
                <w:szCs w:val="12"/>
                <w:color w:val="auto"/>
              </w:rPr>
            </w:pPr>
          </w:p>
        </w:tc>
        <w:tc>
          <w:tcPr>
            <w:tcW w:w="1760" w:type="dxa"/>
            <w:vAlign w:val="bottom"/>
            <w:gridSpan w:val="4"/>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10% Offering</w:t>
            </w:r>
          </w:p>
        </w:tc>
        <w:tc>
          <w:tcPr>
            <w:tcW w:w="80" w:type="dxa"/>
            <w:vAlign w:val="bottom"/>
          </w:tcPr>
          <w:p>
            <w:pPr>
              <w:spacing w:after="0"/>
              <w:rPr>
                <w:sz w:val="12"/>
                <w:szCs w:val="12"/>
                <w:color w:val="auto"/>
              </w:rPr>
            </w:pPr>
          </w:p>
        </w:tc>
        <w:tc>
          <w:tcPr>
            <w:tcW w:w="1540" w:type="dxa"/>
            <w:vAlign w:val="bottom"/>
            <w:gridSpan w:val="4"/>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25% Offering</w:t>
            </w: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Prior to Sale</w:t>
            </w:r>
          </w:p>
        </w:tc>
        <w:tc>
          <w:tcPr>
            <w:tcW w:w="80" w:type="dxa"/>
            <w:vAlign w:val="bottom"/>
          </w:tcPr>
          <w:p>
            <w:pPr>
              <w:spacing w:after="0"/>
              <w:rPr>
                <w:sz w:val="15"/>
                <w:szCs w:val="15"/>
                <w:color w:val="auto"/>
              </w:rPr>
            </w:pPr>
          </w:p>
        </w:tc>
        <w:tc>
          <w:tcPr>
            <w:tcW w:w="1760" w:type="dxa"/>
            <w:vAlign w:val="bottom"/>
            <w:gridSpan w:val="4"/>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at 5% Discount</w:t>
            </w:r>
          </w:p>
        </w:tc>
        <w:tc>
          <w:tcPr>
            <w:tcW w:w="80" w:type="dxa"/>
            <w:vAlign w:val="bottom"/>
          </w:tcPr>
          <w:p>
            <w:pPr>
              <w:spacing w:after="0"/>
              <w:rPr>
                <w:sz w:val="15"/>
                <w:szCs w:val="15"/>
                <w:color w:val="auto"/>
              </w:rPr>
            </w:pPr>
          </w:p>
        </w:tc>
        <w:tc>
          <w:tcPr>
            <w:tcW w:w="1760" w:type="dxa"/>
            <w:vAlign w:val="bottom"/>
            <w:gridSpan w:val="4"/>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at 10% Discount</w:t>
            </w:r>
          </w:p>
        </w:tc>
        <w:tc>
          <w:tcPr>
            <w:tcW w:w="80" w:type="dxa"/>
            <w:vAlign w:val="bottom"/>
          </w:tcPr>
          <w:p>
            <w:pPr>
              <w:spacing w:after="0"/>
              <w:rPr>
                <w:sz w:val="15"/>
                <w:szCs w:val="15"/>
                <w:color w:val="auto"/>
              </w:rPr>
            </w:pPr>
          </w:p>
        </w:tc>
        <w:tc>
          <w:tcPr>
            <w:tcW w:w="154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at 25% Discount</w:t>
            </w:r>
          </w:p>
        </w:tc>
        <w:tc>
          <w:tcPr>
            <w:tcW w:w="0" w:type="dxa"/>
            <w:vAlign w:val="bottom"/>
          </w:tcPr>
          <w:p>
            <w:pPr>
              <w:spacing w:after="0"/>
              <w:rPr>
                <w:sz w:val="1"/>
                <w:szCs w:val="1"/>
                <w:color w:val="auto"/>
              </w:rPr>
            </w:pPr>
          </w:p>
        </w:tc>
      </w:tr>
      <w:tr>
        <w:trPr>
          <w:trHeight w:val="117"/>
        </w:trPr>
        <w:tc>
          <w:tcPr>
            <w:tcW w:w="466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92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Pr>
          <w:p>
            <w:pPr>
              <w:spacing w:after="0"/>
              <w:rPr>
                <w:sz w:val="10"/>
                <w:szCs w:val="10"/>
                <w:color w:val="auto"/>
              </w:rPr>
            </w:pPr>
          </w:p>
        </w:tc>
        <w:tc>
          <w:tcPr>
            <w:tcW w:w="92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60" w:type="dxa"/>
            <w:vAlign w:val="bottom"/>
            <w:tcBorders>
              <w:top w:val="single" w:sz="8" w:color="auto"/>
            </w:tcBorders>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Pr>
          <w:p>
            <w:pPr>
              <w:spacing w:after="0"/>
              <w:rPr>
                <w:sz w:val="10"/>
                <w:szCs w:val="10"/>
                <w:color w:val="auto"/>
              </w:rPr>
            </w:pPr>
          </w:p>
        </w:tc>
        <w:tc>
          <w:tcPr>
            <w:tcW w:w="90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Below NAV</w:t>
            </w:r>
          </w:p>
        </w:tc>
        <w:tc>
          <w:tcPr>
            <w:tcW w:w="80" w:type="dxa"/>
            <w:vAlign w:val="bottom"/>
          </w:tcPr>
          <w:p>
            <w:pPr>
              <w:spacing w:after="0"/>
              <w:rPr>
                <w:sz w:val="15"/>
                <w:szCs w:val="15"/>
                <w:color w:val="auto"/>
              </w:rPr>
            </w:pPr>
          </w:p>
        </w:tc>
        <w:tc>
          <w:tcPr>
            <w:tcW w:w="8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Sale</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8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Sale</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8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466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Total Asset Values</w:t>
            </w:r>
          </w:p>
        </w:tc>
        <w:tc>
          <w:tcPr>
            <w:tcW w:w="1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NAV held by stockholder A</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100,000</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99,800</w:t>
            </w:r>
          </w:p>
        </w:tc>
        <w:tc>
          <w:tcPr>
            <w:tcW w:w="320" w:type="dxa"/>
            <w:vAlign w:val="bottom"/>
          </w:tcPr>
          <w:p>
            <w:pPr>
              <w:spacing w:after="0"/>
              <w:rPr>
                <w:sz w:val="17"/>
                <w:szCs w:val="17"/>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(0.20)%</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99,100</w:t>
            </w:r>
          </w:p>
        </w:tc>
        <w:tc>
          <w:tcPr>
            <w:tcW w:w="320" w:type="dxa"/>
            <w:vAlign w:val="bottom"/>
          </w:tcPr>
          <w:p>
            <w:pPr>
              <w:spacing w:after="0"/>
              <w:rPr>
                <w:sz w:val="17"/>
                <w:szCs w:val="17"/>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(0.90)%</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95,000</w:t>
            </w:r>
          </w:p>
        </w:tc>
        <w:tc>
          <w:tcPr>
            <w:tcW w:w="30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189"/>
        </w:trPr>
        <w:tc>
          <w:tcPr>
            <w:tcW w:w="4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investment by stockholder A (assumed to be $10.00 per</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share)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100,000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100,000</w:t>
            </w:r>
          </w:p>
        </w:tc>
        <w:tc>
          <w:tcPr>
            <w:tcW w:w="3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100,000</w:t>
            </w:r>
          </w:p>
        </w:tc>
        <w:tc>
          <w:tcPr>
            <w:tcW w:w="3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100,000</w:t>
            </w:r>
          </w:p>
        </w:tc>
        <w:tc>
          <w:tcPr>
            <w:tcW w:w="30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6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dilution to stockholder A (total NAV less total</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investment)</w:t>
            </w:r>
          </w:p>
        </w:tc>
        <w:tc>
          <w:tcPr>
            <w:tcW w:w="18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(200)</w:t>
            </w: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(900)</w:t>
            </w: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(5,000)</w:t>
            </w:r>
          </w:p>
        </w:tc>
        <w:tc>
          <w:tcPr>
            <w:tcW w:w="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Per Share Amounts</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NAV per share held by stockholder A</w:t>
            </w:r>
          </w:p>
        </w:tc>
        <w:tc>
          <w:tcPr>
            <w:tcW w:w="18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320" w:type="dxa"/>
            <w:vAlign w:val="bottom"/>
          </w:tcPr>
          <w:p>
            <w:pPr>
              <w:spacing w:after="0"/>
              <w:rPr>
                <w:sz w:val="18"/>
                <w:szCs w:val="18"/>
                <w:color w:val="auto"/>
              </w:rPr>
            </w:pP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320" w:type="dxa"/>
            <w:vAlign w:val="bottom"/>
          </w:tcPr>
          <w:p>
            <w:pPr>
              <w:spacing w:after="0"/>
              <w:rPr>
                <w:sz w:val="18"/>
                <w:szCs w:val="18"/>
                <w:color w:val="auto"/>
              </w:rPr>
            </w:pP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3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4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Investment per share held by stockholder A (assumed to be</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$10.00 per share on shares held prior to sale)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3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3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30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6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Dilution per share held by stockholder A (NAV per share less</w:t>
            </w:r>
          </w:p>
        </w:tc>
        <w:tc>
          <w:tcPr>
            <w:tcW w:w="180" w:type="dxa"/>
            <w:vAlign w:val="bottom"/>
          </w:tcPr>
          <w:p>
            <w:pPr>
              <w:spacing w:after="0"/>
              <w:rPr>
                <w:sz w:val="16"/>
                <w:szCs w:val="16"/>
                <w:color w:val="auto"/>
              </w:rPr>
            </w:pPr>
          </w:p>
        </w:tc>
        <w:tc>
          <w:tcPr>
            <w:tcW w:w="8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investment per share)</w:t>
            </w:r>
          </w:p>
        </w:tc>
        <w:tc>
          <w:tcPr>
            <w:tcW w:w="1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(0.02)</w:t>
            </w: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(0.09)</w:t>
            </w: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(0.50)</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4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Percentage dilution to stockholder A (dilution per share divided</w:t>
            </w:r>
          </w:p>
        </w:tc>
        <w:tc>
          <w:tcPr>
            <w:tcW w:w="18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by investment per share)</w:t>
            </w:r>
          </w:p>
        </w:tc>
        <w:tc>
          <w:tcPr>
            <w:tcW w:w="1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(0.20)%</w:t>
            </w:r>
          </w:p>
        </w:tc>
        <w:tc>
          <w:tcPr>
            <w:tcW w:w="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(0.90)%</w:t>
            </w:r>
          </w:p>
        </w:tc>
        <w:tc>
          <w:tcPr>
            <w:tcW w:w="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Impact on Existing Stockholders who Participate in the Offering</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Our existing stockholders who participate in an offering below NAV per share or who buy additional shares in the secondary market at the same or lower price as we obtain in the offering (after any underwriting discounts and commissions) will experience the same types of NAV dilution as the nonparticipating stockholders, albeit at a lower level, to the extent they purchase less than the same percentage of the offering below NAV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offerings below NAV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87"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 in the hypothetical offering of 25% of the shares outstanding at a 25% discount to NAV from the prior chart for stockholder A that acquires shares equal to (1) 50% of their proportionate share of the offering (i.e., 1,250 shares which is 0.50% of the offering of 250,000 shares rather than their 1.00% proportionate share) and (2) 150% of</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40"/>
          </w:cols>
          <w:pgMar w:left="320" w:top="455" w:right="4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their proportionate share of the offering (i.e., 3,750 shares which is 1.50% of the offering of 250,000 shares rather than their 1.00% proportionate share).</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Prior to Sale</w:t>
            </w:r>
          </w:p>
        </w:tc>
        <w:tc>
          <w:tcPr>
            <w:tcW w:w="80" w:type="dxa"/>
            <w:vAlign w:val="bottom"/>
          </w:tcPr>
          <w:p>
            <w:pPr>
              <w:spacing w:after="0"/>
              <w:rPr>
                <w:sz w:val="15"/>
                <w:szCs w:val="15"/>
                <w:color w:val="auto"/>
              </w:rPr>
            </w:pPr>
          </w:p>
        </w:tc>
        <w:tc>
          <w:tcPr>
            <w:tcW w:w="204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50% Participation</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150% Participation</w:t>
            </w:r>
          </w:p>
        </w:tc>
        <w:tc>
          <w:tcPr>
            <w:tcW w:w="0" w:type="dxa"/>
            <w:vAlign w:val="bottom"/>
          </w:tcPr>
          <w:p>
            <w:pPr>
              <w:spacing w:after="0"/>
              <w:rPr>
                <w:sz w:val="1"/>
                <w:szCs w:val="1"/>
                <w:color w:val="auto"/>
              </w:rPr>
            </w:pPr>
          </w:p>
        </w:tc>
      </w:tr>
      <w:tr>
        <w:trPr>
          <w:trHeight w:val="117"/>
        </w:trPr>
        <w:tc>
          <w:tcPr>
            <w:tcW w:w="5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1260" w:type="dxa"/>
            <w:vAlign w:val="bottom"/>
            <w:tcBorders>
              <w:top w:val="single" w:sz="8" w:color="auto"/>
            </w:tcBorders>
            <w:gridSpan w:val="3"/>
          </w:tcPr>
          <w:p>
            <w:pPr>
              <w:jc w:val="right"/>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101"/>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Borders>
              <w:top w:val="single" w:sz="8" w:color="auto"/>
            </w:tcBorders>
            <w:gridSpan w:val="3"/>
          </w:tcPr>
          <w:p>
            <w:pPr>
              <w:jc w:val="right"/>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81"/>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Below NAV</w:t>
            </w:r>
          </w:p>
        </w:tc>
        <w:tc>
          <w:tcPr>
            <w:tcW w:w="80" w:type="dxa"/>
            <w:vAlign w:val="bottom"/>
          </w:tcPr>
          <w:p>
            <w:pPr>
              <w:spacing w:after="0"/>
              <w:rPr>
                <w:sz w:val="15"/>
                <w:szCs w:val="15"/>
                <w:color w:val="auto"/>
              </w:rPr>
            </w:pPr>
          </w:p>
        </w:tc>
        <w:tc>
          <w:tcPr>
            <w:tcW w:w="118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Sale</w:t>
            </w: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524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i w:val="1"/>
                <w:iCs w:val="1"/>
                <w:color w:val="auto"/>
              </w:rPr>
              <w:t>Offering Price</w:t>
            </w: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Price per share to public</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7.89</w:t>
            </w:r>
          </w:p>
        </w:tc>
        <w:tc>
          <w:tcPr>
            <w:tcW w:w="86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52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proceeds per share to issuer</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7.50</w:t>
            </w:r>
          </w:p>
        </w:tc>
        <w:tc>
          <w:tcPr>
            <w:tcW w:w="8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Increases in Shares and Decrease to NAV</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shares outstanding</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w w:val="99"/>
              </w:rPr>
              <w:t>1,250,000</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25.00%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1,250,000</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25.00%</w:t>
            </w: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NAV per share</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5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9.50</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52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(Dilution)/Accretion to Participating Stockholder A</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Shares held by stockholder A</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11,250</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12.50%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13,750</w:t>
            </w:r>
          </w:p>
        </w:tc>
        <w:tc>
          <w:tcPr>
            <w:tcW w:w="52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37.50%</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Percentage held by stockholder A</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0.90%</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(10.00)%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1.10%</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 Values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NAV held by stockholder A</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106,875</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6.88%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130,625</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30.63%</w:t>
            </w:r>
          </w:p>
        </w:tc>
        <w:tc>
          <w:tcPr>
            <w:tcW w:w="0" w:type="dxa"/>
            <w:vAlign w:val="bottom"/>
          </w:tcPr>
          <w:p>
            <w:pPr>
              <w:spacing w:after="0"/>
              <w:rPr>
                <w:sz w:val="1"/>
                <w:szCs w:val="1"/>
                <w:color w:val="auto"/>
              </w:rPr>
            </w:pPr>
          </w:p>
        </w:tc>
      </w:tr>
      <w:tr>
        <w:trPr>
          <w:trHeight w:val="189"/>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Total investment by stockholder A (assumed to be $10.00 per share on shares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held prior to sale)</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5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109,863</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9.86%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129,588</w:t>
            </w:r>
          </w:p>
        </w:tc>
        <w:tc>
          <w:tcPr>
            <w:tcW w:w="5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29.59%</w:t>
            </w:r>
          </w:p>
        </w:tc>
        <w:tc>
          <w:tcPr>
            <w:tcW w:w="0" w:type="dxa"/>
            <w:vAlign w:val="bottom"/>
          </w:tcPr>
          <w:p>
            <w:pPr>
              <w:spacing w:after="0"/>
              <w:rPr>
                <w:sz w:val="1"/>
                <w:szCs w:val="1"/>
                <w:color w:val="auto"/>
              </w:rPr>
            </w:pPr>
          </w:p>
        </w:tc>
      </w:tr>
      <w:tr>
        <w:trPr>
          <w:trHeight w:val="205"/>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(dilution)/accretion to stockholder A (total NAV less total investment)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(2,988)</w:t>
            </w:r>
          </w:p>
        </w:tc>
        <w:tc>
          <w:tcPr>
            <w:tcW w:w="8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5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Per Share Amounts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NAV per share held by stockholder A</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9.50</w:t>
            </w:r>
          </w:p>
        </w:tc>
        <w:tc>
          <w:tcPr>
            <w:tcW w:w="8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5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Investment per share held by stockholder A (assumed to be $10.00 per</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share on shares held prior to sale)</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5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9.77</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(2.30)%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5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(5.80)%</w:t>
            </w:r>
          </w:p>
        </w:tc>
        <w:tc>
          <w:tcPr>
            <w:tcW w:w="0" w:type="dxa"/>
            <w:vAlign w:val="bottom"/>
          </w:tcPr>
          <w:p>
            <w:pPr>
              <w:spacing w:after="0"/>
              <w:rPr>
                <w:sz w:val="1"/>
                <w:szCs w:val="1"/>
                <w:color w:val="auto"/>
              </w:rPr>
            </w:pPr>
          </w:p>
        </w:tc>
      </w:tr>
      <w:tr>
        <w:trPr>
          <w:trHeight w:val="192"/>
        </w:trPr>
        <w:tc>
          <w:tcPr>
            <w:tcW w:w="5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(Dilution)/accretion per share held by stockholder A (NAV per share less</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investment per share)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(0.27)</w:t>
            </w:r>
          </w:p>
        </w:tc>
        <w:tc>
          <w:tcPr>
            <w:tcW w:w="8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5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5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Percentage (dilution)/accretion to stockholder A (dilution)/accretion per</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share divided by investment per share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(2.76)%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0.85%</w:t>
            </w:r>
          </w:p>
        </w:tc>
        <w:tc>
          <w:tcPr>
            <w:tcW w:w="0" w:type="dxa"/>
            <w:vAlign w:val="bottom"/>
          </w:tcPr>
          <w:p>
            <w:pPr>
              <w:spacing w:after="0"/>
              <w:rPr>
                <w:sz w:val="1"/>
                <w:szCs w:val="1"/>
                <w:color w:val="auto"/>
              </w:rPr>
            </w:pPr>
          </w:p>
        </w:tc>
      </w:tr>
    </w:tbl>
    <w:p>
      <w:pPr>
        <w:spacing w:after="0" w:line="3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Impact on New Investors</w:t>
      </w:r>
    </w:p>
    <w:p>
      <w:pPr>
        <w:spacing w:after="0" w:line="121"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76"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Investors who are not currently stockholders, but who participate in an offering below NAV and whose investment per share is greater than the resulting NAV per share due to any underwriting discounts and commissions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any underwriting discounts and commissions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offerings below NAV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40"/>
          </w:cols>
          <w:pgMar w:left="320" w:top="455" w:right="4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effects on a stockholder A at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Example 1</w:t>
            </w: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Example 2</w:t>
            </w: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left="341"/>
              <w:spacing w:after="0"/>
              <w:rPr>
                <w:sz w:val="20"/>
                <w:szCs w:val="20"/>
                <w:color w:val="auto"/>
              </w:rPr>
            </w:pPr>
            <w:r>
              <w:rPr>
                <w:rFonts w:ascii="Times New Roman" w:cs="Times New Roman" w:eastAsia="Times New Roman" w:hAnsi="Times New Roman"/>
                <w:sz w:val="14"/>
                <w:szCs w:val="14"/>
                <w:b w:val="1"/>
                <w:bCs w:val="1"/>
                <w:color w:val="auto"/>
              </w:rPr>
              <w:t>Example 3</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4"/>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5% Offering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4"/>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10% Offering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4"/>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25% Offering</w:t>
            </w: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1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Prior to Sale</w:t>
            </w:r>
          </w:p>
        </w:tc>
        <w:tc>
          <w:tcPr>
            <w:tcW w:w="80" w:type="dxa"/>
            <w:vAlign w:val="bottom"/>
          </w:tcPr>
          <w:p>
            <w:pPr>
              <w:spacing w:after="0"/>
              <w:rPr>
                <w:sz w:val="15"/>
                <w:szCs w:val="15"/>
                <w:color w:val="auto"/>
              </w:rPr>
            </w:pPr>
          </w:p>
        </w:tc>
        <w:tc>
          <w:tcPr>
            <w:tcW w:w="194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at 5% Discount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at 10% Discount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at 25% Discount</w:t>
            </w:r>
          </w:p>
        </w:tc>
        <w:tc>
          <w:tcPr>
            <w:tcW w:w="0" w:type="dxa"/>
            <w:vAlign w:val="bottom"/>
          </w:tcPr>
          <w:p>
            <w:pPr>
              <w:spacing w:after="0"/>
              <w:rPr>
                <w:sz w:val="1"/>
                <w:szCs w:val="1"/>
                <w:color w:val="auto"/>
              </w:rPr>
            </w:pPr>
          </w:p>
        </w:tc>
      </w:tr>
      <w:tr>
        <w:trPr>
          <w:trHeight w:val="117"/>
        </w:trPr>
        <w:tc>
          <w:tcPr>
            <w:tcW w:w="362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200" w:type="dxa"/>
            <w:vAlign w:val="bottom"/>
            <w:tcBorders>
              <w:top w:val="single" w:sz="8" w:color="auto"/>
            </w:tcBorders>
            <w:gridSpan w:val="3"/>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60" w:type="dxa"/>
            <w:vAlign w:val="bottom"/>
            <w:tcBorders>
              <w:top w:val="single" w:sz="8" w:color="auto"/>
            </w:tcBorders>
          </w:tcPr>
          <w:p>
            <w:pPr>
              <w:jc w:val="right"/>
              <w:ind w:right="81"/>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Borders>
              <w:top w:val="single" w:sz="8" w:color="auto"/>
            </w:tcBorders>
            <w:gridSpan w:val="3"/>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81"/>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81"/>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1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Below NAV</w:t>
            </w:r>
          </w:p>
        </w:tc>
        <w:tc>
          <w:tcPr>
            <w:tcW w:w="80" w:type="dxa"/>
            <w:vAlign w:val="bottom"/>
          </w:tcPr>
          <w:p>
            <w:pPr>
              <w:spacing w:after="0"/>
              <w:rPr>
                <w:sz w:val="15"/>
                <w:szCs w:val="15"/>
                <w:color w:val="auto"/>
              </w:rPr>
            </w:pPr>
          </w:p>
        </w:tc>
        <w:tc>
          <w:tcPr>
            <w:tcW w:w="11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Sale</w:t>
            </w: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Sale</w:t>
            </w: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362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i w:val="1"/>
                <w:iCs w:val="1"/>
                <w:color w:val="auto"/>
              </w:rPr>
              <w:t>Offering Price</w:t>
            </w: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Price per share to public</w:t>
            </w:r>
          </w:p>
        </w:tc>
        <w:tc>
          <w:tcPr>
            <w:tcW w:w="11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10.00</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440" w:type="dxa"/>
            <w:vAlign w:val="bottom"/>
          </w:tcPr>
          <w:p>
            <w:pPr>
              <w:spacing w:after="0"/>
              <w:rPr>
                <w:sz w:val="17"/>
                <w:szCs w:val="17"/>
                <w:color w:val="auto"/>
              </w:rPr>
            </w:pP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46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offering proceeds per share to issuer</w:t>
            </w:r>
          </w:p>
        </w:tc>
        <w:tc>
          <w:tcPr>
            <w:tcW w:w="11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9.50</w:t>
            </w: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4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4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Decrease to NAV</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shares outstanding</w:t>
            </w:r>
          </w:p>
        </w:tc>
        <w:tc>
          <w:tcPr>
            <w:tcW w:w="11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w w:val="99"/>
              </w:rPr>
              <w:t>1,050,000</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1,100,000</w:t>
            </w:r>
          </w:p>
        </w:tc>
        <w:tc>
          <w:tcPr>
            <w:tcW w:w="4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1,250,000</w:t>
            </w:r>
          </w:p>
        </w:tc>
        <w:tc>
          <w:tcPr>
            <w:tcW w:w="4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25.00 %</w:t>
            </w:r>
          </w:p>
        </w:tc>
        <w:tc>
          <w:tcPr>
            <w:tcW w:w="0" w:type="dxa"/>
            <w:vAlign w:val="bottom"/>
          </w:tcPr>
          <w:p>
            <w:pPr>
              <w:spacing w:after="0"/>
              <w:rPr>
                <w:sz w:val="1"/>
                <w:szCs w:val="1"/>
                <w:color w:val="auto"/>
              </w:rPr>
            </w:pP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NAV per share</w:t>
            </w:r>
          </w:p>
        </w:tc>
        <w:tc>
          <w:tcPr>
            <w:tcW w:w="11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9.98</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(0.20)%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4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(0.90)%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46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Dilution to Stockholder A</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Shares held by stockholder A</w:t>
            </w:r>
          </w:p>
        </w:tc>
        <w:tc>
          <w:tcPr>
            <w:tcW w:w="11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500</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440" w:type="dxa"/>
            <w:vAlign w:val="bottom"/>
          </w:tcPr>
          <w:p>
            <w:pPr>
              <w:spacing w:after="0"/>
              <w:rPr>
                <w:sz w:val="17"/>
                <w:szCs w:val="17"/>
                <w:color w:val="auto"/>
              </w:rPr>
            </w:pP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46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Percentage held by stockholder A</w:t>
            </w:r>
          </w:p>
        </w:tc>
        <w:tc>
          <w:tcPr>
            <w:tcW w:w="11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0.05%</w:t>
            </w: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0.09%</w:t>
            </w:r>
          </w:p>
        </w:tc>
        <w:tc>
          <w:tcPr>
            <w:tcW w:w="8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0.20%</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 Values</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NAV held by stockholder A</w:t>
            </w:r>
          </w:p>
        </w:tc>
        <w:tc>
          <w:tcPr>
            <w:tcW w:w="11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4,990</w:t>
            </w: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9,910</w:t>
            </w:r>
          </w:p>
        </w:tc>
        <w:tc>
          <w:tcPr>
            <w:tcW w:w="4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23,750</w:t>
            </w:r>
          </w:p>
        </w:tc>
        <w:tc>
          <w:tcPr>
            <w:tcW w:w="4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investment by stockholder A</w:t>
            </w:r>
          </w:p>
        </w:tc>
        <w:tc>
          <w:tcPr>
            <w:tcW w:w="11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5,000</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9,470</w:t>
            </w:r>
          </w:p>
        </w:tc>
        <w:tc>
          <w:tcPr>
            <w:tcW w:w="440" w:type="dxa"/>
            <w:vAlign w:val="bottom"/>
          </w:tcPr>
          <w:p>
            <w:pPr>
              <w:spacing w:after="0"/>
              <w:rPr>
                <w:sz w:val="17"/>
                <w:szCs w:val="17"/>
                <w:color w:val="auto"/>
              </w:rPr>
            </w:pP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19,725</w:t>
            </w:r>
          </w:p>
        </w:tc>
        <w:tc>
          <w:tcPr>
            <w:tcW w:w="46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(dilution)/accretion to stockholder A</w:t>
            </w: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NAV less total investment)</w:t>
            </w:r>
          </w:p>
        </w:tc>
        <w:tc>
          <w:tcPr>
            <w:tcW w:w="11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(10)</w:t>
            </w: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4,025</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Per Share Amounts</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NAV per share held by stockholder A</w:t>
            </w:r>
          </w:p>
        </w:tc>
        <w:tc>
          <w:tcPr>
            <w:tcW w:w="11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9.98</w:t>
            </w: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4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4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Investment per share held by stockholder A</w:t>
            </w:r>
          </w:p>
        </w:tc>
        <w:tc>
          <w:tcPr>
            <w:tcW w:w="11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10.00</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440" w:type="dxa"/>
            <w:vAlign w:val="bottom"/>
          </w:tcPr>
          <w:p>
            <w:pPr>
              <w:spacing w:after="0"/>
              <w:rPr>
                <w:sz w:val="17"/>
                <w:szCs w:val="17"/>
                <w:color w:val="auto"/>
              </w:rPr>
            </w:pP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46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(Dilution)/accretion per share held by</w:t>
            </w: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stockholder A (NAV per share less</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investment per share)</w:t>
            </w:r>
          </w:p>
        </w:tc>
        <w:tc>
          <w:tcPr>
            <w:tcW w:w="11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(0.02)</w:t>
            </w: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0.44</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Percentage (dilution)/accretion to stockholder</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 (dilution)/ accretion per share divided by</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investment per share</w:t>
            </w:r>
          </w:p>
        </w:tc>
        <w:tc>
          <w:tcPr>
            <w:tcW w:w="11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4.65 %</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20.41%</w:t>
            </w:r>
          </w:p>
        </w:tc>
        <w:tc>
          <w:tcPr>
            <w:tcW w:w="0" w:type="dxa"/>
            <w:vAlign w:val="bottom"/>
          </w:tcPr>
          <w:p>
            <w:pPr>
              <w:spacing w:after="0"/>
              <w:rPr>
                <w:sz w:val="1"/>
                <w:szCs w:val="1"/>
                <w:color w:val="auto"/>
              </w:rPr>
            </w:pPr>
          </w:p>
        </w:tc>
      </w:tr>
    </w:tbl>
    <w:p>
      <w:pPr>
        <w:spacing w:after="0" w:line="1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320" w:top="455" w:right="4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29"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We intend to continue making quarterly distributions to our stockholders. The timing and amount of our quarterly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w:t>
      </w:r>
    </w:p>
    <w:p>
      <w:pPr>
        <w:spacing w:after="0" w:line="183"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Each year, a Form 1099-DIV will be sent to stockholders subject to information reporting that will state the amount and composition of distributions, and provided information with respect to appropriate tax treatment of our distributions.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tax characteristics of distributions declared, in accordance with Section 19(a) of the 1940 Act, during the years ended September 30, 2021 and</w:t>
      </w:r>
    </w:p>
    <w:p>
      <w:pPr>
        <w:spacing w:after="0" w:line="39" w:lineRule="exact"/>
        <w:rPr>
          <w:sz w:val="20"/>
          <w:szCs w:val="20"/>
          <w:color w:val="auto"/>
        </w:rPr>
      </w:pPr>
    </w:p>
    <w:p>
      <w:pPr>
        <w:ind w:left="120" w:right="420"/>
        <w:spacing w:after="0" w:line="260" w:lineRule="auto"/>
        <w:rPr>
          <w:sz w:val="20"/>
          <w:szCs w:val="20"/>
          <w:color w:val="auto"/>
        </w:rPr>
      </w:pPr>
      <w:r>
        <w:rPr>
          <w:rFonts w:ascii="Times New Roman" w:cs="Times New Roman" w:eastAsia="Times New Roman" w:hAnsi="Times New Roman"/>
          <w:sz w:val="18"/>
          <w:szCs w:val="18"/>
          <w:color w:val="auto"/>
        </w:rPr>
        <w:t>2020 from ordinary income (including short-term gains), if any, totaled $32.2 million and $40.2 million, or $0.48 and $0.60 per share, respectively, based on the weighted average shares outstanding for the respective years.</w:t>
      </w:r>
    </w:p>
    <w:p>
      <w:pPr>
        <w:spacing w:after="0" w:line="18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176"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ability to be subject to tax as a RIC. We cannot assure stockholders that they will receive any distributions or distributions at a particular level.</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PORTFOLIO COMPANIES</w:t>
      </w:r>
    </w:p>
    <w:p>
      <w:pPr>
        <w:spacing w:after="0" w:line="22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following is a listing of each portfolio company or its affiliate, together referred to as portfolio companies, in which we had an investment as of December 31, 2021.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December 31, 2021 Quarterly Report on Form 10-Q.</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and, therefore, are deemed to be an affiliated person under the 1940 Act; and “Companies 25% or more owned” which represent portfolio companies where we directly or indirectly own 25% or more of the outstanding voting securities of such portfolio company and, therefore, are generally presumed to be controlled by us under the 1940 Act. We make available significant managerial assistance to our portfolio companies. Substantially all of our investments (except those of SBIC II) are pledged as collateral under the Truist Credit Facility. Unless otherwise noted, we held no voting board membership on any of our portfolio companies.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Type of Investment,</w:t>
            </w: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80" w:type="dxa"/>
            <w:vAlign w:val="bottom"/>
          </w:tcPr>
          <w:p>
            <w:pPr>
              <w:spacing w:after="0"/>
              <w:rPr>
                <w:sz w:val="13"/>
                <w:szCs w:val="13"/>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6"/>
        </w:trPr>
        <w:tc>
          <w:tcPr>
            <w:tcW w:w="3780" w:type="dxa"/>
            <w:vAlign w:val="bottom"/>
            <w:gridSpan w:val="2"/>
            <w:vMerge w:val="continue"/>
          </w:tcPr>
          <w:p>
            <w:pPr>
              <w:spacing w:after="0"/>
              <w:rPr>
                <w:sz w:val="12"/>
                <w:szCs w:val="12"/>
                <w:color w:val="auto"/>
              </w:rPr>
            </w:pPr>
          </w:p>
        </w:tc>
        <w:tc>
          <w:tcPr>
            <w:tcW w:w="1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Nature of Business</w:t>
            </w:r>
          </w:p>
        </w:tc>
        <w:tc>
          <w:tcPr>
            <w:tcW w:w="3240" w:type="dxa"/>
            <w:vAlign w:val="bottom"/>
            <w:gridSpan w:val="2"/>
            <w:vMerge w:val="continue"/>
          </w:tcPr>
          <w:p>
            <w:pPr>
              <w:spacing w:after="0"/>
              <w:rPr>
                <w:sz w:val="12"/>
                <w:szCs w:val="12"/>
                <w:color w:val="auto"/>
              </w:rPr>
            </w:pPr>
          </w:p>
        </w:tc>
        <w:tc>
          <w:tcPr>
            <w:tcW w:w="1240" w:type="dxa"/>
            <w:vAlign w:val="bottom"/>
            <w:gridSpan w:val="2"/>
          </w:tcPr>
          <w:p>
            <w:pPr>
              <w:jc w:val="right"/>
              <w:ind w:right="500"/>
              <w:spacing w:after="0" w:line="146"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Address of Portfolio Company</w:t>
            </w:r>
          </w:p>
        </w:tc>
        <w:tc>
          <w:tcPr>
            <w:tcW w:w="190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3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Interest</w:t>
            </w:r>
            <w:r>
              <w:rPr>
                <w:rFonts w:ascii="Times New Roman" w:cs="Times New Roman" w:eastAsia="Times New Roman" w:hAnsi="Times New Roman"/>
                <w:sz w:val="12"/>
                <w:szCs w:val="12"/>
                <w:b w:val="1"/>
                <w:bCs w:val="1"/>
                <w:color w:val="auto"/>
              </w:rPr>
              <w:t>(1)</w:t>
            </w:r>
            <w:r>
              <w:rPr>
                <w:rFonts w:ascii="Times New Roman" w:cs="Times New Roman" w:eastAsia="Times New Roman" w:hAnsi="Times New Roman"/>
                <w:sz w:val="14"/>
                <w:szCs w:val="14"/>
                <w:b w:val="1"/>
                <w:bCs w:val="1"/>
                <w:color w:val="auto"/>
              </w:rPr>
              <w:t>, Maturity</w:t>
            </w: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9"/>
              </w:rPr>
              <w:t>Ownership</w:t>
            </w:r>
            <w:r>
              <w:rPr>
                <w:rFonts w:ascii="Times New Roman" w:cs="Times New Roman" w:eastAsia="Times New Roman" w:hAnsi="Times New Roman"/>
                <w:sz w:val="12"/>
                <w:szCs w:val="12"/>
                <w:b w:val="1"/>
                <w:bCs w:val="1"/>
                <w:color w:val="auto"/>
                <w:w w:val="99"/>
              </w:rPr>
              <w:t>(2)</w:t>
            </w: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22"/>
        </w:trPr>
        <w:tc>
          <w:tcPr>
            <w:tcW w:w="3780" w:type="dxa"/>
            <w:vAlign w:val="bottom"/>
            <w:tcBorders>
              <w:top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Companies Less than 5% Owned</w:t>
            </w:r>
          </w:p>
        </w:tc>
        <w:tc>
          <w:tcPr>
            <w:tcW w:w="158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298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7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Ad.net Acquisition, LLC</w:t>
            </w:r>
          </w:p>
        </w:tc>
        <w:tc>
          <w:tcPr>
            <w:tcW w:w="184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4"/>
                <w:szCs w:val="14"/>
                <w:color w:val="auto"/>
              </w:rPr>
              <w:t>Media</w:t>
            </w:r>
          </w:p>
        </w:tc>
        <w:tc>
          <w:tcPr>
            <w:tcW w:w="324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240" w:type="dxa"/>
            <w:vAlign w:val="bottom"/>
            <w:gridSpan w:val="2"/>
          </w:tcPr>
          <w:p>
            <w:pPr>
              <w:jc w:val="right"/>
              <w:ind w:right="300"/>
              <w:spacing w:after="0" w:line="126" w:lineRule="exact"/>
              <w:rPr>
                <w:sz w:val="20"/>
                <w:szCs w:val="20"/>
                <w:color w:val="auto"/>
              </w:rPr>
            </w:pPr>
            <w:r>
              <w:rPr>
                <w:rFonts w:ascii="Times New Roman" w:cs="Times New Roman" w:eastAsia="Times New Roman" w:hAnsi="Times New Roman"/>
                <w:sz w:val="14"/>
                <w:szCs w:val="14"/>
                <w:color w:val="auto"/>
              </w:rPr>
              <w:t>0.4%</w:t>
            </w:r>
          </w:p>
        </w:tc>
        <w:tc>
          <w:tcPr>
            <w:tcW w:w="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308</w:t>
            </w:r>
          </w:p>
        </w:tc>
        <w:tc>
          <w:tcPr>
            <w:tcW w:w="0" w:type="dxa"/>
            <w:vAlign w:val="bottom"/>
          </w:tcPr>
          <w:p>
            <w:pPr>
              <w:spacing w:after="0"/>
              <w:rPr>
                <w:sz w:val="1"/>
                <w:szCs w:val="1"/>
                <w:color w:val="auto"/>
              </w:rPr>
            </w:pPr>
          </w:p>
        </w:tc>
      </w:tr>
      <w:tr>
        <w:trPr>
          <w:trHeight w:val="148"/>
        </w:trPr>
        <w:tc>
          <w:tcPr>
            <w:tcW w:w="37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(Ad.net Holdings, Inc.</w:t>
            </w:r>
            <w:r>
              <w:rPr>
                <w:rFonts w:ascii="Times New Roman" w:cs="Times New Roman" w:eastAsia="Times New Roman" w:hAnsi="Times New Roman"/>
                <w:sz w:val="12"/>
                <w:szCs w:val="12"/>
                <w:color w:val="auto"/>
              </w:rPr>
              <w:t>(5)</w:t>
            </w:r>
            <w:r>
              <w:rPr>
                <w:rFonts w:ascii="Times New Roman" w:cs="Times New Roman" w:eastAsia="Times New Roman" w:hAnsi="Times New Roman"/>
                <w:sz w:val="14"/>
                <w:szCs w:val="14"/>
                <w:color w:val="auto"/>
              </w:rPr>
              <w:t>)</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 05/06/2026</w:t>
            </w: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1100 Glendon Avenue, Suite 1200</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Preferred Equity</w:t>
            </w: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Los Angeles, CA 90024</w:t>
            </w:r>
          </w:p>
        </w:tc>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7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Affinion Group Holdings, Inc.</w:t>
            </w:r>
          </w:p>
        </w:tc>
        <w:tc>
          <w:tcPr>
            <w:tcW w:w="1840" w:type="dxa"/>
            <w:vAlign w:val="bottom"/>
            <w:gridSpan w:val="2"/>
            <w:shd w:val="clear" w:color="auto" w:fill="CCEEFF"/>
          </w:tcPr>
          <w:p>
            <w:pPr>
              <w:jc w:val="center"/>
              <w:ind w:right="240"/>
              <w:spacing w:after="0" w:line="126" w:lineRule="exact"/>
              <w:rPr>
                <w:sz w:val="20"/>
                <w:szCs w:val="20"/>
                <w:color w:val="auto"/>
              </w:rPr>
            </w:pPr>
            <w:r>
              <w:rPr>
                <w:rFonts w:ascii="Times New Roman" w:cs="Times New Roman" w:eastAsia="Times New Roman" w:hAnsi="Times New Roman"/>
                <w:sz w:val="14"/>
                <w:szCs w:val="14"/>
                <w:color w:val="auto"/>
              </w:rPr>
              <w:t>Consumer</w:t>
            </w:r>
          </w:p>
        </w:tc>
        <w:tc>
          <w:tcPr>
            <w:tcW w:w="324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w w:val="97"/>
              </w:rPr>
              <w:t>Warrants</w:t>
            </w:r>
          </w:p>
        </w:tc>
        <w:tc>
          <w:tcPr>
            <w:tcW w:w="1240" w:type="dxa"/>
            <w:vAlign w:val="bottom"/>
            <w:gridSpan w:val="2"/>
            <w:shd w:val="clear" w:color="auto" w:fill="CCEEFF"/>
          </w:tcPr>
          <w:p>
            <w:pPr>
              <w:jc w:val="right"/>
              <w:ind w:right="5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ind w:left="5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7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100 Connecticut Avenue</w:t>
            </w:r>
          </w:p>
        </w:tc>
        <w:tc>
          <w:tcPr>
            <w:tcW w:w="1840" w:type="dxa"/>
            <w:vAlign w:val="bottom"/>
            <w:gridSpan w:val="2"/>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Products</w:t>
            </w:r>
          </w:p>
        </w:tc>
        <w:tc>
          <w:tcPr>
            <w:tcW w:w="29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Norwalk, CT 06850</w:t>
            </w:r>
          </w:p>
        </w:tc>
        <w:tc>
          <w:tcPr>
            <w:tcW w:w="1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9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AG Investco LP</w:t>
            </w:r>
            <w:r>
              <w:rPr>
                <w:rFonts w:ascii="Times New Roman" w:cs="Times New Roman" w:eastAsia="Times New Roman" w:hAnsi="Times New Roman"/>
                <w:sz w:val="12"/>
                <w:szCs w:val="12"/>
                <w:color w:val="auto"/>
              </w:rPr>
              <w:t>(5)</w:t>
            </w:r>
          </w:p>
        </w:tc>
        <w:tc>
          <w:tcPr>
            <w:tcW w:w="1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Business Services</w:t>
            </w:r>
          </w:p>
        </w:tc>
        <w:tc>
          <w:tcPr>
            <w:tcW w:w="3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Common Equity</w:t>
            </w:r>
            <w:r>
              <w:rPr>
                <w:rFonts w:ascii="Times New Roman" w:cs="Times New Roman" w:eastAsia="Times New Roman" w:hAnsi="Times New Roman"/>
                <w:sz w:val="12"/>
                <w:szCs w:val="12"/>
                <w:color w:val="auto"/>
              </w:rPr>
              <w:t>(4)</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1,161</w:t>
            </w:r>
          </w:p>
        </w:tc>
        <w:tc>
          <w:tcPr>
            <w:tcW w:w="0" w:type="dxa"/>
            <w:vAlign w:val="bottom"/>
          </w:tcPr>
          <w:p>
            <w:pPr>
              <w:spacing w:after="0"/>
              <w:rPr>
                <w:sz w:val="1"/>
                <w:szCs w:val="1"/>
                <w:color w:val="auto"/>
              </w:rPr>
            </w:pPr>
          </w:p>
        </w:tc>
      </w:tr>
      <w:tr>
        <w:trPr>
          <w:trHeight w:val="148"/>
        </w:trPr>
        <w:tc>
          <w:tcPr>
            <w:tcW w:w="37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251 Little Falls Drive</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Herndon, VA 19808</w:t>
            </w:r>
          </w:p>
        </w:tc>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18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7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AH Newco Equityholdings, LLC</w:t>
            </w:r>
          </w:p>
        </w:tc>
        <w:tc>
          <w:tcPr>
            <w:tcW w:w="1840" w:type="dxa"/>
            <w:vAlign w:val="bottom"/>
            <w:gridSpan w:val="2"/>
            <w:shd w:val="clear" w:color="auto" w:fill="CCEEFF"/>
          </w:tcPr>
          <w:p>
            <w:pPr>
              <w:jc w:val="center"/>
              <w:ind w:right="240"/>
              <w:spacing w:after="0" w:line="126" w:lineRule="exact"/>
              <w:rPr>
                <w:sz w:val="20"/>
                <w:szCs w:val="20"/>
                <w:color w:val="auto"/>
              </w:rPr>
            </w:pPr>
            <w:r>
              <w:rPr>
                <w:rFonts w:ascii="Times New Roman" w:cs="Times New Roman" w:eastAsia="Times New Roman" w:hAnsi="Times New Roman"/>
                <w:sz w:val="14"/>
                <w:szCs w:val="14"/>
                <w:color w:val="auto"/>
              </w:rPr>
              <w:t>Healthcare, Education and</w:t>
            </w:r>
          </w:p>
        </w:tc>
        <w:tc>
          <w:tcPr>
            <w:tcW w:w="324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Preferred Equity</w:t>
            </w:r>
          </w:p>
        </w:tc>
        <w:tc>
          <w:tcPr>
            <w:tcW w:w="1240" w:type="dxa"/>
            <w:vAlign w:val="bottom"/>
            <w:gridSpan w:val="2"/>
            <w:shd w:val="clear" w:color="auto" w:fill="CCEEFF"/>
          </w:tcPr>
          <w:p>
            <w:pPr>
              <w:jc w:val="right"/>
              <w:ind w:right="5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959</w:t>
            </w:r>
          </w:p>
        </w:tc>
        <w:tc>
          <w:tcPr>
            <w:tcW w:w="0" w:type="dxa"/>
            <w:vAlign w:val="bottom"/>
          </w:tcPr>
          <w:p>
            <w:pPr>
              <w:spacing w:after="0"/>
              <w:rPr>
                <w:sz w:val="1"/>
                <w:szCs w:val="1"/>
                <w:color w:val="auto"/>
              </w:rPr>
            </w:pPr>
          </w:p>
        </w:tc>
      </w:tr>
      <w:tr>
        <w:trPr>
          <w:trHeight w:val="148"/>
        </w:trPr>
        <w:tc>
          <w:tcPr>
            <w:tcW w:w="37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10039 Bissonnet Street, Ste. 250</w:t>
            </w:r>
          </w:p>
        </w:tc>
        <w:tc>
          <w:tcPr>
            <w:tcW w:w="1840" w:type="dxa"/>
            <w:vAlign w:val="bottom"/>
            <w:gridSpan w:val="2"/>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Childcare</w:t>
            </w:r>
          </w:p>
        </w:tc>
        <w:tc>
          <w:tcPr>
            <w:tcW w:w="29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Houston, TX 77036</w:t>
            </w:r>
          </w:p>
        </w:tc>
        <w:tc>
          <w:tcPr>
            <w:tcW w:w="1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9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Altamira Technologies, LLC</w:t>
            </w:r>
          </w:p>
        </w:tc>
        <w:tc>
          <w:tcPr>
            <w:tcW w:w="1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Aerospace and Defense</w:t>
            </w:r>
          </w:p>
        </w:tc>
        <w:tc>
          <w:tcPr>
            <w:tcW w:w="3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(Altamira Intermediate Company II, Inc.)</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3M L+800, 07/24/2025</w:t>
            </w: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8201 Greensboro Drive, Suite 800</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McLean, VA 22102</w:t>
            </w:r>
          </w:p>
        </w:tc>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7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American Insulated Glass, LLC</w:t>
            </w:r>
          </w:p>
        </w:tc>
        <w:tc>
          <w:tcPr>
            <w:tcW w:w="1840" w:type="dxa"/>
            <w:vAlign w:val="bottom"/>
            <w:gridSpan w:val="2"/>
            <w:shd w:val="clear" w:color="auto" w:fill="CCEEFF"/>
          </w:tcPr>
          <w:p>
            <w:pPr>
              <w:jc w:val="center"/>
              <w:ind w:right="240"/>
              <w:spacing w:after="0" w:line="126" w:lineRule="exact"/>
              <w:rPr>
                <w:sz w:val="20"/>
                <w:szCs w:val="20"/>
                <w:color w:val="auto"/>
              </w:rPr>
            </w:pPr>
            <w:r>
              <w:rPr>
                <w:rFonts w:ascii="Times New Roman" w:cs="Times New Roman" w:eastAsia="Times New Roman" w:hAnsi="Times New Roman"/>
                <w:sz w:val="14"/>
                <w:szCs w:val="14"/>
                <w:color w:val="auto"/>
              </w:rPr>
              <w:t>Building Materials</w:t>
            </w:r>
          </w:p>
        </w:tc>
        <w:tc>
          <w:tcPr>
            <w:tcW w:w="324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First Lien Secured Debt,</w:t>
            </w:r>
          </w:p>
        </w:tc>
        <w:tc>
          <w:tcPr>
            <w:tcW w:w="1240" w:type="dxa"/>
            <w:vAlign w:val="bottom"/>
            <w:gridSpan w:val="2"/>
            <w:shd w:val="clear" w:color="auto" w:fill="CCEEFF"/>
          </w:tcPr>
          <w:p>
            <w:pPr>
              <w:jc w:val="right"/>
              <w:ind w:right="300"/>
              <w:spacing w:after="0" w:line="126" w:lineRule="exact"/>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14,503</w:t>
            </w: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(Go Dawgs Capital III, LP</w:t>
            </w:r>
            <w:r>
              <w:rPr>
                <w:rFonts w:ascii="Times New Roman" w:cs="Times New Roman" w:eastAsia="Times New Roman" w:hAnsi="Times New Roman"/>
                <w:sz w:val="12"/>
                <w:szCs w:val="12"/>
                <w:color w:val="auto"/>
              </w:rPr>
              <w:t>(5)</w:t>
            </w:r>
            <w:r>
              <w:rPr>
                <w:rFonts w:ascii="Times New Roman" w:cs="Times New Roman" w:eastAsia="Times New Roman" w:hAnsi="Times New Roman"/>
                <w:sz w:val="14"/>
                <w:szCs w:val="14"/>
                <w:color w:val="auto"/>
              </w:rPr>
              <w:t>)</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3M L+550, 12/21/2023</w:t>
            </w: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3965 E. Conley Road</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Conley, GA 30288</w:t>
            </w:r>
          </w:p>
        </w:tc>
        <w:tc>
          <w:tcPr>
            <w:tcW w:w="1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9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Any Hour Services</w:t>
            </w:r>
          </w:p>
        </w:tc>
        <w:tc>
          <w:tcPr>
            <w:tcW w:w="1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Personal, Food</w:t>
            </w:r>
          </w:p>
        </w:tc>
        <w:tc>
          <w:tcPr>
            <w:tcW w:w="3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3,991</w:t>
            </w: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 xml:space="preserve">(KL Stockton Co-Invest LP </w:t>
            </w:r>
            <w:r>
              <w:rPr>
                <w:rFonts w:ascii="Times New Roman" w:cs="Times New Roman" w:eastAsia="Times New Roman" w:hAnsi="Times New Roman"/>
                <w:sz w:val="12"/>
                <w:szCs w:val="12"/>
                <w:color w:val="auto"/>
              </w:rPr>
              <w:t>(5)</w:t>
            </w:r>
            <w:r>
              <w:rPr>
                <w:rFonts w:ascii="Times New Roman" w:cs="Times New Roman" w:eastAsia="Times New Roman" w:hAnsi="Times New Roman"/>
                <w:sz w:val="14"/>
                <w:szCs w:val="14"/>
                <w:color w:val="auto"/>
              </w:rPr>
              <w:t>)</w:t>
            </w:r>
          </w:p>
        </w:tc>
        <w:tc>
          <w:tcPr>
            <w:tcW w:w="18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w w:val="98"/>
              </w:rPr>
              <w:t>and</w:t>
            </w:r>
          </w:p>
        </w:tc>
        <w:tc>
          <w:tcPr>
            <w:tcW w:w="32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3M L+575, 07/21/2027</w:t>
            </w: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1374 130 S</w:t>
            </w:r>
          </w:p>
        </w:tc>
        <w:tc>
          <w:tcPr>
            <w:tcW w:w="18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Miscellaneous Services</w:t>
            </w:r>
          </w:p>
        </w:tc>
        <w:tc>
          <w:tcPr>
            <w:tcW w:w="32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Orem, UT 84058</w:t>
            </w:r>
          </w:p>
        </w:tc>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7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Apex Service Partners, LLC</w:t>
            </w:r>
          </w:p>
        </w:tc>
        <w:tc>
          <w:tcPr>
            <w:tcW w:w="1840" w:type="dxa"/>
            <w:vAlign w:val="bottom"/>
            <w:gridSpan w:val="2"/>
            <w:shd w:val="clear" w:color="auto" w:fill="CCEEFF"/>
          </w:tcPr>
          <w:p>
            <w:pPr>
              <w:jc w:val="center"/>
              <w:ind w:right="240"/>
              <w:spacing w:after="0" w:line="126" w:lineRule="exact"/>
              <w:rPr>
                <w:sz w:val="20"/>
                <w:szCs w:val="20"/>
                <w:color w:val="auto"/>
              </w:rPr>
            </w:pPr>
            <w:r>
              <w:rPr>
                <w:rFonts w:ascii="Times New Roman" w:cs="Times New Roman" w:eastAsia="Times New Roman" w:hAnsi="Times New Roman"/>
                <w:sz w:val="14"/>
                <w:szCs w:val="14"/>
                <w:color w:val="auto"/>
              </w:rPr>
              <w:t>Personal, Food</w:t>
            </w:r>
          </w:p>
        </w:tc>
        <w:tc>
          <w:tcPr>
            <w:tcW w:w="324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5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13,763</w:t>
            </w:r>
          </w:p>
        </w:tc>
        <w:tc>
          <w:tcPr>
            <w:tcW w:w="0" w:type="dxa"/>
            <w:vAlign w:val="bottom"/>
          </w:tcPr>
          <w:p>
            <w:pPr>
              <w:spacing w:after="0"/>
              <w:rPr>
                <w:sz w:val="1"/>
                <w:szCs w:val="1"/>
                <w:color w:val="auto"/>
              </w:rPr>
            </w:pPr>
          </w:p>
        </w:tc>
      </w:tr>
      <w:tr>
        <w:trPr>
          <w:trHeight w:val="148"/>
        </w:trPr>
        <w:tc>
          <w:tcPr>
            <w:tcW w:w="37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401 E Jackson, Ste #3300</w:t>
            </w:r>
          </w:p>
        </w:tc>
        <w:tc>
          <w:tcPr>
            <w:tcW w:w="1840" w:type="dxa"/>
            <w:vAlign w:val="bottom"/>
            <w:gridSpan w:val="2"/>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w w:val="98"/>
              </w:rPr>
              <w:t>and</w:t>
            </w:r>
          </w:p>
        </w:tc>
        <w:tc>
          <w:tcPr>
            <w:tcW w:w="32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1M L+525, 07/31/2025</w:t>
            </w: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Tampa, FL 33602</w:t>
            </w:r>
          </w:p>
        </w:tc>
        <w:tc>
          <w:tcPr>
            <w:tcW w:w="18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rPr>
              <w:t>Miscellaneous Services</w:t>
            </w:r>
          </w:p>
        </w:tc>
        <w:tc>
          <w:tcPr>
            <w:tcW w:w="29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40"/>
          </w:cols>
          <w:pgMar w:left="320" w:top="455" w:right="4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Type of Investment,</w:t>
            </w:r>
          </w:p>
        </w:tc>
        <w:tc>
          <w:tcPr>
            <w:tcW w:w="1260" w:type="dxa"/>
            <w:vAlign w:val="bottom"/>
            <w:gridSpan w:val="2"/>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9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46"/>
        </w:trPr>
        <w:tc>
          <w:tcPr>
            <w:tcW w:w="3720" w:type="dxa"/>
            <w:vAlign w:val="bottom"/>
            <w:gridSpan w:val="2"/>
            <w:vMerge w:val="continue"/>
          </w:tcPr>
          <w:p>
            <w:pPr>
              <w:spacing w:after="0"/>
              <w:rPr>
                <w:sz w:val="12"/>
                <w:szCs w:val="12"/>
                <w:color w:val="auto"/>
              </w:rPr>
            </w:pPr>
          </w:p>
        </w:tc>
        <w:tc>
          <w:tcPr>
            <w:tcW w:w="18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Nature of Business</w:t>
            </w:r>
          </w:p>
        </w:tc>
        <w:tc>
          <w:tcPr>
            <w:tcW w:w="3260" w:type="dxa"/>
            <w:vAlign w:val="bottom"/>
            <w:gridSpan w:val="2"/>
            <w:vMerge w:val="continue"/>
          </w:tcPr>
          <w:p>
            <w:pPr>
              <w:spacing w:after="0"/>
              <w:rPr>
                <w:sz w:val="12"/>
                <w:szCs w:val="12"/>
                <w:color w:val="auto"/>
              </w:rPr>
            </w:pPr>
          </w:p>
        </w:tc>
        <w:tc>
          <w:tcPr>
            <w:tcW w:w="1260" w:type="dxa"/>
            <w:vAlign w:val="bottom"/>
            <w:gridSpan w:val="2"/>
          </w:tcPr>
          <w:p>
            <w:pPr>
              <w:jc w:val="right"/>
              <w:ind w:right="458"/>
              <w:spacing w:after="0" w:line="146"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Address of Portfolio Company</w:t>
            </w:r>
          </w:p>
        </w:tc>
        <w:tc>
          <w:tcPr>
            <w:tcW w:w="184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3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Interest</w:t>
            </w:r>
            <w:r>
              <w:rPr>
                <w:rFonts w:ascii="Times New Roman" w:cs="Times New Roman" w:eastAsia="Times New Roman" w:hAnsi="Times New Roman"/>
                <w:sz w:val="12"/>
                <w:szCs w:val="12"/>
                <w:b w:val="1"/>
                <w:bCs w:val="1"/>
                <w:color w:val="auto"/>
              </w:rPr>
              <w:t>(1)</w:t>
            </w:r>
            <w:r>
              <w:rPr>
                <w:rFonts w:ascii="Times New Roman" w:cs="Times New Roman" w:eastAsia="Times New Roman" w:hAnsi="Times New Roman"/>
                <w:sz w:val="14"/>
                <w:szCs w:val="14"/>
                <w:b w:val="1"/>
                <w:bCs w:val="1"/>
                <w:color w:val="auto"/>
              </w:rPr>
              <w:t>, Maturity</w:t>
            </w:r>
          </w:p>
        </w:tc>
        <w:tc>
          <w:tcPr>
            <w:tcW w:w="1260" w:type="dxa"/>
            <w:vAlign w:val="bottom"/>
            <w:gridSpan w:val="2"/>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w w:val="99"/>
              </w:rPr>
              <w:t>Ownership</w:t>
            </w:r>
            <w:r>
              <w:rPr>
                <w:rFonts w:ascii="Times New Roman" w:cs="Times New Roman" w:eastAsia="Times New Roman" w:hAnsi="Times New Roman"/>
                <w:sz w:val="12"/>
                <w:szCs w:val="12"/>
                <w:b w:val="1"/>
                <w:bCs w:val="1"/>
                <w:color w:val="auto"/>
                <w:w w:val="99"/>
              </w:rPr>
              <w:t>(2)</w:t>
            </w: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08"/>
        </w:trPr>
        <w:tc>
          <w:tcPr>
            <w:tcW w:w="3720" w:type="dxa"/>
            <w:vAlign w:val="bottom"/>
            <w:tcBorders>
              <w:top w:val="single" w:sz="8" w:color="CCEEFF"/>
            </w:tcBorders>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Applied Technical Services, LLC</w:t>
            </w:r>
          </w:p>
        </w:tc>
        <w:tc>
          <w:tcPr>
            <w:tcW w:w="1600" w:type="dxa"/>
            <w:vAlign w:val="bottom"/>
            <w:tcBorders>
              <w:top w:val="single" w:sz="8" w:color="auto"/>
            </w:tcBorders>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color w:val="auto"/>
              </w:rPr>
              <w:t>Environmental Services</w:t>
            </w:r>
          </w:p>
        </w:tc>
        <w:tc>
          <w:tcPr>
            <w:tcW w:w="260" w:type="dxa"/>
            <w:vAlign w:val="bottom"/>
            <w:tcBorders>
              <w:top w:val="single" w:sz="8" w:color="CCEEFF"/>
            </w:tcBorders>
            <w:shd w:val="clear" w:color="auto" w:fill="CCEEFF"/>
          </w:tcPr>
          <w:p>
            <w:pPr>
              <w:spacing w:after="0"/>
              <w:rPr>
                <w:sz w:val="9"/>
                <w:szCs w:val="9"/>
                <w:color w:val="auto"/>
              </w:rPr>
            </w:pPr>
          </w:p>
        </w:tc>
        <w:tc>
          <w:tcPr>
            <w:tcW w:w="2980" w:type="dxa"/>
            <w:vAlign w:val="bottom"/>
            <w:tcBorders>
              <w:top w:val="single" w:sz="8" w:color="auto"/>
            </w:tcBorders>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2"/>
                <w:szCs w:val="12"/>
                <w:color w:val="auto"/>
              </w:rPr>
              <w:t>,</w:t>
            </w:r>
          </w:p>
        </w:tc>
        <w:tc>
          <w:tcPr>
            <w:tcW w:w="2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0.2</w:t>
            </w:r>
          </w:p>
        </w:tc>
        <w:tc>
          <w:tcPr>
            <w:tcW w:w="440" w:type="dxa"/>
            <w:vAlign w:val="bottom"/>
            <w:tcBorders>
              <w:top w:val="single" w:sz="8" w:color="CCEEFF"/>
            </w:tcBorders>
            <w:shd w:val="clear" w:color="auto" w:fill="CCEEFF"/>
          </w:tcPr>
          <w:p>
            <w:pPr>
              <w:jc w:val="right"/>
              <w:ind w:right="258"/>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3,434</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7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xml:space="preserve">(Ironclad Holdco, LLC </w:t>
            </w:r>
            <w:r>
              <w:rPr>
                <w:rFonts w:ascii="Times New Roman" w:cs="Times New Roman" w:eastAsia="Times New Roman" w:hAnsi="Times New Roman"/>
                <w:sz w:val="12"/>
                <w:szCs w:val="12"/>
                <w:color w:val="auto"/>
              </w:rPr>
              <w:t>(5)</w:t>
            </w:r>
            <w:r>
              <w:rPr>
                <w:rFonts w:ascii="Times New Roman" w:cs="Times New Roman" w:eastAsia="Times New Roman" w:hAnsi="Times New Roman"/>
                <w:sz w:val="14"/>
                <w:szCs w:val="14"/>
                <w:color w:val="auto"/>
              </w:rPr>
              <w:t>)</w:t>
            </w:r>
          </w:p>
        </w:tc>
        <w:tc>
          <w:tcPr>
            <w:tcW w:w="1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6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3M L+575, 12/29/2026</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1049 Triad Ct</w:t>
            </w:r>
          </w:p>
        </w:tc>
        <w:tc>
          <w:tcPr>
            <w:tcW w:w="1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6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Marietta, GA 30062</w:t>
            </w:r>
          </w:p>
        </w:tc>
        <w:tc>
          <w:tcPr>
            <w:tcW w:w="1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Atlas Purchaser, Inc.</w:t>
            </w:r>
          </w:p>
        </w:tc>
        <w:tc>
          <w:tcPr>
            <w:tcW w:w="1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Telecommunications</w:t>
            </w:r>
          </w:p>
        </w:tc>
        <w:tc>
          <w:tcPr>
            <w:tcW w:w="3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Second Lien Secured Debt,</w:t>
            </w:r>
          </w:p>
        </w:tc>
        <w:tc>
          <w:tcPr>
            <w:tcW w:w="1260" w:type="dxa"/>
            <w:vAlign w:val="bottom"/>
            <w:gridSpan w:val="2"/>
          </w:tcPr>
          <w:p>
            <w:pPr>
              <w:jc w:val="right"/>
              <w:ind w:right="258"/>
              <w:spacing w:after="0"/>
              <w:rPr>
                <w:sz w:val="20"/>
                <w:szCs w:val="20"/>
                <w:color w:val="auto"/>
              </w:rPr>
            </w:pPr>
            <w:r>
              <w:rPr>
                <w:rFonts w:ascii="Times New Roman" w:cs="Times New Roman" w:eastAsia="Times New Roman" w:hAnsi="Times New Roman"/>
                <w:sz w:val="14"/>
                <w:szCs w:val="14"/>
                <w:color w:val="auto"/>
              </w:rPr>
              <w:t>0.5%</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18,556</w:t>
            </w:r>
          </w:p>
        </w:tc>
        <w:tc>
          <w:tcPr>
            <w:tcW w:w="0" w:type="dxa"/>
            <w:vAlign w:val="bottom"/>
          </w:tcPr>
          <w:p>
            <w:pPr>
              <w:spacing w:after="0"/>
              <w:rPr>
                <w:sz w:val="1"/>
                <w:szCs w:val="1"/>
                <w:color w:val="auto"/>
              </w:rPr>
            </w:pPr>
          </w:p>
        </w:tc>
      </w:tr>
      <w:tr>
        <w:trPr>
          <w:trHeight w:val="148"/>
        </w:trPr>
        <w:tc>
          <w:tcPr>
            <w:tcW w:w="3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 xml:space="preserve">(Atlas Investment Aggregator, LLC </w:t>
            </w:r>
            <w:r>
              <w:rPr>
                <w:rFonts w:ascii="Times New Roman" w:cs="Times New Roman" w:eastAsia="Times New Roman" w:hAnsi="Times New Roman"/>
                <w:sz w:val="12"/>
                <w:szCs w:val="12"/>
                <w:color w:val="auto"/>
              </w:rPr>
              <w:t>(5)</w:t>
            </w:r>
            <w:r>
              <w:rPr>
                <w:rFonts w:ascii="Times New Roman" w:cs="Times New Roman" w:eastAsia="Times New Roman" w:hAnsi="Times New Roman"/>
                <w:sz w:val="14"/>
                <w:szCs w:val="14"/>
                <w:color w:val="auto"/>
              </w:rPr>
              <w:t>)</w:t>
            </w:r>
          </w:p>
        </w:tc>
        <w:tc>
          <w:tcPr>
            <w:tcW w:w="1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3M L+900, 05/07/2029</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5 Technology Park Drive</w:t>
            </w:r>
          </w:p>
        </w:tc>
        <w:tc>
          <w:tcPr>
            <w:tcW w:w="1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Westford, MA 01886</w:t>
            </w:r>
          </w:p>
        </w:tc>
        <w:tc>
          <w:tcPr>
            <w:tcW w:w="1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7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Best Practice Associates LLC</w:t>
            </w:r>
          </w:p>
        </w:tc>
        <w:tc>
          <w:tcPr>
            <w:tcW w:w="186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Aerospace and Defense</w:t>
            </w:r>
          </w:p>
        </w:tc>
        <w:tc>
          <w:tcPr>
            <w:tcW w:w="326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Second Lien Secured Debt,</w:t>
            </w:r>
          </w:p>
        </w:tc>
        <w:tc>
          <w:tcPr>
            <w:tcW w:w="1260" w:type="dxa"/>
            <w:vAlign w:val="bottom"/>
            <w:gridSpan w:val="2"/>
            <w:shd w:val="clear" w:color="auto" w:fill="CCEEFF"/>
          </w:tcPr>
          <w:p>
            <w:pPr>
              <w:jc w:val="right"/>
              <w:ind w:right="258"/>
              <w:spacing w:after="0" w:line="126" w:lineRule="exact"/>
              <w:rPr>
                <w:sz w:val="20"/>
                <w:szCs w:val="20"/>
                <w:color w:val="auto"/>
              </w:rPr>
            </w:pPr>
            <w:r>
              <w:rPr>
                <w:rFonts w:ascii="Times New Roman" w:cs="Times New Roman" w:eastAsia="Times New Roman" w:hAnsi="Times New Roman"/>
                <w:sz w:val="14"/>
                <w:szCs w:val="14"/>
                <w:color w:val="auto"/>
              </w:rPr>
              <w:t>4.0%</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33,519</w:t>
            </w:r>
          </w:p>
        </w:tc>
        <w:tc>
          <w:tcPr>
            <w:tcW w:w="0" w:type="dxa"/>
            <w:vAlign w:val="bottom"/>
          </w:tcPr>
          <w:p>
            <w:pPr>
              <w:spacing w:after="0"/>
              <w:rPr>
                <w:sz w:val="1"/>
                <w:szCs w:val="1"/>
                <w:color w:val="auto"/>
              </w:rPr>
            </w:pPr>
          </w:p>
        </w:tc>
      </w:tr>
      <w:tr>
        <w:trPr>
          <w:trHeight w:val="148"/>
        </w:trPr>
        <w:tc>
          <w:tcPr>
            <w:tcW w:w="37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(FedHC InvestCo LP</w:t>
            </w:r>
            <w:r>
              <w:rPr>
                <w:rFonts w:ascii="Times New Roman" w:cs="Times New Roman" w:eastAsia="Times New Roman" w:hAnsi="Times New Roman"/>
                <w:sz w:val="12"/>
                <w:szCs w:val="12"/>
                <w:color w:val="auto"/>
              </w:rPr>
              <w:t>(5)</w:t>
            </w:r>
            <w:r>
              <w:rPr>
                <w:rFonts w:ascii="Times New Roman" w:cs="Times New Roman" w:eastAsia="Times New Roman" w:hAnsi="Times New Roman"/>
                <w:sz w:val="14"/>
                <w:szCs w:val="14"/>
                <w:color w:val="auto"/>
              </w:rPr>
              <w:t>)</w:t>
            </w:r>
          </w:p>
        </w:tc>
        <w:tc>
          <w:tcPr>
            <w:tcW w:w="1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6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3M L+900, 06/29/2027</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(FedHC InvestCo II LP</w:t>
            </w:r>
            <w:r>
              <w:rPr>
                <w:rFonts w:ascii="Times New Roman" w:cs="Times New Roman" w:eastAsia="Times New Roman" w:hAnsi="Times New Roman"/>
                <w:sz w:val="12"/>
                <w:szCs w:val="12"/>
                <w:color w:val="auto"/>
              </w:rPr>
              <w:t>(5)</w:t>
            </w:r>
            <w:r>
              <w:rPr>
                <w:rFonts w:ascii="Times New Roman" w:cs="Times New Roman" w:eastAsia="Times New Roman" w:hAnsi="Times New Roman"/>
                <w:sz w:val="14"/>
                <w:szCs w:val="14"/>
                <w:color w:val="auto"/>
              </w:rPr>
              <w:t>)</w:t>
            </w:r>
          </w:p>
        </w:tc>
        <w:tc>
          <w:tcPr>
            <w:tcW w:w="1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6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 Equity</w:t>
            </w:r>
            <w:r>
              <w:rPr>
                <w:rFonts w:ascii="Times New Roman" w:cs="Times New Roman" w:eastAsia="Times New Roman" w:hAnsi="Times New Roman"/>
                <w:sz w:val="12"/>
                <w:szCs w:val="12"/>
                <w:color w:val="auto"/>
              </w:rPr>
              <w:t>(4)</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3100 Clarendon Blvd</w:t>
            </w:r>
          </w:p>
        </w:tc>
        <w:tc>
          <w:tcPr>
            <w:tcW w:w="1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Arlington, VA 22201</w:t>
            </w:r>
          </w:p>
        </w:tc>
        <w:tc>
          <w:tcPr>
            <w:tcW w:w="1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9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Blackhawk Industrial Distribution, Inc.</w:t>
            </w:r>
          </w:p>
        </w:tc>
        <w:tc>
          <w:tcPr>
            <w:tcW w:w="1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Distribution</w:t>
            </w:r>
          </w:p>
        </w:tc>
        <w:tc>
          <w:tcPr>
            <w:tcW w:w="3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Subordinated Debt,</w:t>
            </w:r>
          </w:p>
        </w:tc>
        <w:tc>
          <w:tcPr>
            <w:tcW w:w="1260" w:type="dxa"/>
            <w:vAlign w:val="bottom"/>
            <w:gridSpan w:val="2"/>
          </w:tcPr>
          <w:p>
            <w:pPr>
              <w:jc w:val="right"/>
              <w:ind w:right="258"/>
              <w:spacing w:after="0"/>
              <w:rPr>
                <w:sz w:val="20"/>
                <w:szCs w:val="20"/>
                <w:color w:val="auto"/>
              </w:rPr>
            </w:pPr>
            <w:r>
              <w:rPr>
                <w:rFonts w:ascii="Times New Roman" w:cs="Times New Roman" w:eastAsia="Times New Roman" w:hAnsi="Times New Roman"/>
                <w:sz w:val="14"/>
                <w:szCs w:val="14"/>
                <w:color w:val="auto"/>
              </w:rPr>
              <w:t>1.5%</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16,670</w:t>
            </w:r>
          </w:p>
        </w:tc>
        <w:tc>
          <w:tcPr>
            <w:tcW w:w="0" w:type="dxa"/>
            <w:vAlign w:val="bottom"/>
          </w:tcPr>
          <w:p>
            <w:pPr>
              <w:spacing w:after="0"/>
              <w:rPr>
                <w:sz w:val="1"/>
                <w:szCs w:val="1"/>
                <w:color w:val="auto"/>
              </w:rPr>
            </w:pPr>
          </w:p>
        </w:tc>
      </w:tr>
      <w:tr>
        <w:trPr>
          <w:trHeight w:val="148"/>
        </w:trPr>
        <w:tc>
          <w:tcPr>
            <w:tcW w:w="3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(Cowboy Parent LLC)</w:t>
            </w:r>
          </w:p>
        </w:tc>
        <w:tc>
          <w:tcPr>
            <w:tcW w:w="1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12.0% fixed (PIK 2.0%), 03/17/2025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1501 SW Expressway Drive</w:t>
            </w:r>
          </w:p>
        </w:tc>
        <w:tc>
          <w:tcPr>
            <w:tcW w:w="1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Broken Arrow, OK 74012</w:t>
            </w:r>
          </w:p>
        </w:tc>
        <w:tc>
          <w:tcPr>
            <w:tcW w:w="1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7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Bottom Line Systems, LLC</w:t>
            </w:r>
          </w:p>
        </w:tc>
        <w:tc>
          <w:tcPr>
            <w:tcW w:w="186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Healthcare, Education and</w:t>
            </w:r>
          </w:p>
        </w:tc>
        <w:tc>
          <w:tcPr>
            <w:tcW w:w="326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p>
        </w:tc>
        <w:tc>
          <w:tcPr>
            <w:tcW w:w="1260" w:type="dxa"/>
            <w:vAlign w:val="bottom"/>
            <w:gridSpan w:val="2"/>
            <w:shd w:val="clear" w:color="auto" w:fill="CCEEFF"/>
          </w:tcPr>
          <w:p>
            <w:pPr>
              <w:jc w:val="right"/>
              <w:ind w:right="438"/>
              <w:spacing w:after="0" w:line="12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6,153</w:t>
            </w:r>
          </w:p>
        </w:tc>
        <w:tc>
          <w:tcPr>
            <w:tcW w:w="0" w:type="dxa"/>
            <w:vAlign w:val="bottom"/>
          </w:tcPr>
          <w:p>
            <w:pPr>
              <w:spacing w:after="0"/>
              <w:rPr>
                <w:sz w:val="1"/>
                <w:szCs w:val="1"/>
                <w:color w:val="auto"/>
              </w:rPr>
            </w:pPr>
          </w:p>
        </w:tc>
      </w:tr>
      <w:tr>
        <w:trPr>
          <w:trHeight w:val="149"/>
        </w:trPr>
        <w:tc>
          <w:tcPr>
            <w:tcW w:w="37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541 Buttermilk Pike, Suite 401</w:t>
            </w:r>
          </w:p>
        </w:tc>
        <w:tc>
          <w:tcPr>
            <w:tcW w:w="186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Childcare</w:t>
            </w:r>
          </w:p>
        </w:tc>
        <w:tc>
          <w:tcPr>
            <w:tcW w:w="326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1M L+550, 02/13/2023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Crescent Springs, KY 41017</w:t>
            </w:r>
          </w:p>
        </w:tc>
        <w:tc>
          <w:tcPr>
            <w:tcW w:w="1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9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Broder Bros., Co.</w:t>
            </w:r>
          </w:p>
        </w:tc>
        <w:tc>
          <w:tcPr>
            <w:tcW w:w="1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Consumer</w:t>
            </w:r>
          </w:p>
        </w:tc>
        <w:tc>
          <w:tcPr>
            <w:tcW w:w="3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p>
        </w:tc>
        <w:tc>
          <w:tcPr>
            <w:tcW w:w="1260" w:type="dxa"/>
            <w:vAlign w:val="bottom"/>
            <w:gridSpan w:val="2"/>
          </w:tcPr>
          <w:p>
            <w:pPr>
              <w:jc w:val="right"/>
              <w:ind w:right="43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25,189</w:t>
            </w:r>
          </w:p>
        </w:tc>
        <w:tc>
          <w:tcPr>
            <w:tcW w:w="0" w:type="dxa"/>
            <w:vAlign w:val="bottom"/>
          </w:tcPr>
          <w:p>
            <w:pPr>
              <w:spacing w:after="0"/>
              <w:rPr>
                <w:sz w:val="1"/>
                <w:szCs w:val="1"/>
                <w:color w:val="auto"/>
              </w:rPr>
            </w:pPr>
          </w:p>
        </w:tc>
      </w:tr>
      <w:tr>
        <w:trPr>
          <w:trHeight w:val="148"/>
        </w:trPr>
        <w:tc>
          <w:tcPr>
            <w:tcW w:w="3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Six Neshaminy Interplex, 6 Floor</w:t>
            </w:r>
          </w:p>
        </w:tc>
        <w:tc>
          <w:tcPr>
            <w:tcW w:w="1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Products</w:t>
            </w:r>
          </w:p>
        </w:tc>
        <w:tc>
          <w:tcPr>
            <w:tcW w:w="3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3M L+700, 12/02/2022</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Trevose, PA 19053</w:t>
            </w:r>
          </w:p>
        </w:tc>
        <w:tc>
          <w:tcPr>
            <w:tcW w:w="1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7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Cano Health, LLC</w:t>
            </w:r>
          </w:p>
        </w:tc>
        <w:tc>
          <w:tcPr>
            <w:tcW w:w="186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Healthcare, Education and</w:t>
            </w:r>
          </w:p>
        </w:tc>
        <w:tc>
          <w:tcPr>
            <w:tcW w:w="326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Common Equity</w:t>
            </w:r>
          </w:p>
        </w:tc>
        <w:tc>
          <w:tcPr>
            <w:tcW w:w="1260" w:type="dxa"/>
            <w:vAlign w:val="bottom"/>
            <w:gridSpan w:val="2"/>
            <w:shd w:val="clear" w:color="auto" w:fill="CCEEFF"/>
          </w:tcPr>
          <w:p>
            <w:pPr>
              <w:jc w:val="right"/>
              <w:ind w:right="258"/>
              <w:spacing w:after="0" w:line="126" w:lineRule="exact"/>
              <w:rPr>
                <w:sz w:val="20"/>
                <w:szCs w:val="20"/>
                <w:color w:val="auto"/>
              </w:rPr>
            </w:pPr>
            <w:r>
              <w:rPr>
                <w:rFonts w:ascii="Times New Roman" w:cs="Times New Roman" w:eastAsia="Times New Roman" w:hAnsi="Times New Roman"/>
                <w:sz w:val="14"/>
                <w:szCs w:val="14"/>
                <w:color w:val="auto"/>
              </w:rPr>
              <w:t>0.1%</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43,341</w:t>
            </w:r>
          </w:p>
        </w:tc>
        <w:tc>
          <w:tcPr>
            <w:tcW w:w="0" w:type="dxa"/>
            <w:vAlign w:val="bottom"/>
          </w:tcPr>
          <w:p>
            <w:pPr>
              <w:spacing w:after="0"/>
              <w:rPr>
                <w:sz w:val="1"/>
                <w:szCs w:val="1"/>
                <w:color w:val="auto"/>
              </w:rPr>
            </w:pPr>
          </w:p>
        </w:tc>
      </w:tr>
      <w:tr>
        <w:trPr>
          <w:trHeight w:val="148"/>
        </w:trPr>
        <w:tc>
          <w:tcPr>
            <w:tcW w:w="37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(ITC Rumba, LLC</w:t>
            </w:r>
            <w:r>
              <w:rPr>
                <w:rFonts w:ascii="Times New Roman" w:cs="Times New Roman" w:eastAsia="Times New Roman" w:hAnsi="Times New Roman"/>
                <w:sz w:val="12"/>
                <w:szCs w:val="12"/>
                <w:color w:val="auto"/>
              </w:rPr>
              <w:t>(5)</w:t>
            </w:r>
            <w:r>
              <w:rPr>
                <w:rFonts w:ascii="Times New Roman" w:cs="Times New Roman" w:eastAsia="Times New Roman" w:hAnsi="Times New Roman"/>
                <w:sz w:val="14"/>
                <w:szCs w:val="14"/>
                <w:color w:val="auto"/>
              </w:rPr>
              <w:t>)</w:t>
            </w:r>
          </w:p>
        </w:tc>
        <w:tc>
          <w:tcPr>
            <w:tcW w:w="186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Childcare</w:t>
            </w:r>
          </w:p>
        </w:tc>
        <w:tc>
          <w:tcPr>
            <w:tcW w:w="2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9725 NW 117th Avenue, Suite 200,</w:t>
            </w:r>
          </w:p>
        </w:tc>
        <w:tc>
          <w:tcPr>
            <w:tcW w:w="1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Miami, FL 33178</w:t>
            </w:r>
          </w:p>
        </w:tc>
        <w:tc>
          <w:tcPr>
            <w:tcW w:w="1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9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Cascade Environmental LLC</w:t>
            </w:r>
            <w:r>
              <w:rPr>
                <w:rFonts w:ascii="Times New Roman" w:cs="Times New Roman" w:eastAsia="Times New Roman" w:hAnsi="Times New Roman"/>
                <w:sz w:val="12"/>
                <w:szCs w:val="12"/>
                <w:color w:val="auto"/>
              </w:rPr>
              <w:t>(5)</w:t>
            </w:r>
          </w:p>
        </w:tc>
        <w:tc>
          <w:tcPr>
            <w:tcW w:w="1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Environmental Services</w:t>
            </w:r>
          </w:p>
        </w:tc>
        <w:tc>
          <w:tcPr>
            <w:tcW w:w="3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Subordinated Debt,</w:t>
            </w:r>
          </w:p>
        </w:tc>
        <w:tc>
          <w:tcPr>
            <w:tcW w:w="1260" w:type="dxa"/>
            <w:vAlign w:val="bottom"/>
            <w:gridSpan w:val="2"/>
          </w:tcPr>
          <w:p>
            <w:pPr>
              <w:jc w:val="right"/>
              <w:ind w:right="258"/>
              <w:spacing w:after="0"/>
              <w:rPr>
                <w:sz w:val="20"/>
                <w:szCs w:val="20"/>
                <w:color w:val="auto"/>
              </w:rPr>
            </w:pPr>
            <w:r>
              <w:rPr>
                <w:rFonts w:ascii="Times New Roman" w:cs="Times New Roman" w:eastAsia="Times New Roman" w:hAnsi="Times New Roman"/>
                <w:sz w:val="14"/>
                <w:szCs w:val="14"/>
                <w:color w:val="auto"/>
              </w:rPr>
              <w:t>2.8%</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40,146</w:t>
            </w:r>
          </w:p>
        </w:tc>
        <w:tc>
          <w:tcPr>
            <w:tcW w:w="0" w:type="dxa"/>
            <w:vAlign w:val="bottom"/>
          </w:tcPr>
          <w:p>
            <w:pPr>
              <w:spacing w:after="0"/>
              <w:rPr>
                <w:sz w:val="1"/>
                <w:szCs w:val="1"/>
                <w:color w:val="auto"/>
              </w:rPr>
            </w:pPr>
          </w:p>
        </w:tc>
      </w:tr>
      <w:tr>
        <w:trPr>
          <w:trHeight w:val="148"/>
        </w:trPr>
        <w:tc>
          <w:tcPr>
            <w:tcW w:w="3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(Cascade Environmental Holdings, LLC</w:t>
            </w:r>
            <w:r>
              <w:rPr>
                <w:rFonts w:ascii="Times New Roman" w:cs="Times New Roman" w:eastAsia="Times New Roman" w:hAnsi="Times New Roman"/>
                <w:sz w:val="12"/>
                <w:szCs w:val="12"/>
                <w:color w:val="auto"/>
              </w:rPr>
              <w:t>(5)</w:t>
            </w:r>
            <w:r>
              <w:rPr>
                <w:rFonts w:ascii="Times New Roman" w:cs="Times New Roman" w:eastAsia="Times New Roman" w:hAnsi="Times New Roman"/>
                <w:sz w:val="14"/>
                <w:szCs w:val="14"/>
                <w:color w:val="auto"/>
              </w:rPr>
              <w:t>) 17270</w:t>
            </w:r>
          </w:p>
        </w:tc>
        <w:tc>
          <w:tcPr>
            <w:tcW w:w="1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13.0% fixed (PIK 13.0%), 12/30/2023</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Woodinville-Redmond Road</w:t>
            </w:r>
          </w:p>
        </w:tc>
        <w:tc>
          <w:tcPr>
            <w:tcW w:w="1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Preferred Equity</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Woodinville, WA 98072</w:t>
            </w:r>
          </w:p>
        </w:tc>
        <w:tc>
          <w:tcPr>
            <w:tcW w:w="1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7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CF512, Inc.</w:t>
            </w:r>
          </w:p>
        </w:tc>
        <w:tc>
          <w:tcPr>
            <w:tcW w:w="186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Media</w:t>
            </w:r>
          </w:p>
        </w:tc>
        <w:tc>
          <w:tcPr>
            <w:tcW w:w="326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258"/>
              <w:spacing w:after="0" w:line="126" w:lineRule="exact"/>
              <w:rPr>
                <w:sz w:val="20"/>
                <w:szCs w:val="20"/>
                <w:color w:val="auto"/>
              </w:rPr>
            </w:pPr>
            <w:r>
              <w:rPr>
                <w:rFonts w:ascii="Times New Roman" w:cs="Times New Roman" w:eastAsia="Times New Roman" w:hAnsi="Times New Roman"/>
                <w:sz w:val="14"/>
                <w:szCs w:val="14"/>
                <w:color w:val="auto"/>
              </w:rPr>
              <w:t>0.8%</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9,596</w:t>
            </w:r>
          </w:p>
        </w:tc>
        <w:tc>
          <w:tcPr>
            <w:tcW w:w="0" w:type="dxa"/>
            <w:vAlign w:val="bottom"/>
          </w:tcPr>
          <w:p>
            <w:pPr>
              <w:spacing w:after="0"/>
              <w:rPr>
                <w:sz w:val="1"/>
                <w:szCs w:val="1"/>
                <w:color w:val="auto"/>
              </w:rPr>
            </w:pPr>
          </w:p>
        </w:tc>
      </w:tr>
      <w:tr>
        <w:trPr>
          <w:trHeight w:val="149"/>
        </w:trPr>
        <w:tc>
          <w:tcPr>
            <w:tcW w:w="37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(StellPen Holdings, LLC)</w:t>
            </w:r>
          </w:p>
        </w:tc>
        <w:tc>
          <w:tcPr>
            <w:tcW w:w="1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6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3M L+600, 08/20/2026</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960B Harvest Drive</w:t>
            </w:r>
          </w:p>
        </w:tc>
        <w:tc>
          <w:tcPr>
            <w:tcW w:w="1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6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Blue Bell, PA 19422</w:t>
            </w:r>
          </w:p>
        </w:tc>
        <w:tc>
          <w:tcPr>
            <w:tcW w:w="1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9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Compex Legal Services, Inc.</w:t>
            </w:r>
          </w:p>
        </w:tc>
        <w:tc>
          <w:tcPr>
            <w:tcW w:w="1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Business Services</w:t>
            </w:r>
          </w:p>
        </w:tc>
        <w:tc>
          <w:tcPr>
            <w:tcW w:w="3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260" w:type="dxa"/>
            <w:vAlign w:val="bottom"/>
            <w:gridSpan w:val="2"/>
          </w:tcPr>
          <w:p>
            <w:pPr>
              <w:jc w:val="right"/>
              <w:ind w:right="43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3,954</w:t>
            </w:r>
          </w:p>
        </w:tc>
        <w:tc>
          <w:tcPr>
            <w:tcW w:w="0" w:type="dxa"/>
            <w:vAlign w:val="bottom"/>
          </w:tcPr>
          <w:p>
            <w:pPr>
              <w:spacing w:after="0"/>
              <w:rPr>
                <w:sz w:val="1"/>
                <w:szCs w:val="1"/>
                <w:color w:val="auto"/>
              </w:rPr>
            </w:pPr>
          </w:p>
        </w:tc>
      </w:tr>
      <w:tr>
        <w:trPr>
          <w:trHeight w:val="149"/>
        </w:trPr>
        <w:tc>
          <w:tcPr>
            <w:tcW w:w="3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325 Maple Avenue</w:t>
            </w:r>
          </w:p>
        </w:tc>
        <w:tc>
          <w:tcPr>
            <w:tcW w:w="1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3M L+575, 02/09/2026</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Torrance, CA 90503</w:t>
            </w:r>
          </w:p>
        </w:tc>
        <w:tc>
          <w:tcPr>
            <w:tcW w:w="1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18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7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Connatix Buyer, Inc.</w:t>
            </w:r>
          </w:p>
        </w:tc>
        <w:tc>
          <w:tcPr>
            <w:tcW w:w="186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Media</w:t>
            </w:r>
          </w:p>
        </w:tc>
        <w:tc>
          <w:tcPr>
            <w:tcW w:w="326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258"/>
              <w:spacing w:after="0" w:line="126" w:lineRule="exact"/>
              <w:rPr>
                <w:sz w:val="20"/>
                <w:szCs w:val="20"/>
                <w:color w:val="auto"/>
              </w:rPr>
            </w:pPr>
            <w:r>
              <w:rPr>
                <w:rFonts w:ascii="Times New Roman" w:cs="Times New Roman" w:eastAsia="Times New Roman" w:hAnsi="Times New Roman"/>
                <w:sz w:val="14"/>
                <w:szCs w:val="14"/>
                <w:color w:val="auto"/>
              </w:rPr>
              <w:t>0.3%</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12,914</w:t>
            </w:r>
          </w:p>
        </w:tc>
        <w:tc>
          <w:tcPr>
            <w:tcW w:w="0" w:type="dxa"/>
            <w:vAlign w:val="bottom"/>
          </w:tcPr>
          <w:p>
            <w:pPr>
              <w:spacing w:after="0"/>
              <w:rPr>
                <w:sz w:val="1"/>
                <w:szCs w:val="1"/>
                <w:color w:val="auto"/>
              </w:rPr>
            </w:pPr>
          </w:p>
        </w:tc>
      </w:tr>
      <w:tr>
        <w:trPr>
          <w:trHeight w:val="148"/>
        </w:trPr>
        <w:tc>
          <w:tcPr>
            <w:tcW w:w="37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(Connatix Parent, LLC)</w:t>
            </w:r>
          </w:p>
        </w:tc>
        <w:tc>
          <w:tcPr>
            <w:tcW w:w="1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6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3M L+550, 07/13/2027</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666 Broadway, Floor 10</w:t>
            </w:r>
          </w:p>
        </w:tc>
        <w:tc>
          <w:tcPr>
            <w:tcW w:w="1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6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New York, NY 10012</w:t>
            </w:r>
          </w:p>
        </w:tc>
        <w:tc>
          <w:tcPr>
            <w:tcW w:w="1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9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Crane 1 Services, Inc.</w:t>
            </w:r>
          </w:p>
        </w:tc>
        <w:tc>
          <w:tcPr>
            <w:tcW w:w="1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Personal, Food</w:t>
            </w:r>
          </w:p>
        </w:tc>
        <w:tc>
          <w:tcPr>
            <w:tcW w:w="3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260" w:type="dxa"/>
            <w:vAlign w:val="bottom"/>
            <w:gridSpan w:val="2"/>
          </w:tcPr>
          <w:p>
            <w:pPr>
              <w:jc w:val="right"/>
              <w:ind w:right="258"/>
              <w:spacing w:after="0"/>
              <w:rPr>
                <w:sz w:val="20"/>
                <w:szCs w:val="20"/>
                <w:color w:val="auto"/>
              </w:rPr>
            </w:pPr>
            <w:r>
              <w:rPr>
                <w:rFonts w:ascii="Times New Roman" w:cs="Times New Roman" w:eastAsia="Times New Roman" w:hAnsi="Times New Roman"/>
                <w:sz w:val="14"/>
                <w:szCs w:val="14"/>
                <w:color w:val="auto"/>
              </w:rPr>
              <w:t>0.1%</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1,934</w:t>
            </w:r>
          </w:p>
        </w:tc>
        <w:tc>
          <w:tcPr>
            <w:tcW w:w="0" w:type="dxa"/>
            <w:vAlign w:val="bottom"/>
          </w:tcPr>
          <w:p>
            <w:pPr>
              <w:spacing w:after="0"/>
              <w:rPr>
                <w:sz w:val="1"/>
                <w:szCs w:val="1"/>
                <w:color w:val="auto"/>
              </w:rPr>
            </w:pPr>
          </w:p>
        </w:tc>
      </w:tr>
      <w:tr>
        <w:trPr>
          <w:trHeight w:val="148"/>
        </w:trPr>
        <w:tc>
          <w:tcPr>
            <w:tcW w:w="3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(Crane 1 Acquisition Parent Holdings, L.P.)</w:t>
            </w:r>
          </w:p>
        </w:tc>
        <w:tc>
          <w:tcPr>
            <w:tcW w:w="1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w w:val="98"/>
              </w:rPr>
              <w:t>and</w:t>
            </w:r>
          </w:p>
        </w:tc>
        <w:tc>
          <w:tcPr>
            <w:tcW w:w="3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3M L+575, 08/16/2027</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1027 Byers Rd</w:t>
            </w:r>
          </w:p>
        </w:tc>
        <w:tc>
          <w:tcPr>
            <w:tcW w:w="1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Miscellaneous Services</w:t>
            </w:r>
          </w:p>
        </w:tc>
        <w:tc>
          <w:tcPr>
            <w:tcW w:w="3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Miamisburg, OH 45342</w:t>
            </w:r>
          </w:p>
        </w:tc>
        <w:tc>
          <w:tcPr>
            <w:tcW w:w="1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7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Crash Champions, LLC</w:t>
            </w:r>
          </w:p>
        </w:tc>
        <w:tc>
          <w:tcPr>
            <w:tcW w:w="186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Auto Sector</w:t>
            </w:r>
          </w:p>
        </w:tc>
        <w:tc>
          <w:tcPr>
            <w:tcW w:w="326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258"/>
              <w:spacing w:after="0" w:line="126" w:lineRule="exact"/>
              <w:rPr>
                <w:sz w:val="20"/>
                <w:szCs w:val="20"/>
                <w:color w:val="auto"/>
              </w:rPr>
            </w:pPr>
            <w:r>
              <w:rPr>
                <w:rFonts w:ascii="Times New Roman" w:cs="Times New Roman" w:eastAsia="Times New Roman" w:hAnsi="Times New Roman"/>
                <w:sz w:val="14"/>
                <w:szCs w:val="14"/>
                <w:color w:val="auto"/>
              </w:rPr>
              <w:t>0.1%</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21,532</w:t>
            </w:r>
          </w:p>
        </w:tc>
        <w:tc>
          <w:tcPr>
            <w:tcW w:w="0" w:type="dxa"/>
            <w:vAlign w:val="bottom"/>
          </w:tcPr>
          <w:p>
            <w:pPr>
              <w:spacing w:after="0"/>
              <w:rPr>
                <w:sz w:val="1"/>
                <w:szCs w:val="1"/>
                <w:color w:val="auto"/>
              </w:rPr>
            </w:pPr>
          </w:p>
        </w:tc>
      </w:tr>
      <w:tr>
        <w:trPr>
          <w:trHeight w:val="148"/>
        </w:trPr>
        <w:tc>
          <w:tcPr>
            <w:tcW w:w="37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(Crash Champions Holdings, LLC</w:t>
            </w:r>
            <w:r>
              <w:rPr>
                <w:rFonts w:ascii="Times New Roman" w:cs="Times New Roman" w:eastAsia="Times New Roman" w:hAnsi="Times New Roman"/>
                <w:sz w:val="12"/>
                <w:szCs w:val="12"/>
                <w:color w:val="auto"/>
              </w:rPr>
              <w:t>(5)</w:t>
            </w:r>
            <w:r>
              <w:rPr>
                <w:rFonts w:ascii="Times New Roman" w:cs="Times New Roman" w:eastAsia="Times New Roman" w:hAnsi="Times New Roman"/>
                <w:sz w:val="14"/>
                <w:szCs w:val="14"/>
                <w:color w:val="auto"/>
              </w:rPr>
              <w:t>)</w:t>
            </w:r>
          </w:p>
        </w:tc>
        <w:tc>
          <w:tcPr>
            <w:tcW w:w="1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6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3M L+500, 08/05/2025</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14330 S. Cicero Avenue</w:t>
            </w:r>
          </w:p>
        </w:tc>
        <w:tc>
          <w:tcPr>
            <w:tcW w:w="1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6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Crestwood, IL 60418</w:t>
            </w:r>
          </w:p>
        </w:tc>
        <w:tc>
          <w:tcPr>
            <w:tcW w:w="1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9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40"/>
          </w:cols>
          <w:pgMar w:left="320" w:top="455" w:right="4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3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Type of Investment,</w:t>
            </w:r>
          </w:p>
        </w:tc>
        <w:tc>
          <w:tcPr>
            <w:tcW w:w="1300" w:type="dxa"/>
            <w:vAlign w:val="bottom"/>
            <w:gridSpan w:val="2"/>
          </w:tcPr>
          <w:p>
            <w:pPr>
              <w:jc w:val="center"/>
              <w:ind w:right="418"/>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9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46"/>
        </w:trPr>
        <w:tc>
          <w:tcPr>
            <w:tcW w:w="3680" w:type="dxa"/>
            <w:vAlign w:val="bottom"/>
            <w:gridSpan w:val="2"/>
            <w:vMerge w:val="continue"/>
          </w:tcPr>
          <w:p>
            <w:pPr>
              <w:spacing w:after="0"/>
              <w:rPr>
                <w:sz w:val="12"/>
                <w:szCs w:val="12"/>
                <w:color w:val="auto"/>
              </w:rPr>
            </w:pPr>
          </w:p>
        </w:tc>
        <w:tc>
          <w:tcPr>
            <w:tcW w:w="18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Nature of Business</w:t>
            </w:r>
          </w:p>
        </w:tc>
        <w:tc>
          <w:tcPr>
            <w:tcW w:w="3320" w:type="dxa"/>
            <w:vAlign w:val="bottom"/>
            <w:gridSpan w:val="2"/>
            <w:vMerge w:val="continue"/>
          </w:tcPr>
          <w:p>
            <w:pPr>
              <w:spacing w:after="0"/>
              <w:rPr>
                <w:sz w:val="12"/>
                <w:szCs w:val="12"/>
                <w:color w:val="auto"/>
              </w:rPr>
            </w:pPr>
          </w:p>
        </w:tc>
        <w:tc>
          <w:tcPr>
            <w:tcW w:w="1300" w:type="dxa"/>
            <w:vAlign w:val="bottom"/>
            <w:gridSpan w:val="2"/>
          </w:tcPr>
          <w:p>
            <w:pPr>
              <w:jc w:val="center"/>
              <w:ind w:right="418"/>
              <w:spacing w:after="0" w:line="146"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Address of Portfolio Company</w:t>
            </w:r>
          </w:p>
        </w:tc>
        <w:tc>
          <w:tcPr>
            <w:tcW w:w="180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3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Interest</w:t>
            </w:r>
            <w:r>
              <w:rPr>
                <w:rFonts w:ascii="Times New Roman" w:cs="Times New Roman" w:eastAsia="Times New Roman" w:hAnsi="Times New Roman"/>
                <w:sz w:val="12"/>
                <w:szCs w:val="12"/>
                <w:b w:val="1"/>
                <w:bCs w:val="1"/>
                <w:color w:val="auto"/>
              </w:rPr>
              <w:t>(1)</w:t>
            </w:r>
            <w:r>
              <w:rPr>
                <w:rFonts w:ascii="Times New Roman" w:cs="Times New Roman" w:eastAsia="Times New Roman" w:hAnsi="Times New Roman"/>
                <w:sz w:val="14"/>
                <w:szCs w:val="14"/>
                <w:b w:val="1"/>
                <w:bCs w:val="1"/>
                <w:color w:val="auto"/>
              </w:rPr>
              <w:t>, Maturity</w:t>
            </w:r>
          </w:p>
        </w:tc>
        <w:tc>
          <w:tcPr>
            <w:tcW w:w="1300" w:type="dxa"/>
            <w:vAlign w:val="bottom"/>
            <w:gridSpan w:val="2"/>
          </w:tcPr>
          <w:p>
            <w:pPr>
              <w:jc w:val="center"/>
              <w:ind w:right="418"/>
              <w:spacing w:after="0"/>
              <w:rPr>
                <w:sz w:val="20"/>
                <w:szCs w:val="20"/>
                <w:color w:val="auto"/>
              </w:rPr>
            </w:pPr>
            <w:r>
              <w:rPr>
                <w:rFonts w:ascii="Times New Roman" w:cs="Times New Roman" w:eastAsia="Times New Roman" w:hAnsi="Times New Roman"/>
                <w:sz w:val="14"/>
                <w:szCs w:val="14"/>
                <w:b w:val="1"/>
                <w:bCs w:val="1"/>
                <w:color w:val="auto"/>
              </w:rPr>
              <w:t>Ownership</w:t>
            </w:r>
            <w:r>
              <w:rPr>
                <w:rFonts w:ascii="Times New Roman" w:cs="Times New Roman" w:eastAsia="Times New Roman" w:hAnsi="Times New Roman"/>
                <w:sz w:val="12"/>
                <w:szCs w:val="12"/>
                <w:b w:val="1"/>
                <w:bCs w:val="1"/>
                <w:color w:val="auto"/>
              </w:rPr>
              <w:t>(2)</w:t>
            </w: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08"/>
        </w:trPr>
        <w:tc>
          <w:tcPr>
            <w:tcW w:w="3680" w:type="dxa"/>
            <w:vAlign w:val="bottom"/>
            <w:tcBorders>
              <w:top w:val="single" w:sz="8" w:color="CCEEFF"/>
            </w:tcBorders>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Data Axle, Inc.</w:t>
            </w:r>
          </w:p>
        </w:tc>
        <w:tc>
          <w:tcPr>
            <w:tcW w:w="1520" w:type="dxa"/>
            <w:vAlign w:val="bottom"/>
            <w:tcBorders>
              <w:top w:val="single" w:sz="8" w:color="auto"/>
            </w:tcBorders>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color w:val="auto"/>
              </w:rPr>
              <w:t>Other Media</w:t>
            </w:r>
          </w:p>
        </w:tc>
        <w:tc>
          <w:tcPr>
            <w:tcW w:w="280" w:type="dxa"/>
            <w:vAlign w:val="bottom"/>
            <w:tcBorders>
              <w:top w:val="single" w:sz="8" w:color="CCEEFF"/>
            </w:tcBorders>
            <w:shd w:val="clear" w:color="auto" w:fill="CCEEFF"/>
          </w:tcPr>
          <w:p>
            <w:pPr>
              <w:spacing w:after="0"/>
              <w:rPr>
                <w:sz w:val="9"/>
                <w:szCs w:val="9"/>
                <w:color w:val="auto"/>
              </w:rPr>
            </w:pPr>
          </w:p>
        </w:tc>
        <w:tc>
          <w:tcPr>
            <w:tcW w:w="3040" w:type="dxa"/>
            <w:vAlign w:val="bottom"/>
            <w:tcBorders>
              <w:top w:val="single" w:sz="8" w:color="auto"/>
            </w:tcBorders>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color w:val="auto"/>
              </w:rPr>
              <w:t>Second Lien Secured Debt,</w:t>
            </w:r>
          </w:p>
        </w:tc>
        <w:tc>
          <w:tcPr>
            <w:tcW w:w="2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ind w:left="640"/>
              <w:spacing w:after="0" w:line="109" w:lineRule="exact"/>
              <w:rPr>
                <w:sz w:val="20"/>
                <w:szCs w:val="20"/>
                <w:color w:val="auto"/>
              </w:rPr>
            </w:pPr>
            <w:r>
              <w:rPr>
                <w:rFonts w:ascii="Times New Roman" w:cs="Times New Roman" w:eastAsia="Times New Roman" w:hAnsi="Times New Roman"/>
                <w:sz w:val="12"/>
                <w:szCs w:val="12"/>
                <w:color w:val="auto"/>
              </w:rPr>
              <w:t>1.1</w:t>
            </w:r>
          </w:p>
        </w:tc>
        <w:tc>
          <w:tcPr>
            <w:tcW w:w="480" w:type="dxa"/>
            <w:vAlign w:val="bottom"/>
            <w:tcBorders>
              <w:top w:val="single" w:sz="8" w:color="CCEEFF"/>
            </w:tcBorders>
            <w:shd w:val="clear" w:color="auto" w:fill="CCEEFF"/>
          </w:tcPr>
          <w:p>
            <w:pPr>
              <w:jc w:val="right"/>
              <w:ind w:right="298"/>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23,893</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(Infogroup Parent Holdings, Inc.)</w:t>
            </w:r>
          </w:p>
        </w:tc>
        <w:tc>
          <w:tcPr>
            <w:tcW w:w="1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3M L+925, 04/03/2024</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1020 E 1st Street</w:t>
            </w:r>
          </w:p>
        </w:tc>
        <w:tc>
          <w:tcPr>
            <w:tcW w:w="1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Papillion, NE 68046</w:t>
            </w:r>
          </w:p>
        </w:tc>
        <w:tc>
          <w:tcPr>
            <w:tcW w:w="1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DermaRite Industries LLC</w:t>
            </w:r>
          </w:p>
        </w:tc>
        <w:tc>
          <w:tcPr>
            <w:tcW w:w="18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Manufacturing / Basic</w:t>
            </w:r>
          </w:p>
        </w:tc>
        <w:tc>
          <w:tcPr>
            <w:tcW w:w="3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6,492</w:t>
            </w: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7777 West Side Avenue</w:t>
            </w:r>
          </w:p>
        </w:tc>
        <w:tc>
          <w:tcPr>
            <w:tcW w:w="18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Industries</w:t>
            </w:r>
          </w:p>
        </w:tc>
        <w:tc>
          <w:tcPr>
            <w:tcW w:w="3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1M L+700, 03/03/2022</w:t>
            </w: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North Bergen, NJ 07047</w:t>
            </w: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Dr. Squatch, LLC</w:t>
            </w:r>
          </w:p>
        </w:tc>
        <w:tc>
          <w:tcPr>
            <w:tcW w:w="1800" w:type="dxa"/>
            <w:vAlign w:val="bottom"/>
            <w:gridSpan w:val="2"/>
            <w:shd w:val="clear" w:color="auto" w:fill="CCEEFF"/>
          </w:tcPr>
          <w:p>
            <w:pPr>
              <w:jc w:val="center"/>
              <w:ind w:right="300"/>
              <w:spacing w:after="0" w:line="126" w:lineRule="exact"/>
              <w:rPr>
                <w:sz w:val="20"/>
                <w:szCs w:val="20"/>
                <w:color w:val="auto"/>
              </w:rPr>
            </w:pPr>
            <w:r>
              <w:rPr>
                <w:rFonts w:ascii="Times New Roman" w:cs="Times New Roman" w:eastAsia="Times New Roman" w:hAnsi="Times New Roman"/>
                <w:sz w:val="14"/>
                <w:szCs w:val="14"/>
                <w:color w:val="auto"/>
              </w:rPr>
              <w:t>Personal and</w:t>
            </w:r>
          </w:p>
        </w:tc>
        <w:tc>
          <w:tcPr>
            <w:tcW w:w="332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ind w:left="6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8,703</w:t>
            </w: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2355 Westwood Blvd. #1834</w:t>
            </w:r>
          </w:p>
        </w:tc>
        <w:tc>
          <w:tcPr>
            <w:tcW w:w="180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Non-Durable Consumer</w:t>
            </w:r>
          </w:p>
        </w:tc>
        <w:tc>
          <w:tcPr>
            <w:tcW w:w="3320" w:type="dxa"/>
            <w:vAlign w:val="bottom"/>
            <w:gridSpan w:val="2"/>
            <w:shd w:val="clear" w:color="auto" w:fill="CCEEFF"/>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3M L+600, 08/27/2026</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Los Angeles, CA 90064</w:t>
            </w:r>
          </w:p>
        </w:tc>
        <w:tc>
          <w:tcPr>
            <w:tcW w:w="18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color w:val="auto"/>
              </w:rPr>
              <w:t>Products</w:t>
            </w:r>
          </w:p>
        </w:tc>
        <w:tc>
          <w:tcPr>
            <w:tcW w:w="3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DRS Holdings III, Inc.</w:t>
            </w:r>
          </w:p>
        </w:tc>
        <w:tc>
          <w:tcPr>
            <w:tcW w:w="18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Consumer Products</w:t>
            </w:r>
          </w:p>
        </w:tc>
        <w:tc>
          <w:tcPr>
            <w:tcW w:w="3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3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4,910</w:t>
            </w: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225 State Street</w:t>
            </w: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3M L+575, 11/03/2025</w:t>
            </w: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Boston MA 02109</w:t>
            </w: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18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Duraco Specialty Tapes LLC</w:t>
            </w:r>
          </w:p>
        </w:tc>
        <w:tc>
          <w:tcPr>
            <w:tcW w:w="180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Manufacturing / Basic</w:t>
            </w:r>
          </w:p>
        </w:tc>
        <w:tc>
          <w:tcPr>
            <w:tcW w:w="3320" w:type="dxa"/>
            <w:vAlign w:val="bottom"/>
            <w:gridSpan w:val="2"/>
            <w:shd w:val="clear" w:color="auto" w:fill="CCEEFF"/>
          </w:tcPr>
          <w:p>
            <w:pPr>
              <w:jc w:val="center"/>
              <w:ind w:right="300"/>
              <w:spacing w:after="0" w:line="126" w:lineRule="exact"/>
              <w:rPr>
                <w:sz w:val="20"/>
                <w:szCs w:val="20"/>
                <w:color w:val="auto"/>
              </w:rPr>
            </w:pPr>
            <w:r>
              <w:rPr>
                <w:rFonts w:ascii="Times New Roman" w:cs="Times New Roman" w:eastAsia="Times New Roman" w:hAnsi="Times New Roman"/>
                <w:sz w:val="14"/>
                <w:szCs w:val="14"/>
                <w:color w:val="auto"/>
              </w:rPr>
              <w:t>First Lien Secured Debt,</w:t>
            </w:r>
          </w:p>
        </w:tc>
        <w:tc>
          <w:tcPr>
            <w:tcW w:w="1300" w:type="dxa"/>
            <w:vAlign w:val="bottom"/>
            <w:gridSpan w:val="2"/>
            <w:shd w:val="clear" w:color="auto" w:fill="CCEEFF"/>
          </w:tcPr>
          <w:p>
            <w:pPr>
              <w:ind w:left="6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8,079</w:t>
            </w: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7400 Industrial Dr.</w:t>
            </w:r>
          </w:p>
        </w:tc>
        <w:tc>
          <w:tcPr>
            <w:tcW w:w="180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Industries</w:t>
            </w:r>
          </w:p>
        </w:tc>
        <w:tc>
          <w:tcPr>
            <w:tcW w:w="3320" w:type="dxa"/>
            <w:vAlign w:val="bottom"/>
            <w:gridSpan w:val="2"/>
            <w:shd w:val="clear" w:color="auto" w:fill="CCEEFF"/>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3M L+550, 06/30/2024</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Forest Park, IL 60130</w:t>
            </w:r>
          </w:p>
        </w:tc>
        <w:tc>
          <w:tcPr>
            <w:tcW w:w="1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ECL Entertainment, LLC</w:t>
            </w:r>
          </w:p>
        </w:tc>
        <w:tc>
          <w:tcPr>
            <w:tcW w:w="18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Hotels, Motels,</w:t>
            </w:r>
          </w:p>
        </w:tc>
        <w:tc>
          <w:tcPr>
            <w:tcW w:w="3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10,100</w:t>
            </w: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(Kentucky Racing Holdco, LLC</w:t>
            </w:r>
            <w:r>
              <w:rPr>
                <w:rFonts w:ascii="Times New Roman" w:cs="Times New Roman" w:eastAsia="Times New Roman" w:hAnsi="Times New Roman"/>
                <w:sz w:val="12"/>
                <w:szCs w:val="12"/>
                <w:color w:val="auto"/>
              </w:rPr>
              <w:t>(5)</w:t>
            </w:r>
            <w:r>
              <w:rPr>
                <w:rFonts w:ascii="Times New Roman" w:cs="Times New Roman" w:eastAsia="Times New Roman" w:hAnsi="Times New Roman"/>
                <w:sz w:val="14"/>
                <w:szCs w:val="14"/>
                <w:color w:val="auto"/>
              </w:rPr>
              <w:t>)</w:t>
            </w:r>
          </w:p>
        </w:tc>
        <w:tc>
          <w:tcPr>
            <w:tcW w:w="18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Inns and Gaming</w:t>
            </w:r>
          </w:p>
        </w:tc>
        <w:tc>
          <w:tcPr>
            <w:tcW w:w="3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1M L+750, 03/31/2028</w:t>
            </w: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5629 Nashville Road</w:t>
            </w: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Warrants</w:t>
            </w: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Franklin, KY 42134</w:t>
            </w: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ECM Industries, LLC</w:t>
            </w:r>
          </w:p>
        </w:tc>
        <w:tc>
          <w:tcPr>
            <w:tcW w:w="180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Electronics</w:t>
            </w:r>
          </w:p>
        </w:tc>
        <w:tc>
          <w:tcPr>
            <w:tcW w:w="332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ind w:left="600"/>
              <w:spacing w:after="0" w:line="126"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2"/>
                <w:szCs w:val="12"/>
                <w:color w:val="auto"/>
              </w:rPr>
              <w:t>(7)</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602</w:t>
            </w:r>
          </w:p>
        </w:tc>
        <w:tc>
          <w:tcPr>
            <w:tcW w:w="0" w:type="dxa"/>
            <w:vAlign w:val="bottom"/>
          </w:tcPr>
          <w:p>
            <w:pPr>
              <w:spacing w:after="0"/>
              <w:rPr>
                <w:sz w:val="1"/>
                <w:szCs w:val="1"/>
                <w:color w:val="auto"/>
              </w:rPr>
            </w:pPr>
          </w:p>
        </w:tc>
      </w:tr>
      <w:tr>
        <w:trPr>
          <w:trHeight w:val="149"/>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xml:space="preserve">(ECM Investors, LLC </w:t>
            </w:r>
            <w:r>
              <w:rPr>
                <w:rFonts w:ascii="Times New Roman" w:cs="Times New Roman" w:eastAsia="Times New Roman" w:hAnsi="Times New Roman"/>
                <w:sz w:val="12"/>
                <w:szCs w:val="12"/>
                <w:color w:val="auto"/>
              </w:rPr>
              <w:t>(5)</w:t>
            </w:r>
            <w:r>
              <w:rPr>
                <w:rFonts w:ascii="Times New Roman" w:cs="Times New Roman" w:eastAsia="Times New Roman" w:hAnsi="Times New Roman"/>
                <w:sz w:val="14"/>
                <w:szCs w:val="14"/>
                <w:color w:val="auto"/>
              </w:rPr>
              <w:t>)</w:t>
            </w:r>
          </w:p>
        </w:tc>
        <w:tc>
          <w:tcPr>
            <w:tcW w:w="1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3M L+475, 12/23/2025</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16250 W Woods Edge Rd</w:t>
            </w:r>
          </w:p>
        </w:tc>
        <w:tc>
          <w:tcPr>
            <w:tcW w:w="1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New Berlin, WI 53151</w:t>
            </w:r>
          </w:p>
        </w:tc>
        <w:tc>
          <w:tcPr>
            <w:tcW w:w="1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eCommission Holding Corporation</w:t>
            </w:r>
            <w:r>
              <w:rPr>
                <w:rFonts w:ascii="Times New Roman" w:cs="Times New Roman" w:eastAsia="Times New Roman" w:hAnsi="Times New Roman"/>
                <w:sz w:val="12"/>
                <w:szCs w:val="12"/>
                <w:color w:val="auto"/>
              </w:rPr>
              <w:t>(6)</w:t>
            </w:r>
          </w:p>
        </w:tc>
        <w:tc>
          <w:tcPr>
            <w:tcW w:w="18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Financial Services</w:t>
            </w:r>
          </w:p>
        </w:tc>
        <w:tc>
          <w:tcPr>
            <w:tcW w:w="3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Common Equity</w:t>
            </w:r>
          </w:p>
        </w:tc>
        <w:tc>
          <w:tcPr>
            <w:tcW w:w="130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1.3%</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1,269</w:t>
            </w: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11612 Bee Caves Road, Building II,</w:t>
            </w: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Suite 200 Austin, TX, 78738</w:t>
            </w: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ENC Parent Corporation</w:t>
            </w:r>
          </w:p>
        </w:tc>
        <w:tc>
          <w:tcPr>
            <w:tcW w:w="180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Business Services</w:t>
            </w:r>
          </w:p>
        </w:tc>
        <w:tc>
          <w:tcPr>
            <w:tcW w:w="3320" w:type="dxa"/>
            <w:vAlign w:val="bottom"/>
            <w:gridSpan w:val="2"/>
            <w:shd w:val="clear" w:color="auto" w:fill="CCEEFF"/>
          </w:tcPr>
          <w:p>
            <w:pPr>
              <w:jc w:val="center"/>
              <w:ind w:right="300"/>
              <w:spacing w:after="0" w:line="126" w:lineRule="exact"/>
              <w:rPr>
                <w:sz w:val="20"/>
                <w:szCs w:val="20"/>
                <w:color w:val="auto"/>
              </w:rPr>
            </w:pPr>
            <w:r>
              <w:rPr>
                <w:rFonts w:ascii="Times New Roman" w:cs="Times New Roman" w:eastAsia="Times New Roman" w:hAnsi="Times New Roman"/>
                <w:sz w:val="14"/>
                <w:szCs w:val="14"/>
                <w:color w:val="auto"/>
              </w:rPr>
              <w:t>Second Lien Secured Debt,</w:t>
            </w:r>
          </w:p>
        </w:tc>
        <w:tc>
          <w:tcPr>
            <w:tcW w:w="1300" w:type="dxa"/>
            <w:vAlign w:val="bottom"/>
            <w:gridSpan w:val="2"/>
            <w:shd w:val="clear" w:color="auto" w:fill="CCEEFF"/>
          </w:tcPr>
          <w:p>
            <w:pPr>
              <w:ind w:left="6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7,425</w:t>
            </w:r>
          </w:p>
        </w:tc>
        <w:tc>
          <w:tcPr>
            <w:tcW w:w="0" w:type="dxa"/>
            <w:vAlign w:val="bottom"/>
          </w:tcPr>
          <w:p>
            <w:pPr>
              <w:spacing w:after="0"/>
              <w:rPr>
                <w:sz w:val="1"/>
                <w:szCs w:val="1"/>
                <w:color w:val="auto"/>
              </w:rPr>
            </w:pPr>
          </w:p>
        </w:tc>
      </w:tr>
      <w:tr>
        <w:trPr>
          <w:trHeight w:val="149"/>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100-110 West Columbia Street</w:t>
            </w:r>
          </w:p>
        </w:tc>
        <w:tc>
          <w:tcPr>
            <w:tcW w:w="1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3M L+750, 08/19/2029</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Schuylkill Haven, PA 17972</w:t>
            </w:r>
          </w:p>
        </w:tc>
        <w:tc>
          <w:tcPr>
            <w:tcW w:w="1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Fairbanks Morse Defense</w:t>
            </w:r>
          </w:p>
        </w:tc>
        <w:tc>
          <w:tcPr>
            <w:tcW w:w="18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Aerospace and Defense</w:t>
            </w:r>
          </w:p>
        </w:tc>
        <w:tc>
          <w:tcPr>
            <w:tcW w:w="3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3,491</w:t>
            </w:r>
          </w:p>
        </w:tc>
        <w:tc>
          <w:tcPr>
            <w:tcW w:w="0" w:type="dxa"/>
            <w:vAlign w:val="bottom"/>
          </w:tcPr>
          <w:p>
            <w:pPr>
              <w:spacing w:after="0"/>
              <w:rPr>
                <w:sz w:val="1"/>
                <w:szCs w:val="1"/>
                <w:color w:val="auto"/>
              </w:rPr>
            </w:pPr>
          </w:p>
        </w:tc>
      </w:tr>
      <w:tr>
        <w:trPr>
          <w:trHeight w:val="149"/>
        </w:trPr>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701 White Avenue</w:t>
            </w: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3M L+475, 06/17/2028</w:t>
            </w: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Beloit, WI 53511</w:t>
            </w: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Gantech Acquisition Corp.</w:t>
            </w:r>
          </w:p>
        </w:tc>
        <w:tc>
          <w:tcPr>
            <w:tcW w:w="180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Business Services</w:t>
            </w:r>
          </w:p>
        </w:tc>
        <w:tc>
          <w:tcPr>
            <w:tcW w:w="332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ind w:left="640"/>
              <w:spacing w:after="0" w:line="126" w:lineRule="exact"/>
              <w:rPr>
                <w:sz w:val="20"/>
                <w:szCs w:val="20"/>
                <w:color w:val="auto"/>
              </w:rPr>
            </w:pPr>
            <w:r>
              <w:rPr>
                <w:rFonts w:ascii="Times New Roman" w:cs="Times New Roman" w:eastAsia="Times New Roman" w:hAnsi="Times New Roman"/>
                <w:sz w:val="14"/>
                <w:szCs w:val="14"/>
                <w:color w:val="auto"/>
              </w:rPr>
              <w:t>3.9%</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20,177</w:t>
            </w:r>
          </w:p>
        </w:tc>
        <w:tc>
          <w:tcPr>
            <w:tcW w:w="0" w:type="dxa"/>
            <w:vAlign w:val="bottom"/>
          </w:tcPr>
          <w:p>
            <w:pPr>
              <w:spacing w:after="0"/>
              <w:rPr>
                <w:sz w:val="1"/>
                <w:szCs w:val="1"/>
                <w:color w:val="auto"/>
              </w:rPr>
            </w:pPr>
          </w:p>
        </w:tc>
      </w:tr>
      <w:tr>
        <w:trPr>
          <w:trHeight w:val="149"/>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xml:space="preserve">(GCOM InvestCo LP </w:t>
            </w:r>
            <w:r>
              <w:rPr>
                <w:rFonts w:ascii="Times New Roman" w:cs="Times New Roman" w:eastAsia="Times New Roman" w:hAnsi="Times New Roman"/>
                <w:sz w:val="12"/>
                <w:szCs w:val="12"/>
                <w:color w:val="auto"/>
              </w:rPr>
              <w:t>(5)</w:t>
            </w:r>
            <w:r>
              <w:rPr>
                <w:rFonts w:ascii="Times New Roman" w:cs="Times New Roman" w:eastAsia="Times New Roman" w:hAnsi="Times New Roman"/>
                <w:sz w:val="14"/>
                <w:szCs w:val="14"/>
                <w:color w:val="auto"/>
              </w:rPr>
              <w:t>)</w:t>
            </w:r>
          </w:p>
        </w:tc>
        <w:tc>
          <w:tcPr>
            <w:tcW w:w="1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1M L+625, 05/14/2026</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9175 Guilford Road, Suite 101</w:t>
            </w:r>
          </w:p>
        </w:tc>
        <w:tc>
          <w:tcPr>
            <w:tcW w:w="1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Columbia, MD 21046</w:t>
            </w:r>
          </w:p>
        </w:tc>
        <w:tc>
          <w:tcPr>
            <w:tcW w:w="1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Graffiti Buyer, Inc.</w:t>
            </w:r>
          </w:p>
        </w:tc>
        <w:tc>
          <w:tcPr>
            <w:tcW w:w="18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Distribution</w:t>
            </w:r>
          </w:p>
        </w:tc>
        <w:tc>
          <w:tcPr>
            <w:tcW w:w="3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3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149"/>
        </w:trPr>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25195 Brest Road</w:t>
            </w: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3M L+575, 08/10/2027</w:t>
            </w: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Taylor, MI 48180</w:t>
            </w: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18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Halo Buyer, Inc.</w:t>
            </w:r>
          </w:p>
        </w:tc>
        <w:tc>
          <w:tcPr>
            <w:tcW w:w="180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Consumer</w:t>
            </w:r>
          </w:p>
        </w:tc>
        <w:tc>
          <w:tcPr>
            <w:tcW w:w="3320" w:type="dxa"/>
            <w:vAlign w:val="bottom"/>
            <w:gridSpan w:val="2"/>
            <w:shd w:val="clear" w:color="auto" w:fill="CCEEFF"/>
          </w:tcPr>
          <w:p>
            <w:pPr>
              <w:jc w:val="center"/>
              <w:ind w:right="300"/>
              <w:spacing w:after="0" w:line="126" w:lineRule="exact"/>
              <w:rPr>
                <w:sz w:val="20"/>
                <w:szCs w:val="20"/>
                <w:color w:val="auto"/>
              </w:rPr>
            </w:pPr>
            <w:r>
              <w:rPr>
                <w:rFonts w:ascii="Times New Roman" w:cs="Times New Roman" w:eastAsia="Times New Roman" w:hAnsi="Times New Roman"/>
                <w:sz w:val="14"/>
                <w:szCs w:val="14"/>
                <w:color w:val="auto"/>
              </w:rPr>
              <w:t>Second Lien Secured Debt,</w:t>
            </w:r>
          </w:p>
        </w:tc>
        <w:tc>
          <w:tcPr>
            <w:tcW w:w="1300" w:type="dxa"/>
            <w:vAlign w:val="bottom"/>
            <w:gridSpan w:val="2"/>
            <w:shd w:val="clear" w:color="auto" w:fill="CCEEFF"/>
          </w:tcPr>
          <w:p>
            <w:pPr>
              <w:ind w:left="6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31,119</w:t>
            </w: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1980 Industrial Drive</w:t>
            </w:r>
          </w:p>
        </w:tc>
        <w:tc>
          <w:tcPr>
            <w:tcW w:w="1800" w:type="dxa"/>
            <w:vAlign w:val="bottom"/>
            <w:gridSpan w:val="2"/>
            <w:shd w:val="clear" w:color="auto" w:fill="CCEEFF"/>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Products</w:t>
            </w:r>
          </w:p>
        </w:tc>
        <w:tc>
          <w:tcPr>
            <w:tcW w:w="3320" w:type="dxa"/>
            <w:vAlign w:val="bottom"/>
            <w:gridSpan w:val="2"/>
            <w:shd w:val="clear" w:color="auto" w:fill="CCEEFF"/>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1M L+825, 07/06/2026</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Sterling, IL 61081</w:t>
            </w:r>
          </w:p>
        </w:tc>
        <w:tc>
          <w:tcPr>
            <w:tcW w:w="1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Hancock Roofing and Construction L.L.C.</w:t>
            </w:r>
          </w:p>
        </w:tc>
        <w:tc>
          <w:tcPr>
            <w:tcW w:w="18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Insurance</w:t>
            </w:r>
          </w:p>
        </w:tc>
        <w:tc>
          <w:tcPr>
            <w:tcW w:w="3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30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0.4%</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1,714</w:t>
            </w: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(Hancock Claims Consultants</w:t>
            </w: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3M L+500, 12/31/2026</w:t>
            </w: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 xml:space="preserve">Investors, LLC </w:t>
            </w:r>
            <w:r>
              <w:rPr>
                <w:rFonts w:ascii="Times New Roman" w:cs="Times New Roman" w:eastAsia="Times New Roman" w:hAnsi="Times New Roman"/>
                <w:sz w:val="12"/>
                <w:szCs w:val="12"/>
                <w:color w:val="auto"/>
              </w:rPr>
              <w:t>(5)</w:t>
            </w:r>
            <w:r>
              <w:rPr>
                <w:rFonts w:ascii="Times New Roman" w:cs="Times New Roman" w:eastAsia="Times New Roman" w:hAnsi="Times New Roman"/>
                <w:sz w:val="14"/>
                <w:szCs w:val="14"/>
                <w:color w:val="auto"/>
              </w:rPr>
              <w:t>)</w:t>
            </w: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6875 Shiloh Rd. East</w:t>
            </w: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Alpharetta, GA 30005</w:t>
            </w: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40"/>
          </w:cols>
          <w:pgMar w:left="320" w:top="455" w:right="4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Type of Investment,</w:t>
            </w:r>
          </w:p>
        </w:tc>
        <w:tc>
          <w:tcPr>
            <w:tcW w:w="1280" w:type="dxa"/>
            <w:vAlign w:val="bottom"/>
            <w:gridSpan w:val="2"/>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9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46"/>
        </w:trPr>
        <w:tc>
          <w:tcPr>
            <w:tcW w:w="3680" w:type="dxa"/>
            <w:vAlign w:val="bottom"/>
            <w:gridSpan w:val="2"/>
            <w:vMerge w:val="continue"/>
          </w:tcPr>
          <w:p>
            <w:pPr>
              <w:spacing w:after="0"/>
              <w:rPr>
                <w:sz w:val="12"/>
                <w:szCs w:val="12"/>
                <w:color w:val="auto"/>
              </w:rPr>
            </w:pPr>
          </w:p>
        </w:tc>
        <w:tc>
          <w:tcPr>
            <w:tcW w:w="18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Nature of Business</w:t>
            </w:r>
          </w:p>
        </w:tc>
        <w:tc>
          <w:tcPr>
            <w:tcW w:w="3320" w:type="dxa"/>
            <w:vAlign w:val="bottom"/>
            <w:gridSpan w:val="2"/>
            <w:vMerge w:val="continue"/>
          </w:tcPr>
          <w:p>
            <w:pPr>
              <w:spacing w:after="0"/>
              <w:rPr>
                <w:sz w:val="12"/>
                <w:szCs w:val="12"/>
                <w:color w:val="auto"/>
              </w:rPr>
            </w:pPr>
          </w:p>
        </w:tc>
        <w:tc>
          <w:tcPr>
            <w:tcW w:w="1280" w:type="dxa"/>
            <w:vAlign w:val="bottom"/>
            <w:gridSpan w:val="2"/>
          </w:tcPr>
          <w:p>
            <w:pPr>
              <w:jc w:val="right"/>
              <w:ind w:right="458"/>
              <w:spacing w:after="0" w:line="146"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Address of Portfolio Company</w:t>
            </w:r>
          </w:p>
        </w:tc>
        <w:tc>
          <w:tcPr>
            <w:tcW w:w="180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3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Interest</w:t>
            </w:r>
            <w:r>
              <w:rPr>
                <w:rFonts w:ascii="Times New Roman" w:cs="Times New Roman" w:eastAsia="Times New Roman" w:hAnsi="Times New Roman"/>
                <w:sz w:val="12"/>
                <w:szCs w:val="12"/>
                <w:b w:val="1"/>
                <w:bCs w:val="1"/>
                <w:color w:val="auto"/>
              </w:rPr>
              <w:t>(1)</w:t>
            </w:r>
            <w:r>
              <w:rPr>
                <w:rFonts w:ascii="Times New Roman" w:cs="Times New Roman" w:eastAsia="Times New Roman" w:hAnsi="Times New Roman"/>
                <w:sz w:val="14"/>
                <w:szCs w:val="14"/>
                <w:b w:val="1"/>
                <w:bCs w:val="1"/>
                <w:color w:val="auto"/>
              </w:rPr>
              <w:t>, Maturity</w:t>
            </w:r>
          </w:p>
        </w:tc>
        <w:tc>
          <w:tcPr>
            <w:tcW w:w="1280" w:type="dxa"/>
            <w:vAlign w:val="bottom"/>
            <w:gridSpan w:val="2"/>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w w:val="99"/>
              </w:rPr>
              <w:t>Ownership</w:t>
            </w:r>
            <w:r>
              <w:rPr>
                <w:rFonts w:ascii="Times New Roman" w:cs="Times New Roman" w:eastAsia="Times New Roman" w:hAnsi="Times New Roman"/>
                <w:sz w:val="12"/>
                <w:szCs w:val="12"/>
                <w:b w:val="1"/>
                <w:bCs w:val="1"/>
                <w:color w:val="auto"/>
                <w:w w:val="99"/>
              </w:rPr>
              <w:t>(2)</w:t>
            </w: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08"/>
        </w:trPr>
        <w:tc>
          <w:tcPr>
            <w:tcW w:w="3680" w:type="dxa"/>
            <w:vAlign w:val="bottom"/>
            <w:tcBorders>
              <w:top w:val="single" w:sz="8" w:color="CCEEFF"/>
            </w:tcBorders>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Holdco Sands Intermediate, LLC</w:t>
            </w:r>
          </w:p>
        </w:tc>
        <w:tc>
          <w:tcPr>
            <w:tcW w:w="1520" w:type="dxa"/>
            <w:vAlign w:val="bottom"/>
            <w:tcBorders>
              <w:top w:val="single" w:sz="8" w:color="auto"/>
            </w:tcBorders>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color w:val="auto"/>
              </w:rPr>
              <w:t>Aerospace and Defense</w:t>
            </w:r>
          </w:p>
        </w:tc>
        <w:tc>
          <w:tcPr>
            <w:tcW w:w="300" w:type="dxa"/>
            <w:vAlign w:val="bottom"/>
            <w:tcBorders>
              <w:top w:val="single" w:sz="8" w:color="CCEEFF"/>
            </w:tcBorders>
            <w:shd w:val="clear" w:color="auto" w:fill="CCEEFF"/>
          </w:tcPr>
          <w:p>
            <w:pPr>
              <w:spacing w:after="0"/>
              <w:rPr>
                <w:sz w:val="9"/>
                <w:szCs w:val="9"/>
                <w:color w:val="auto"/>
              </w:rPr>
            </w:pPr>
          </w:p>
        </w:tc>
        <w:tc>
          <w:tcPr>
            <w:tcW w:w="3040" w:type="dxa"/>
            <w:vAlign w:val="bottom"/>
            <w:tcBorders>
              <w:top w:val="single" w:sz="8" w:color="auto"/>
            </w:tcBorders>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2"/>
                <w:szCs w:val="12"/>
                <w:color w:val="auto"/>
              </w:rPr>
              <w:t>,</w:t>
            </w:r>
          </w:p>
        </w:tc>
        <w:tc>
          <w:tcPr>
            <w:tcW w:w="2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2.1</w:t>
            </w:r>
          </w:p>
        </w:tc>
        <w:tc>
          <w:tcPr>
            <w:tcW w:w="460" w:type="dxa"/>
            <w:vAlign w:val="bottom"/>
            <w:tcBorders>
              <w:top w:val="single" w:sz="8" w:color="CCEEFF"/>
            </w:tcBorders>
            <w:shd w:val="clear" w:color="auto" w:fill="CCEEFF"/>
          </w:tcPr>
          <w:p>
            <w:pPr>
              <w:jc w:val="right"/>
              <w:ind w:right="278"/>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22,993</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xml:space="preserve">(OceanSound Discovery Equity, LP </w:t>
            </w:r>
            <w:r>
              <w:rPr>
                <w:rFonts w:ascii="Times New Roman" w:cs="Times New Roman" w:eastAsia="Times New Roman" w:hAnsi="Times New Roman"/>
                <w:sz w:val="12"/>
                <w:szCs w:val="12"/>
                <w:color w:val="auto"/>
              </w:rPr>
              <w:t>(5)</w:t>
            </w:r>
            <w:r>
              <w:rPr>
                <w:rFonts w:ascii="Times New Roman" w:cs="Times New Roman" w:eastAsia="Times New Roman" w:hAnsi="Times New Roman"/>
                <w:sz w:val="14"/>
                <w:szCs w:val="14"/>
                <w:color w:val="auto"/>
              </w:rPr>
              <w:t>)</w:t>
            </w:r>
          </w:p>
        </w:tc>
        <w:tc>
          <w:tcPr>
            <w:tcW w:w="1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1M L+600, 11/23/2028</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44150 Smartronix Way, STE 200</w:t>
            </w:r>
          </w:p>
        </w:tc>
        <w:tc>
          <w:tcPr>
            <w:tcW w:w="1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Hollywood, MD 20636</w:t>
            </w:r>
          </w:p>
        </w:tc>
        <w:tc>
          <w:tcPr>
            <w:tcW w:w="15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HW Holdco, LLC</w:t>
            </w: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Media</w:t>
            </w:r>
          </w:p>
        </w:tc>
        <w:tc>
          <w:tcPr>
            <w:tcW w:w="3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280" w:type="dxa"/>
            <w:vAlign w:val="bottom"/>
            <w:gridSpan w:val="2"/>
          </w:tcPr>
          <w:p>
            <w:pPr>
              <w:jc w:val="right"/>
              <w:ind w:right="45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7,819</w:t>
            </w: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4000 MacArthur, Suite 400</w:t>
            </w: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L+575, 12/10/2024</w:t>
            </w: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Newport Beach, CA 92660</w:t>
            </w:r>
          </w:p>
        </w:tc>
        <w:tc>
          <w:tcPr>
            <w:tcW w:w="1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Icon Partners V C, L.P. </w:t>
            </w:r>
            <w:r>
              <w:rPr>
                <w:rFonts w:ascii="Times New Roman" w:cs="Times New Roman" w:eastAsia="Times New Roman" w:hAnsi="Times New Roman"/>
                <w:sz w:val="12"/>
                <w:szCs w:val="12"/>
                <w:color w:val="auto"/>
              </w:rPr>
              <w:t>(5)</w:t>
            </w:r>
          </w:p>
        </w:tc>
        <w:tc>
          <w:tcPr>
            <w:tcW w:w="1820" w:type="dxa"/>
            <w:vAlign w:val="bottom"/>
            <w:gridSpan w:val="2"/>
            <w:shd w:val="clear" w:color="auto" w:fill="CCEEFF"/>
          </w:tcPr>
          <w:p>
            <w:pPr>
              <w:jc w:val="center"/>
              <w:ind w:right="300"/>
              <w:spacing w:after="0" w:line="126" w:lineRule="exact"/>
              <w:rPr>
                <w:sz w:val="20"/>
                <w:szCs w:val="20"/>
                <w:color w:val="auto"/>
              </w:rPr>
            </w:pPr>
            <w:r>
              <w:rPr>
                <w:rFonts w:ascii="Times New Roman" w:cs="Times New Roman" w:eastAsia="Times New Roman" w:hAnsi="Times New Roman"/>
                <w:sz w:val="14"/>
                <w:szCs w:val="14"/>
                <w:color w:val="auto"/>
              </w:rPr>
              <w:t>Business Services</w:t>
            </w:r>
          </w:p>
        </w:tc>
        <w:tc>
          <w:tcPr>
            <w:tcW w:w="3320" w:type="dxa"/>
            <w:vAlign w:val="bottom"/>
            <w:gridSpan w:val="2"/>
            <w:shd w:val="clear" w:color="auto" w:fill="CCEEFF"/>
          </w:tcPr>
          <w:p>
            <w:pPr>
              <w:jc w:val="center"/>
              <w:ind w:right="300"/>
              <w:spacing w:after="0" w:line="126" w:lineRule="exact"/>
              <w:rPr>
                <w:sz w:val="20"/>
                <w:szCs w:val="20"/>
                <w:color w:val="auto"/>
              </w:rPr>
            </w:pPr>
            <w:r>
              <w:rPr>
                <w:rFonts w:ascii="Times New Roman" w:cs="Times New Roman" w:eastAsia="Times New Roman" w:hAnsi="Times New Roman"/>
                <w:sz w:val="14"/>
                <w:szCs w:val="14"/>
                <w:color w:val="auto"/>
              </w:rPr>
              <w:t>Common Equity</w:t>
            </w:r>
            <w:r>
              <w:rPr>
                <w:rFonts w:ascii="Times New Roman" w:cs="Times New Roman" w:eastAsia="Times New Roman" w:hAnsi="Times New Roman"/>
                <w:sz w:val="12"/>
                <w:szCs w:val="12"/>
                <w:color w:val="auto"/>
              </w:rPr>
              <w:t>(4)</w:t>
            </w:r>
          </w:p>
        </w:tc>
        <w:tc>
          <w:tcPr>
            <w:tcW w:w="1280" w:type="dxa"/>
            <w:vAlign w:val="bottom"/>
            <w:gridSpan w:val="2"/>
            <w:shd w:val="clear" w:color="auto" w:fill="CCEEFF"/>
          </w:tcPr>
          <w:p>
            <w:pPr>
              <w:jc w:val="right"/>
              <w:ind w:right="278"/>
              <w:spacing w:after="0" w:line="126" w:lineRule="exact"/>
              <w:rPr>
                <w:sz w:val="20"/>
                <w:szCs w:val="20"/>
                <w:color w:val="auto"/>
              </w:rPr>
            </w:pPr>
            <w:r>
              <w:rPr>
                <w:rFonts w:ascii="Times New Roman" w:cs="Times New Roman" w:eastAsia="Times New Roman" w:hAnsi="Times New Roman"/>
                <w:sz w:val="14"/>
                <w:szCs w:val="14"/>
                <w:color w:val="auto"/>
              </w:rPr>
              <w:t>0.1%</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1,111</w:t>
            </w: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233 Wilshire Boulevard, Suite 800</w:t>
            </w:r>
          </w:p>
        </w:tc>
        <w:tc>
          <w:tcPr>
            <w:tcW w:w="1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Santa Monica, CA, 90401</w:t>
            </w:r>
          </w:p>
        </w:tc>
        <w:tc>
          <w:tcPr>
            <w:tcW w:w="1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IDC Infusion Services, Inc.</w:t>
            </w: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Healthcare, Education and</w:t>
            </w:r>
          </w:p>
        </w:tc>
        <w:tc>
          <w:tcPr>
            <w:tcW w:w="3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280" w:type="dxa"/>
            <w:vAlign w:val="bottom"/>
            <w:gridSpan w:val="2"/>
          </w:tcPr>
          <w:p>
            <w:pPr>
              <w:jc w:val="right"/>
              <w:ind w:right="45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4,900</w:t>
            </w: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3609 Park East Drive</w:t>
            </w:r>
          </w:p>
        </w:tc>
        <w:tc>
          <w:tcPr>
            <w:tcW w:w="18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Childcare</w:t>
            </w:r>
          </w:p>
        </w:tc>
        <w:tc>
          <w:tcPr>
            <w:tcW w:w="3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L+600, 12/30/2026</w:t>
            </w: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Beachwood, OH 44122</w:t>
            </w:r>
          </w:p>
        </w:tc>
        <w:tc>
          <w:tcPr>
            <w:tcW w:w="1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18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IG Investments Holdings, LLC</w:t>
            </w:r>
          </w:p>
        </w:tc>
        <w:tc>
          <w:tcPr>
            <w:tcW w:w="1820" w:type="dxa"/>
            <w:vAlign w:val="bottom"/>
            <w:gridSpan w:val="2"/>
            <w:shd w:val="clear" w:color="auto" w:fill="CCEEFF"/>
          </w:tcPr>
          <w:p>
            <w:pPr>
              <w:jc w:val="center"/>
              <w:ind w:right="300"/>
              <w:spacing w:after="0" w:line="126" w:lineRule="exact"/>
              <w:rPr>
                <w:sz w:val="20"/>
                <w:szCs w:val="20"/>
                <w:color w:val="auto"/>
              </w:rPr>
            </w:pPr>
            <w:r>
              <w:rPr>
                <w:rFonts w:ascii="Times New Roman" w:cs="Times New Roman" w:eastAsia="Times New Roman" w:hAnsi="Times New Roman"/>
                <w:sz w:val="14"/>
                <w:szCs w:val="14"/>
                <w:color w:val="auto"/>
              </w:rPr>
              <w:t>Business Services</w:t>
            </w:r>
          </w:p>
        </w:tc>
        <w:tc>
          <w:tcPr>
            <w:tcW w:w="332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458"/>
              <w:spacing w:after="0" w:line="12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4,646</w:t>
            </w: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1224 Hammond Drive, Suite 1500</w:t>
            </w:r>
          </w:p>
        </w:tc>
        <w:tc>
          <w:tcPr>
            <w:tcW w:w="1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L+600, 09/22/2028</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Atlanta, GA 30346</w:t>
            </w:r>
          </w:p>
        </w:tc>
        <w:tc>
          <w:tcPr>
            <w:tcW w:w="1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Imagine Acquisitionco, LLC</w:t>
            </w: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Business Services</w:t>
            </w:r>
          </w:p>
        </w:tc>
        <w:tc>
          <w:tcPr>
            <w:tcW w:w="3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280" w:type="dxa"/>
            <w:vAlign w:val="bottom"/>
            <w:gridSpan w:val="2"/>
          </w:tcPr>
          <w:p>
            <w:pPr>
              <w:jc w:val="right"/>
              <w:ind w:right="278"/>
              <w:spacing w:after="0"/>
              <w:rPr>
                <w:sz w:val="20"/>
                <w:szCs w:val="20"/>
                <w:color w:val="auto"/>
              </w:rPr>
            </w:pPr>
            <w:r>
              <w:rPr>
                <w:rFonts w:ascii="Times New Roman" w:cs="Times New Roman" w:eastAsia="Times New Roman" w:hAnsi="Times New Roman"/>
                <w:sz w:val="14"/>
                <w:szCs w:val="14"/>
                <w:color w:val="auto"/>
              </w:rPr>
              <w:t>0.3%</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6,238</w:t>
            </w: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(Imagine Topco, LP)</w:t>
            </w: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3M L+550, 11/15/2027</w:t>
            </w: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8757 Red Oak Blvd,</w:t>
            </w: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Preferred Equity</w:t>
            </w: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Charlotte, NC 28217</w:t>
            </w:r>
          </w:p>
        </w:tc>
        <w:tc>
          <w:tcPr>
            <w:tcW w:w="1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Inception Fertility Ventures, LLC</w:t>
            </w:r>
          </w:p>
        </w:tc>
        <w:tc>
          <w:tcPr>
            <w:tcW w:w="1820" w:type="dxa"/>
            <w:vAlign w:val="bottom"/>
            <w:gridSpan w:val="2"/>
            <w:shd w:val="clear" w:color="auto" w:fill="CCEEFF"/>
          </w:tcPr>
          <w:p>
            <w:pPr>
              <w:jc w:val="center"/>
              <w:ind w:right="300"/>
              <w:spacing w:after="0" w:line="126" w:lineRule="exact"/>
              <w:rPr>
                <w:sz w:val="20"/>
                <w:szCs w:val="20"/>
                <w:color w:val="auto"/>
              </w:rPr>
            </w:pPr>
            <w:r>
              <w:rPr>
                <w:rFonts w:ascii="Times New Roman" w:cs="Times New Roman" w:eastAsia="Times New Roman" w:hAnsi="Times New Roman"/>
                <w:sz w:val="14"/>
                <w:szCs w:val="14"/>
                <w:color w:val="auto"/>
              </w:rPr>
              <w:t>Healthcare, Education and</w:t>
            </w:r>
          </w:p>
        </w:tc>
        <w:tc>
          <w:tcPr>
            <w:tcW w:w="332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458"/>
              <w:spacing w:after="0" w:line="12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4,636</w:t>
            </w: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650 Madison Avenue, 21st Floor</w:t>
            </w:r>
          </w:p>
        </w:tc>
        <w:tc>
          <w:tcPr>
            <w:tcW w:w="1820" w:type="dxa"/>
            <w:vAlign w:val="bottom"/>
            <w:gridSpan w:val="2"/>
            <w:shd w:val="clear" w:color="auto" w:fill="CCEEFF"/>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Childcare</w:t>
            </w:r>
          </w:p>
        </w:tc>
        <w:tc>
          <w:tcPr>
            <w:tcW w:w="332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L+550, 12/07/2023</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New York, NY 10022</w:t>
            </w:r>
          </w:p>
        </w:tc>
        <w:tc>
          <w:tcPr>
            <w:tcW w:w="1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Infolinks Media Buyco, LLC</w:t>
            </w: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Media</w:t>
            </w:r>
          </w:p>
        </w:tc>
        <w:tc>
          <w:tcPr>
            <w:tcW w:w="3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280" w:type="dxa"/>
            <w:vAlign w:val="bottom"/>
            <w:gridSpan w:val="2"/>
          </w:tcPr>
          <w:p>
            <w:pPr>
              <w:jc w:val="right"/>
              <w:ind w:right="278"/>
              <w:spacing w:after="0"/>
              <w:rPr>
                <w:sz w:val="20"/>
                <w:szCs w:val="20"/>
                <w:color w:val="auto"/>
              </w:rPr>
            </w:pPr>
            <w:r>
              <w:rPr>
                <w:rFonts w:ascii="Times New Roman" w:cs="Times New Roman" w:eastAsia="Times New Roman" w:hAnsi="Times New Roman"/>
                <w:sz w:val="14"/>
                <w:szCs w:val="14"/>
                <w:color w:val="auto"/>
              </w:rPr>
              <w:t>0.4%</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6,851</w:t>
            </w: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 xml:space="preserve">(Tower Arch Infolinks Media, LP </w:t>
            </w:r>
            <w:r>
              <w:rPr>
                <w:rFonts w:ascii="Times New Roman" w:cs="Times New Roman" w:eastAsia="Times New Roman" w:hAnsi="Times New Roman"/>
                <w:sz w:val="12"/>
                <w:szCs w:val="12"/>
                <w:color w:val="auto"/>
              </w:rPr>
              <w:t>(5)</w:t>
            </w:r>
            <w:r>
              <w:rPr>
                <w:rFonts w:ascii="Times New Roman" w:cs="Times New Roman" w:eastAsia="Times New Roman" w:hAnsi="Times New Roman"/>
                <w:sz w:val="14"/>
                <w:szCs w:val="14"/>
                <w:color w:val="auto"/>
              </w:rPr>
              <w:t>)</w:t>
            </w: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1M L+600, 11/01/2026</w:t>
            </w: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45 North Broad Street</w:t>
            </w: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Common Equity</w:t>
            </w:r>
            <w:r>
              <w:rPr>
                <w:rFonts w:ascii="Times New Roman" w:cs="Times New Roman" w:eastAsia="Times New Roman" w:hAnsi="Times New Roman"/>
                <w:sz w:val="12"/>
                <w:szCs w:val="12"/>
                <w:color w:val="auto"/>
              </w:rPr>
              <w:t>(4)</w:t>
            </w: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Ridgewood, NJ 07450</w:t>
            </w:r>
          </w:p>
        </w:tc>
        <w:tc>
          <w:tcPr>
            <w:tcW w:w="1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Integrity Marketing Acquisition, LLC</w:t>
            </w:r>
          </w:p>
        </w:tc>
        <w:tc>
          <w:tcPr>
            <w:tcW w:w="1820" w:type="dxa"/>
            <w:vAlign w:val="bottom"/>
            <w:gridSpan w:val="2"/>
            <w:shd w:val="clear" w:color="auto" w:fill="CCEEFF"/>
          </w:tcPr>
          <w:p>
            <w:pPr>
              <w:jc w:val="center"/>
              <w:ind w:right="300"/>
              <w:spacing w:after="0" w:line="126" w:lineRule="exact"/>
              <w:rPr>
                <w:sz w:val="20"/>
                <w:szCs w:val="20"/>
                <w:color w:val="auto"/>
              </w:rPr>
            </w:pPr>
            <w:r>
              <w:rPr>
                <w:rFonts w:ascii="Times New Roman" w:cs="Times New Roman" w:eastAsia="Times New Roman" w:hAnsi="Times New Roman"/>
                <w:sz w:val="14"/>
                <w:szCs w:val="14"/>
                <w:color w:val="auto"/>
              </w:rPr>
              <w:t>Insurance</w:t>
            </w:r>
          </w:p>
        </w:tc>
        <w:tc>
          <w:tcPr>
            <w:tcW w:w="332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458"/>
              <w:spacing w:after="0" w:line="12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23,911</w:t>
            </w:r>
          </w:p>
        </w:tc>
        <w:tc>
          <w:tcPr>
            <w:tcW w:w="0" w:type="dxa"/>
            <w:vAlign w:val="bottom"/>
          </w:tcPr>
          <w:p>
            <w:pPr>
              <w:spacing w:after="0"/>
              <w:rPr>
                <w:sz w:val="1"/>
                <w:szCs w:val="1"/>
                <w:color w:val="auto"/>
              </w:rPr>
            </w:pPr>
          </w:p>
        </w:tc>
      </w:tr>
      <w:tr>
        <w:trPr>
          <w:trHeight w:val="149"/>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1445 Ross Avenue, 22nd Floor</w:t>
            </w:r>
          </w:p>
        </w:tc>
        <w:tc>
          <w:tcPr>
            <w:tcW w:w="1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L+550, 08/27/2025</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Dallas, TX 75202</w:t>
            </w:r>
          </w:p>
        </w:tc>
        <w:tc>
          <w:tcPr>
            <w:tcW w:w="1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Inventus Power, Inc.</w:t>
            </w: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Electronics</w:t>
            </w:r>
          </w:p>
        </w:tc>
        <w:tc>
          <w:tcPr>
            <w:tcW w:w="3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Second Lien Secured Debt,</w:t>
            </w:r>
          </w:p>
        </w:tc>
        <w:tc>
          <w:tcPr>
            <w:tcW w:w="1280" w:type="dxa"/>
            <w:vAlign w:val="bottom"/>
            <w:gridSpan w:val="2"/>
          </w:tcPr>
          <w:p>
            <w:pPr>
              <w:jc w:val="right"/>
              <w:ind w:right="45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16,178</w:t>
            </w: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1200 Internationale Parkway</w:t>
            </w: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L+850, 09/29/2024</w:t>
            </w: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Woodridge, IL 60517, USA</w:t>
            </w:r>
          </w:p>
        </w:tc>
        <w:tc>
          <w:tcPr>
            <w:tcW w:w="1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K2 Pure Solutions NoCal, L.P.</w:t>
            </w:r>
          </w:p>
        </w:tc>
        <w:tc>
          <w:tcPr>
            <w:tcW w:w="1820" w:type="dxa"/>
            <w:vAlign w:val="bottom"/>
            <w:gridSpan w:val="2"/>
            <w:shd w:val="clear" w:color="auto" w:fill="CCEEFF"/>
          </w:tcPr>
          <w:p>
            <w:pPr>
              <w:jc w:val="center"/>
              <w:ind w:right="300"/>
              <w:spacing w:after="0" w:line="126" w:lineRule="exact"/>
              <w:rPr>
                <w:sz w:val="20"/>
                <w:szCs w:val="20"/>
                <w:color w:val="auto"/>
              </w:rPr>
            </w:pPr>
            <w:r>
              <w:rPr>
                <w:rFonts w:ascii="Times New Roman" w:cs="Times New Roman" w:eastAsia="Times New Roman" w:hAnsi="Times New Roman"/>
                <w:sz w:val="14"/>
                <w:szCs w:val="14"/>
                <w:color w:val="auto"/>
              </w:rPr>
              <w:t>Chemicals,</w:t>
            </w:r>
          </w:p>
        </w:tc>
        <w:tc>
          <w:tcPr>
            <w:tcW w:w="332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458"/>
              <w:spacing w:after="0" w:line="12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12,367</w:t>
            </w:r>
          </w:p>
        </w:tc>
        <w:tc>
          <w:tcPr>
            <w:tcW w:w="0" w:type="dxa"/>
            <w:vAlign w:val="bottom"/>
          </w:tcPr>
          <w:p>
            <w:pPr>
              <w:spacing w:after="0"/>
              <w:rPr>
                <w:sz w:val="1"/>
                <w:szCs w:val="1"/>
                <w:color w:val="auto"/>
              </w:rPr>
            </w:pPr>
          </w:p>
        </w:tc>
      </w:tr>
      <w:tr>
        <w:trPr>
          <w:trHeight w:val="149"/>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3515 Massillion Road, Ste. 290</w:t>
            </w:r>
          </w:p>
        </w:tc>
        <w:tc>
          <w:tcPr>
            <w:tcW w:w="182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Plastics and Rubber</w:t>
            </w:r>
          </w:p>
        </w:tc>
        <w:tc>
          <w:tcPr>
            <w:tcW w:w="332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1M L+700, 12/20/2023</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Uniontown, OH 44685</w:t>
            </w:r>
          </w:p>
        </w:tc>
        <w:tc>
          <w:tcPr>
            <w:tcW w:w="1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Kinetic Purchaser, LLC</w:t>
            </w: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Consumer Products</w:t>
            </w:r>
          </w:p>
        </w:tc>
        <w:tc>
          <w:tcPr>
            <w:tcW w:w="3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280" w:type="dxa"/>
            <w:vAlign w:val="bottom"/>
            <w:gridSpan w:val="2"/>
          </w:tcPr>
          <w:p>
            <w:pPr>
              <w:jc w:val="right"/>
              <w:ind w:right="45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25,346</w:t>
            </w: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12552 S. 125 West</w:t>
            </w: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3M L+600, 11/10/2027</w:t>
            </w: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Draper, UT 84020</w:t>
            </w:r>
          </w:p>
        </w:tc>
        <w:tc>
          <w:tcPr>
            <w:tcW w:w="1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Lariat ecoserv Co-invest Holdings, LLC</w:t>
            </w:r>
            <w:r>
              <w:rPr>
                <w:rFonts w:ascii="Times New Roman" w:cs="Times New Roman" w:eastAsia="Times New Roman" w:hAnsi="Times New Roman"/>
                <w:sz w:val="12"/>
                <w:szCs w:val="12"/>
                <w:color w:val="auto"/>
              </w:rPr>
              <w:t>(5)</w:t>
            </w:r>
          </w:p>
        </w:tc>
        <w:tc>
          <w:tcPr>
            <w:tcW w:w="182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Environmental Services</w:t>
            </w:r>
          </w:p>
        </w:tc>
        <w:tc>
          <w:tcPr>
            <w:tcW w:w="332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Common Equity</w:t>
            </w:r>
          </w:p>
        </w:tc>
        <w:tc>
          <w:tcPr>
            <w:tcW w:w="1280" w:type="dxa"/>
            <w:vAlign w:val="bottom"/>
            <w:gridSpan w:val="2"/>
            <w:shd w:val="clear" w:color="auto" w:fill="CCEEFF"/>
          </w:tcPr>
          <w:p>
            <w:pPr>
              <w:jc w:val="right"/>
              <w:ind w:right="278"/>
              <w:spacing w:after="0" w:line="126" w:lineRule="exact"/>
              <w:rPr>
                <w:sz w:val="20"/>
                <w:szCs w:val="20"/>
                <w:color w:val="auto"/>
              </w:rPr>
            </w:pPr>
            <w:r>
              <w:rPr>
                <w:rFonts w:ascii="Times New Roman" w:cs="Times New Roman" w:eastAsia="Times New Roman" w:hAnsi="Times New Roman"/>
                <w:sz w:val="14"/>
                <w:szCs w:val="14"/>
                <w:color w:val="auto"/>
              </w:rPr>
              <w:t>2.6%</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1,116</w:t>
            </w: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1331 17th Street, Ste. 812</w:t>
            </w:r>
          </w:p>
        </w:tc>
        <w:tc>
          <w:tcPr>
            <w:tcW w:w="1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Denver, CO 80202</w:t>
            </w:r>
          </w:p>
        </w:tc>
        <w:tc>
          <w:tcPr>
            <w:tcW w:w="1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Lash OpCo, LLC</w:t>
            </w: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Consumer Products</w:t>
            </w:r>
          </w:p>
        </w:tc>
        <w:tc>
          <w:tcPr>
            <w:tcW w:w="3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280" w:type="dxa"/>
            <w:vAlign w:val="bottom"/>
            <w:gridSpan w:val="2"/>
          </w:tcPr>
          <w:p>
            <w:pPr>
              <w:jc w:val="right"/>
              <w:ind w:right="278"/>
              <w:spacing w:after="0"/>
              <w:rPr>
                <w:sz w:val="20"/>
                <w:szCs w:val="20"/>
                <w:color w:val="auto"/>
              </w:rPr>
            </w:pPr>
            <w:r>
              <w:rPr>
                <w:rFonts w:ascii="Times New Roman" w:cs="Times New Roman" w:eastAsia="Times New Roman" w:hAnsi="Times New Roman"/>
                <w:sz w:val="14"/>
                <w:szCs w:val="14"/>
                <w:color w:val="auto"/>
              </w:rPr>
              <w:t>0.7%</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19,345</w:t>
            </w:r>
          </w:p>
        </w:tc>
        <w:tc>
          <w:tcPr>
            <w:tcW w:w="0" w:type="dxa"/>
            <w:vAlign w:val="bottom"/>
          </w:tcPr>
          <w:p>
            <w:pPr>
              <w:spacing w:after="0"/>
              <w:rPr>
                <w:sz w:val="1"/>
                <w:szCs w:val="1"/>
                <w:color w:val="auto"/>
              </w:rPr>
            </w:pPr>
          </w:p>
        </w:tc>
      </w:tr>
      <w:tr>
        <w:trPr>
          <w:trHeight w:val="149"/>
        </w:trPr>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(Gauge Lash Coinvest LLC)</w:t>
            </w: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1M L+700, 02/18/2027</w:t>
            </w: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1256 Main Street, Suite 256</w:t>
            </w: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Southlake, TX 76092</w:t>
            </w:r>
          </w:p>
        </w:tc>
        <w:tc>
          <w:tcPr>
            <w:tcW w:w="1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LAV Gear Holdings, Inc.</w:t>
            </w:r>
          </w:p>
        </w:tc>
        <w:tc>
          <w:tcPr>
            <w:tcW w:w="1820" w:type="dxa"/>
            <w:vAlign w:val="bottom"/>
            <w:gridSpan w:val="2"/>
            <w:shd w:val="clear" w:color="auto" w:fill="CCEEFF"/>
          </w:tcPr>
          <w:p>
            <w:pPr>
              <w:jc w:val="center"/>
              <w:ind w:right="300"/>
              <w:spacing w:after="0" w:line="126" w:lineRule="exact"/>
              <w:rPr>
                <w:sz w:val="20"/>
                <w:szCs w:val="20"/>
                <w:color w:val="auto"/>
              </w:rPr>
            </w:pPr>
            <w:r>
              <w:rPr>
                <w:rFonts w:ascii="Times New Roman" w:cs="Times New Roman" w:eastAsia="Times New Roman" w:hAnsi="Times New Roman"/>
                <w:sz w:val="14"/>
                <w:szCs w:val="14"/>
                <w:color w:val="auto"/>
              </w:rPr>
              <w:t>Leisure, Amusement,</w:t>
            </w:r>
          </w:p>
        </w:tc>
        <w:tc>
          <w:tcPr>
            <w:tcW w:w="3320" w:type="dxa"/>
            <w:vAlign w:val="bottom"/>
            <w:gridSpan w:val="2"/>
            <w:shd w:val="clear" w:color="auto" w:fill="CCEEFF"/>
          </w:tcPr>
          <w:p>
            <w:pPr>
              <w:jc w:val="center"/>
              <w:ind w:right="300"/>
              <w:spacing w:after="0" w:line="126" w:lineRule="exact"/>
              <w:rPr>
                <w:sz w:val="20"/>
                <w:szCs w:val="20"/>
                <w:color w:val="auto"/>
              </w:rPr>
            </w:pPr>
            <w:r>
              <w:rPr>
                <w:rFonts w:ascii="Times New Roman" w:cs="Times New Roman" w:eastAsia="Times New Roman" w:hAnsi="Times New Roman"/>
                <w:sz w:val="14"/>
                <w:szCs w:val="14"/>
                <w:color w:val="auto"/>
              </w:rPr>
              <w:t>First Lien Secured Debt,</w:t>
            </w:r>
          </w:p>
        </w:tc>
        <w:tc>
          <w:tcPr>
            <w:tcW w:w="1280" w:type="dxa"/>
            <w:vAlign w:val="bottom"/>
            <w:gridSpan w:val="2"/>
            <w:shd w:val="clear" w:color="auto" w:fill="CCEEFF"/>
          </w:tcPr>
          <w:p>
            <w:pPr>
              <w:jc w:val="right"/>
              <w:ind w:right="458"/>
              <w:spacing w:after="0" w:line="12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755</w:t>
            </w:r>
          </w:p>
        </w:tc>
        <w:tc>
          <w:tcPr>
            <w:tcW w:w="0" w:type="dxa"/>
            <w:vAlign w:val="bottom"/>
          </w:tcPr>
          <w:p>
            <w:pPr>
              <w:spacing w:after="0"/>
              <w:rPr>
                <w:sz w:val="1"/>
                <w:szCs w:val="1"/>
                <w:color w:val="auto"/>
              </w:rPr>
            </w:pPr>
          </w:p>
        </w:tc>
      </w:tr>
      <w:tr>
        <w:trPr>
          <w:trHeight w:val="149"/>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3165 W Sunset Rd,</w:t>
            </w:r>
          </w:p>
        </w:tc>
        <w:tc>
          <w:tcPr>
            <w:tcW w:w="1820" w:type="dxa"/>
            <w:vAlign w:val="bottom"/>
            <w:gridSpan w:val="2"/>
            <w:shd w:val="clear" w:color="auto" w:fill="CCEEFF"/>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Motion Pictures,</w:t>
            </w:r>
          </w:p>
        </w:tc>
        <w:tc>
          <w:tcPr>
            <w:tcW w:w="332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1M L+750 (PIK 5.0%),</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Las Vegas, NV 89118</w:t>
            </w:r>
          </w:p>
        </w:tc>
        <w:tc>
          <w:tcPr>
            <w:tcW w:w="182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color w:val="auto"/>
              </w:rPr>
              <w:t>Entertainment</w:t>
            </w:r>
          </w:p>
        </w:tc>
        <w:tc>
          <w:tcPr>
            <w:tcW w:w="3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10/31/2024</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40"/>
          </w:cols>
          <w:pgMar w:left="320" w:top="455" w:right="4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Type of Investment,</w:t>
            </w:r>
          </w:p>
        </w:tc>
        <w:tc>
          <w:tcPr>
            <w:tcW w:w="1400" w:type="dxa"/>
            <w:vAlign w:val="bottom"/>
            <w:gridSpan w:val="2"/>
          </w:tcPr>
          <w:p>
            <w:pPr>
              <w:jc w:val="center"/>
              <w:ind w:right="538"/>
              <w:spacing w:after="0"/>
              <w:rPr>
                <w:sz w:val="20"/>
                <w:szCs w:val="20"/>
                <w:color w:val="auto"/>
              </w:rPr>
            </w:pPr>
            <w:r>
              <w:rPr>
                <w:rFonts w:ascii="Times New Roman" w:cs="Times New Roman" w:eastAsia="Times New Roman" w:hAnsi="Times New Roman"/>
                <w:sz w:val="14"/>
                <w:szCs w:val="14"/>
                <w:b w:val="1"/>
                <w:bCs w:val="1"/>
                <w:color w:val="auto"/>
                <w:w w:val="98"/>
              </w:rPr>
              <w:t>Voting</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6"/>
        </w:trPr>
        <w:tc>
          <w:tcPr>
            <w:tcW w:w="3620" w:type="dxa"/>
            <w:vAlign w:val="bottom"/>
            <w:gridSpan w:val="2"/>
            <w:vMerge w:val="continue"/>
          </w:tcPr>
          <w:p>
            <w:pPr>
              <w:spacing w:after="0"/>
              <w:rPr>
                <w:sz w:val="12"/>
                <w:szCs w:val="12"/>
                <w:color w:val="auto"/>
              </w:rPr>
            </w:pPr>
          </w:p>
        </w:tc>
        <w:tc>
          <w:tcPr>
            <w:tcW w:w="18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Nature of Business</w:t>
            </w:r>
          </w:p>
        </w:tc>
        <w:tc>
          <w:tcPr>
            <w:tcW w:w="3200" w:type="dxa"/>
            <w:vAlign w:val="bottom"/>
            <w:gridSpan w:val="2"/>
            <w:vMerge w:val="continue"/>
          </w:tcPr>
          <w:p>
            <w:pPr>
              <w:spacing w:after="0"/>
              <w:rPr>
                <w:sz w:val="12"/>
                <w:szCs w:val="12"/>
                <w:color w:val="auto"/>
              </w:rPr>
            </w:pPr>
          </w:p>
        </w:tc>
        <w:tc>
          <w:tcPr>
            <w:tcW w:w="1400" w:type="dxa"/>
            <w:vAlign w:val="bottom"/>
            <w:gridSpan w:val="2"/>
          </w:tcPr>
          <w:p>
            <w:pPr>
              <w:jc w:val="center"/>
              <w:ind w:right="538"/>
              <w:spacing w:after="0" w:line="146"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Address of Portfolio Company</w:t>
            </w:r>
          </w:p>
        </w:tc>
        <w:tc>
          <w:tcPr>
            <w:tcW w:w="174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3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Interest</w:t>
            </w:r>
            <w:r>
              <w:rPr>
                <w:rFonts w:ascii="Times New Roman" w:cs="Times New Roman" w:eastAsia="Times New Roman" w:hAnsi="Times New Roman"/>
                <w:sz w:val="12"/>
                <w:szCs w:val="12"/>
                <w:b w:val="1"/>
                <w:bCs w:val="1"/>
                <w:color w:val="auto"/>
              </w:rPr>
              <w:t>(1)</w:t>
            </w:r>
            <w:r>
              <w:rPr>
                <w:rFonts w:ascii="Times New Roman" w:cs="Times New Roman" w:eastAsia="Times New Roman" w:hAnsi="Times New Roman"/>
                <w:sz w:val="14"/>
                <w:szCs w:val="14"/>
                <w:b w:val="1"/>
                <w:bCs w:val="1"/>
                <w:color w:val="auto"/>
              </w:rPr>
              <w:t>, Maturity</w:t>
            </w:r>
          </w:p>
        </w:tc>
        <w:tc>
          <w:tcPr>
            <w:tcW w:w="1400" w:type="dxa"/>
            <w:vAlign w:val="bottom"/>
            <w:gridSpan w:val="2"/>
          </w:tcPr>
          <w:p>
            <w:pPr>
              <w:jc w:val="center"/>
              <w:ind w:right="518"/>
              <w:spacing w:after="0"/>
              <w:rPr>
                <w:sz w:val="20"/>
                <w:szCs w:val="20"/>
                <w:color w:val="auto"/>
              </w:rPr>
            </w:pPr>
            <w:r>
              <w:rPr>
                <w:rFonts w:ascii="Times New Roman" w:cs="Times New Roman" w:eastAsia="Times New Roman" w:hAnsi="Times New Roman"/>
                <w:sz w:val="14"/>
                <w:szCs w:val="14"/>
                <w:b w:val="1"/>
                <w:bCs w:val="1"/>
                <w:color w:val="auto"/>
              </w:rPr>
              <w:t>Ownership</w:t>
            </w:r>
            <w:r>
              <w:rPr>
                <w:rFonts w:ascii="Times New Roman" w:cs="Times New Roman" w:eastAsia="Times New Roman" w:hAnsi="Times New Roman"/>
                <w:sz w:val="12"/>
                <w:szCs w:val="12"/>
                <w:b w:val="1"/>
                <w:bCs w:val="1"/>
                <w:color w:val="auto"/>
              </w:rPr>
              <w:t>(2)</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08"/>
        </w:trPr>
        <w:tc>
          <w:tcPr>
            <w:tcW w:w="3620" w:type="dxa"/>
            <w:vAlign w:val="bottom"/>
            <w:tcBorders>
              <w:top w:val="single" w:sz="8" w:color="CCEEFF"/>
            </w:tcBorders>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Ledge Lounger, Inc.</w:t>
            </w:r>
          </w:p>
        </w:tc>
        <w:tc>
          <w:tcPr>
            <w:tcW w:w="1560" w:type="dxa"/>
            <w:vAlign w:val="bottom"/>
            <w:tcBorders>
              <w:top w:val="single" w:sz="8" w:color="auto"/>
            </w:tcBorders>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color w:val="auto"/>
              </w:rPr>
              <w:t>Consumer Products</w:t>
            </w:r>
          </w:p>
        </w:tc>
        <w:tc>
          <w:tcPr>
            <w:tcW w:w="260" w:type="dxa"/>
            <w:vAlign w:val="bottom"/>
            <w:tcBorders>
              <w:top w:val="single" w:sz="8" w:color="CCEEFF"/>
            </w:tcBorders>
            <w:shd w:val="clear" w:color="auto" w:fill="CCEEFF"/>
          </w:tcPr>
          <w:p>
            <w:pPr>
              <w:spacing w:after="0"/>
              <w:rPr>
                <w:sz w:val="9"/>
                <w:szCs w:val="9"/>
                <w:color w:val="auto"/>
              </w:rPr>
            </w:pPr>
          </w:p>
        </w:tc>
        <w:tc>
          <w:tcPr>
            <w:tcW w:w="2920" w:type="dxa"/>
            <w:vAlign w:val="bottom"/>
            <w:tcBorders>
              <w:top w:val="single" w:sz="8" w:color="auto"/>
            </w:tcBorders>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2"/>
                <w:szCs w:val="12"/>
                <w:color w:val="auto"/>
              </w:rPr>
              <w:t>,</w:t>
            </w:r>
          </w:p>
        </w:tc>
        <w:tc>
          <w:tcPr>
            <w:tcW w:w="2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ind w:left="640"/>
              <w:spacing w:after="0" w:line="109" w:lineRule="exact"/>
              <w:rPr>
                <w:sz w:val="20"/>
                <w:szCs w:val="20"/>
                <w:color w:val="auto"/>
              </w:rPr>
            </w:pPr>
            <w:r>
              <w:rPr>
                <w:rFonts w:ascii="Times New Roman" w:cs="Times New Roman" w:eastAsia="Times New Roman" w:hAnsi="Times New Roman"/>
                <w:sz w:val="12"/>
                <w:szCs w:val="12"/>
                <w:color w:val="auto"/>
              </w:rPr>
              <w:t>1.2</w:t>
            </w:r>
          </w:p>
        </w:tc>
        <w:tc>
          <w:tcPr>
            <w:tcW w:w="580" w:type="dxa"/>
            <w:vAlign w:val="bottom"/>
            <w:tcBorders>
              <w:top w:val="single" w:sz="8" w:color="CCEEFF"/>
            </w:tcBorders>
            <w:shd w:val="clear" w:color="auto" w:fill="CCEEFF"/>
          </w:tcPr>
          <w:p>
            <w:pPr>
              <w:jc w:val="right"/>
              <w:ind w:right="398"/>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11,194</w:t>
            </w: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(SP L2 Holdings, LLC)</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3M L+625, 11/09/2026</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616 Cane Island Pkwy Suite 200</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Katy, TX 77494</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Lightspeed Buyer Inc.</w:t>
            </w:r>
          </w:p>
        </w:tc>
        <w:tc>
          <w:tcPr>
            <w:tcW w:w="1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Healthcare, Education and</w:t>
            </w:r>
          </w:p>
        </w:tc>
        <w:tc>
          <w:tcPr>
            <w:tcW w:w="3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40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0.2%</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5,390</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(Lightspeed Investment Holdco LLC)</w:t>
            </w:r>
          </w:p>
        </w:tc>
        <w:tc>
          <w:tcPr>
            <w:tcW w:w="18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Childcare</w:t>
            </w:r>
          </w:p>
        </w:tc>
        <w:tc>
          <w:tcPr>
            <w:tcW w:w="3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1M L+575, 02/03/2026</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1457 East 40th Street</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Cleveland, OH 44103</w:t>
            </w:r>
          </w:p>
        </w:tc>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Lombart Brothers, Inc.</w:t>
            </w:r>
          </w:p>
        </w:tc>
        <w:tc>
          <w:tcPr>
            <w:tcW w:w="182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Healthcare, Education and</w:t>
            </w:r>
          </w:p>
        </w:tc>
        <w:tc>
          <w:tcPr>
            <w:tcW w:w="320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First Lien Secured Debt,</w:t>
            </w:r>
          </w:p>
        </w:tc>
        <w:tc>
          <w:tcPr>
            <w:tcW w:w="1400" w:type="dxa"/>
            <w:vAlign w:val="bottom"/>
            <w:gridSpan w:val="2"/>
            <w:shd w:val="clear" w:color="auto" w:fill="CCEEFF"/>
          </w:tcPr>
          <w:p>
            <w:pPr>
              <w:ind w:left="6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2,788</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5358 Robin Hood Road</w:t>
            </w:r>
          </w:p>
        </w:tc>
        <w:tc>
          <w:tcPr>
            <w:tcW w:w="182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Childcare</w:t>
            </w:r>
          </w:p>
        </w:tc>
        <w:tc>
          <w:tcPr>
            <w:tcW w:w="320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1M L+625, 04/13/2023</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Norfolk, VA 23513</w:t>
            </w:r>
          </w:p>
        </w:tc>
        <w:tc>
          <w:tcPr>
            <w:tcW w:w="1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Management Consulting &amp; Research, LLC</w:t>
            </w:r>
          </w:p>
        </w:tc>
        <w:tc>
          <w:tcPr>
            <w:tcW w:w="1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Aerospace and Defense</w:t>
            </w:r>
          </w:p>
        </w:tc>
        <w:tc>
          <w:tcPr>
            <w:tcW w:w="3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4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13,661</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2010 Corporate Ridge #850</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3M L+600, 08/16/2027</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McLean, VA 22102</w:t>
            </w:r>
          </w:p>
        </w:tc>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Mars Acquisition Holdings Corp.</w:t>
            </w:r>
          </w:p>
        </w:tc>
        <w:tc>
          <w:tcPr>
            <w:tcW w:w="182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Media</w:t>
            </w:r>
          </w:p>
        </w:tc>
        <w:tc>
          <w:tcPr>
            <w:tcW w:w="320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ind w:left="6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657</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xml:space="preserve">(Mars Intermediate Holdings II, Inc. </w:t>
            </w:r>
            <w:r>
              <w:rPr>
                <w:rFonts w:ascii="Times New Roman" w:cs="Times New Roman" w:eastAsia="Times New Roman" w:hAnsi="Times New Roman"/>
                <w:sz w:val="12"/>
                <w:szCs w:val="12"/>
                <w:color w:val="auto"/>
              </w:rPr>
              <w:t>(5)</w:t>
            </w:r>
            <w:r>
              <w:rPr>
                <w:rFonts w:ascii="Times New Roman" w:cs="Times New Roman" w:eastAsia="Times New Roman" w:hAnsi="Times New Roman"/>
                <w:sz w:val="14"/>
                <w:szCs w:val="14"/>
                <w:color w:val="auto"/>
              </w:rPr>
              <w:t>)</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 05/14/2026</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25200 Telegraph Rd., 5th Floor</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Preferred Equity</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Southfield, MI 48033</w:t>
            </w:r>
          </w:p>
        </w:tc>
        <w:tc>
          <w:tcPr>
            <w:tcW w:w="1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MBS Holdings, Inc.</w:t>
            </w:r>
          </w:p>
        </w:tc>
        <w:tc>
          <w:tcPr>
            <w:tcW w:w="1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Telecommunications</w:t>
            </w:r>
          </w:p>
        </w:tc>
        <w:tc>
          <w:tcPr>
            <w:tcW w:w="3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4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49"/>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880 Montclair Road Suite 400</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 04/16/2027</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Birmingham, AL 35213</w:t>
            </w:r>
          </w:p>
        </w:tc>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Meadowlark Acquirer, LLC</w:t>
            </w:r>
          </w:p>
        </w:tc>
        <w:tc>
          <w:tcPr>
            <w:tcW w:w="182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Business Services</w:t>
            </w:r>
          </w:p>
        </w:tc>
        <w:tc>
          <w:tcPr>
            <w:tcW w:w="320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ind w:left="640"/>
              <w:spacing w:after="0" w:line="126" w:lineRule="exact"/>
              <w:rPr>
                <w:sz w:val="20"/>
                <w:szCs w:val="20"/>
                <w:color w:val="auto"/>
              </w:rPr>
            </w:pPr>
            <w:r>
              <w:rPr>
                <w:rFonts w:ascii="Times New Roman" w:cs="Times New Roman" w:eastAsia="Times New Roman" w:hAnsi="Times New Roman"/>
                <w:sz w:val="14"/>
                <w:szCs w:val="14"/>
                <w:color w:val="auto"/>
              </w:rPr>
              <w:t>0.8%</w:t>
            </w:r>
            <w:r>
              <w:rPr>
                <w:rFonts w:ascii="Times New Roman" w:cs="Times New Roman" w:eastAsia="Times New Roman" w:hAnsi="Times New Roman"/>
                <w:sz w:val="12"/>
                <w:szCs w:val="12"/>
                <w:color w:val="auto"/>
              </w:rPr>
              <w:t>(3)</w:t>
            </w:r>
          </w:p>
        </w:tc>
        <w:tc>
          <w:tcPr>
            <w:tcW w:w="98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3,864</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xml:space="preserve">(Meadowlark Title, LLC </w:t>
            </w:r>
            <w:r>
              <w:rPr>
                <w:rFonts w:ascii="Times New Roman" w:cs="Times New Roman" w:eastAsia="Times New Roman" w:hAnsi="Times New Roman"/>
                <w:sz w:val="12"/>
                <w:szCs w:val="12"/>
                <w:color w:val="auto"/>
              </w:rPr>
              <w:t>(5)</w:t>
            </w:r>
            <w:r>
              <w:rPr>
                <w:rFonts w:ascii="Times New Roman" w:cs="Times New Roman" w:eastAsia="Times New Roman" w:hAnsi="Times New Roman"/>
                <w:sz w:val="14"/>
                <w:szCs w:val="14"/>
                <w:color w:val="auto"/>
              </w:rPr>
              <w:t>)</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3M L+550, 12/10/2027</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888 Boylston, Ste. 1600,</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Boston, MA, 02199</w:t>
            </w:r>
          </w:p>
        </w:tc>
        <w:tc>
          <w:tcPr>
            <w:tcW w:w="1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MeritDirect, LLC</w:t>
            </w:r>
          </w:p>
        </w:tc>
        <w:tc>
          <w:tcPr>
            <w:tcW w:w="1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Media</w:t>
            </w:r>
          </w:p>
        </w:tc>
        <w:tc>
          <w:tcPr>
            <w:tcW w:w="3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4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6,646</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 xml:space="preserve">(MeritDirect Holdings, LP </w:t>
            </w:r>
            <w:r>
              <w:rPr>
                <w:rFonts w:ascii="Times New Roman" w:cs="Times New Roman" w:eastAsia="Times New Roman" w:hAnsi="Times New Roman"/>
                <w:sz w:val="12"/>
                <w:szCs w:val="12"/>
                <w:color w:val="auto"/>
              </w:rPr>
              <w:t>(5)</w:t>
            </w:r>
            <w:r>
              <w:rPr>
                <w:rFonts w:ascii="Times New Roman" w:cs="Times New Roman" w:eastAsia="Times New Roman" w:hAnsi="Times New Roman"/>
                <w:sz w:val="14"/>
                <w:szCs w:val="14"/>
                <w:color w:val="auto"/>
              </w:rPr>
              <w:t>)</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3M L+550, 05/23/2024</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 International Drive</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Preferred Equity</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Rye Brook, NY 10573</w:t>
            </w:r>
          </w:p>
        </w:tc>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Municipal Emergency Services, Inc.</w:t>
            </w:r>
          </w:p>
        </w:tc>
        <w:tc>
          <w:tcPr>
            <w:tcW w:w="1820" w:type="dxa"/>
            <w:vAlign w:val="bottom"/>
            <w:gridSpan w:val="2"/>
            <w:shd w:val="clear" w:color="auto" w:fill="CCEEFF"/>
          </w:tcPr>
          <w:p>
            <w:pPr>
              <w:jc w:val="center"/>
              <w:ind w:right="240"/>
              <w:spacing w:after="0" w:line="126" w:lineRule="exact"/>
              <w:rPr>
                <w:sz w:val="20"/>
                <w:szCs w:val="20"/>
                <w:color w:val="auto"/>
              </w:rPr>
            </w:pPr>
            <w:r>
              <w:rPr>
                <w:rFonts w:ascii="Times New Roman" w:cs="Times New Roman" w:eastAsia="Times New Roman" w:hAnsi="Times New Roman"/>
                <w:sz w:val="14"/>
                <w:szCs w:val="14"/>
                <w:color w:val="auto"/>
              </w:rPr>
              <w:t>Distribution</w:t>
            </w:r>
          </w:p>
        </w:tc>
        <w:tc>
          <w:tcPr>
            <w:tcW w:w="320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ind w:left="640"/>
              <w:spacing w:after="0" w:line="126" w:lineRule="exact"/>
              <w:rPr>
                <w:sz w:val="20"/>
                <w:szCs w:val="20"/>
                <w:color w:val="auto"/>
              </w:rPr>
            </w:pPr>
            <w:r>
              <w:rPr>
                <w:rFonts w:ascii="Times New Roman" w:cs="Times New Roman" w:eastAsia="Times New Roman" w:hAnsi="Times New Roman"/>
                <w:sz w:val="14"/>
                <w:szCs w:val="14"/>
                <w:color w:val="auto"/>
              </w:rPr>
              <w:t>2.1%</w:t>
            </w:r>
          </w:p>
        </w:tc>
        <w:tc>
          <w:tcPr>
            <w:tcW w:w="98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10,703</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12 Turnberry Ln</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3M L+500, 09/28/2027</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Sandy Hook, CT 06482</w:t>
            </w:r>
          </w:p>
        </w:tc>
        <w:tc>
          <w:tcPr>
            <w:tcW w:w="1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NBH Group LLC</w:t>
            </w:r>
          </w:p>
        </w:tc>
        <w:tc>
          <w:tcPr>
            <w:tcW w:w="1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Healthcare, Education and</w:t>
            </w:r>
          </w:p>
        </w:tc>
        <w:tc>
          <w:tcPr>
            <w:tcW w:w="3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4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49"/>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3035 S Maryland Pkwy #110</w:t>
            </w:r>
          </w:p>
        </w:tc>
        <w:tc>
          <w:tcPr>
            <w:tcW w:w="18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Childcare</w:t>
            </w:r>
          </w:p>
        </w:tc>
        <w:tc>
          <w:tcPr>
            <w:tcW w:w="3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 08/19/2026</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Las Vegas, NV 89109</w:t>
            </w:r>
          </w:p>
        </w:tc>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Neptune Flood Incorporated</w:t>
            </w:r>
            <w:r>
              <w:rPr>
                <w:rFonts w:ascii="Times New Roman" w:cs="Times New Roman" w:eastAsia="Times New Roman" w:hAnsi="Times New Roman"/>
                <w:sz w:val="12"/>
                <w:szCs w:val="12"/>
                <w:color w:val="auto"/>
              </w:rPr>
              <w:t>(6)</w:t>
            </w:r>
          </w:p>
        </w:tc>
        <w:tc>
          <w:tcPr>
            <w:tcW w:w="1820" w:type="dxa"/>
            <w:vAlign w:val="bottom"/>
            <w:gridSpan w:val="2"/>
            <w:shd w:val="clear" w:color="auto" w:fill="CCEEFF"/>
          </w:tcPr>
          <w:p>
            <w:pPr>
              <w:jc w:val="center"/>
              <w:ind w:right="240"/>
              <w:spacing w:after="0" w:line="126" w:lineRule="exact"/>
              <w:rPr>
                <w:sz w:val="20"/>
                <w:szCs w:val="20"/>
                <w:color w:val="auto"/>
              </w:rPr>
            </w:pPr>
            <w:r>
              <w:rPr>
                <w:rFonts w:ascii="Times New Roman" w:cs="Times New Roman" w:eastAsia="Times New Roman" w:hAnsi="Times New Roman"/>
                <w:sz w:val="14"/>
                <w:szCs w:val="14"/>
                <w:color w:val="auto"/>
              </w:rPr>
              <w:t>Financial Services</w:t>
            </w:r>
          </w:p>
        </w:tc>
        <w:tc>
          <w:tcPr>
            <w:tcW w:w="320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First Lien Secured Debt,</w:t>
            </w:r>
          </w:p>
        </w:tc>
        <w:tc>
          <w:tcPr>
            <w:tcW w:w="1400" w:type="dxa"/>
            <w:vAlign w:val="bottom"/>
            <w:gridSpan w:val="2"/>
            <w:shd w:val="clear" w:color="auto" w:fill="CCEEFF"/>
          </w:tcPr>
          <w:p>
            <w:pPr>
              <w:ind w:left="6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4,797</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400 6th Street S.</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3M L+600, 10/14/2026</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 Petersburg, FL 33701</w:t>
            </w:r>
          </w:p>
        </w:tc>
        <w:tc>
          <w:tcPr>
            <w:tcW w:w="1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OHCP V BC COI, L.P.</w:t>
            </w:r>
            <w:r>
              <w:rPr>
                <w:rFonts w:ascii="Times New Roman" w:cs="Times New Roman" w:eastAsia="Times New Roman" w:hAnsi="Times New Roman"/>
                <w:sz w:val="12"/>
                <w:szCs w:val="12"/>
                <w:color w:val="auto"/>
              </w:rPr>
              <w:t>(5)</w:t>
            </w:r>
          </w:p>
        </w:tc>
        <w:tc>
          <w:tcPr>
            <w:tcW w:w="1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Distribution</w:t>
            </w:r>
          </w:p>
        </w:tc>
        <w:tc>
          <w:tcPr>
            <w:tcW w:w="3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Common Equity</w:t>
            </w:r>
            <w:r>
              <w:rPr>
                <w:rFonts w:ascii="Times New Roman" w:cs="Times New Roman" w:eastAsia="Times New Roman" w:hAnsi="Times New Roman"/>
                <w:sz w:val="12"/>
                <w:szCs w:val="12"/>
                <w:color w:val="auto"/>
              </w:rPr>
              <w:t>(4)</w:t>
            </w:r>
          </w:p>
        </w:tc>
        <w:tc>
          <w:tcPr>
            <w:tcW w:w="14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2"/>
                <w:szCs w:val="12"/>
                <w:color w:val="auto"/>
              </w:rPr>
              <w:t>(7)</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446</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525 West Monroe Street</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Chicago, IL 60661</w:t>
            </w:r>
          </w:p>
        </w:tc>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OIS Management Services, LLC</w:t>
            </w:r>
          </w:p>
        </w:tc>
        <w:tc>
          <w:tcPr>
            <w:tcW w:w="182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Healthcare, Education and</w:t>
            </w:r>
          </w:p>
        </w:tc>
        <w:tc>
          <w:tcPr>
            <w:tcW w:w="320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ind w:left="600"/>
              <w:spacing w:after="0" w:line="126"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2"/>
                <w:szCs w:val="12"/>
                <w:color w:val="auto"/>
              </w:rPr>
              <w:t>(7)</w:t>
            </w:r>
          </w:p>
        </w:tc>
        <w:tc>
          <w:tcPr>
            <w:tcW w:w="98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1,820</w:t>
            </w:r>
          </w:p>
        </w:tc>
        <w:tc>
          <w:tcPr>
            <w:tcW w:w="0" w:type="dxa"/>
            <w:vAlign w:val="bottom"/>
          </w:tcPr>
          <w:p>
            <w:pPr>
              <w:spacing w:after="0"/>
              <w:rPr>
                <w:sz w:val="1"/>
                <w:szCs w:val="1"/>
                <w:color w:val="auto"/>
              </w:rPr>
            </w:pPr>
          </w:p>
        </w:tc>
      </w:tr>
      <w:tr>
        <w:trPr>
          <w:trHeight w:val="149"/>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xml:space="preserve">(Oral Surgery (ITC) Holdings, LLC </w:t>
            </w:r>
            <w:r>
              <w:rPr>
                <w:rFonts w:ascii="Times New Roman" w:cs="Times New Roman" w:eastAsia="Times New Roman" w:hAnsi="Times New Roman"/>
                <w:sz w:val="12"/>
                <w:szCs w:val="12"/>
                <w:color w:val="auto"/>
              </w:rPr>
              <w:t>(5)</w:t>
            </w:r>
            <w:r>
              <w:rPr>
                <w:rFonts w:ascii="Times New Roman" w:cs="Times New Roman" w:eastAsia="Times New Roman" w:hAnsi="Times New Roman"/>
                <w:sz w:val="14"/>
                <w:szCs w:val="14"/>
                <w:color w:val="auto"/>
              </w:rPr>
              <w:t>)</w:t>
            </w:r>
          </w:p>
        </w:tc>
        <w:tc>
          <w:tcPr>
            <w:tcW w:w="182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Childcare</w:t>
            </w:r>
          </w:p>
        </w:tc>
        <w:tc>
          <w:tcPr>
            <w:tcW w:w="320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3M L+450, 07/09/2026</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2600 S 56th Street A</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Lincoln, NE 68506</w:t>
            </w:r>
          </w:p>
        </w:tc>
        <w:tc>
          <w:tcPr>
            <w:tcW w:w="1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One Stop Mailing, LLC</w:t>
            </w:r>
          </w:p>
        </w:tc>
        <w:tc>
          <w:tcPr>
            <w:tcW w:w="1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Cargo Transport</w:t>
            </w:r>
          </w:p>
        </w:tc>
        <w:tc>
          <w:tcPr>
            <w:tcW w:w="3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First Lien Secured Debt,</w:t>
            </w:r>
          </w:p>
        </w:tc>
        <w:tc>
          <w:tcPr>
            <w:tcW w:w="14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9,709</w:t>
            </w:r>
          </w:p>
        </w:tc>
        <w:tc>
          <w:tcPr>
            <w:tcW w:w="0" w:type="dxa"/>
            <w:vAlign w:val="bottom"/>
          </w:tcPr>
          <w:p>
            <w:pPr>
              <w:spacing w:after="0"/>
              <w:rPr>
                <w:sz w:val="1"/>
                <w:szCs w:val="1"/>
                <w:color w:val="auto"/>
              </w:rPr>
            </w:pPr>
          </w:p>
        </w:tc>
      </w:tr>
      <w:tr>
        <w:trPr>
          <w:trHeight w:val="149"/>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601 Regency Drive</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3M L+625, 05/07/2027</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Glendale Heights, IL 60139</w:t>
            </w:r>
          </w:p>
        </w:tc>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ORL Acquisition, Inc.</w:t>
            </w:r>
          </w:p>
        </w:tc>
        <w:tc>
          <w:tcPr>
            <w:tcW w:w="182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Business Services</w:t>
            </w:r>
          </w:p>
        </w:tc>
        <w:tc>
          <w:tcPr>
            <w:tcW w:w="320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ind w:left="640"/>
              <w:spacing w:after="0" w:line="126" w:lineRule="exact"/>
              <w:rPr>
                <w:sz w:val="20"/>
                <w:szCs w:val="20"/>
                <w:color w:val="auto"/>
              </w:rPr>
            </w:pPr>
            <w:r>
              <w:rPr>
                <w:rFonts w:ascii="Times New Roman" w:cs="Times New Roman" w:eastAsia="Times New Roman" w:hAnsi="Times New Roman"/>
                <w:sz w:val="14"/>
                <w:szCs w:val="14"/>
                <w:color w:val="auto"/>
              </w:rPr>
              <w:t>0.1%</w:t>
            </w:r>
          </w:p>
        </w:tc>
        <w:tc>
          <w:tcPr>
            <w:tcW w:w="98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5,081</w:t>
            </w:r>
          </w:p>
        </w:tc>
        <w:tc>
          <w:tcPr>
            <w:tcW w:w="0" w:type="dxa"/>
            <w:vAlign w:val="bottom"/>
          </w:tcPr>
          <w:p>
            <w:pPr>
              <w:spacing w:after="0"/>
              <w:rPr>
                <w:sz w:val="1"/>
                <w:szCs w:val="1"/>
                <w:color w:val="auto"/>
              </w:rPr>
            </w:pPr>
          </w:p>
        </w:tc>
      </w:tr>
      <w:tr>
        <w:trPr>
          <w:trHeight w:val="149"/>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(ORL Holdco, Inc.)</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3M L+525, 09/03/2027</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5555 N Beach St #4100,</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Preferred Equity</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Fort Worth, TX 76137</w:t>
            </w:r>
          </w:p>
        </w:tc>
        <w:tc>
          <w:tcPr>
            <w:tcW w:w="1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40"/>
          </w:cols>
          <w:pgMar w:left="320" w:top="455" w:right="4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3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Type of Investment,</w:t>
            </w:r>
          </w:p>
        </w:tc>
        <w:tc>
          <w:tcPr>
            <w:tcW w:w="12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6"/>
        </w:trPr>
        <w:tc>
          <w:tcPr>
            <w:tcW w:w="3680" w:type="dxa"/>
            <w:vAlign w:val="bottom"/>
            <w:gridSpan w:val="2"/>
            <w:vMerge w:val="continue"/>
          </w:tcPr>
          <w:p>
            <w:pPr>
              <w:spacing w:after="0"/>
              <w:rPr>
                <w:sz w:val="12"/>
                <w:szCs w:val="12"/>
                <w:color w:val="auto"/>
              </w:rPr>
            </w:pPr>
          </w:p>
        </w:tc>
        <w:tc>
          <w:tcPr>
            <w:tcW w:w="17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Nature of Business</w:t>
            </w:r>
          </w:p>
        </w:tc>
        <w:tc>
          <w:tcPr>
            <w:tcW w:w="3340" w:type="dxa"/>
            <w:vAlign w:val="bottom"/>
            <w:gridSpan w:val="2"/>
            <w:vMerge w:val="continue"/>
          </w:tcPr>
          <w:p>
            <w:pPr>
              <w:spacing w:after="0"/>
              <w:rPr>
                <w:sz w:val="12"/>
                <w:szCs w:val="12"/>
                <w:color w:val="auto"/>
              </w:rPr>
            </w:pPr>
          </w:p>
        </w:tc>
        <w:tc>
          <w:tcPr>
            <w:tcW w:w="1260" w:type="dxa"/>
            <w:vAlign w:val="bottom"/>
            <w:gridSpan w:val="2"/>
          </w:tcPr>
          <w:p>
            <w:pPr>
              <w:jc w:val="right"/>
              <w:ind w:right="520"/>
              <w:spacing w:after="0" w:line="146"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Address of Portfolio Company</w:t>
            </w:r>
          </w:p>
        </w:tc>
        <w:tc>
          <w:tcPr>
            <w:tcW w:w="180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3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Interest</w:t>
            </w:r>
            <w:r>
              <w:rPr>
                <w:rFonts w:ascii="Times New Roman" w:cs="Times New Roman" w:eastAsia="Times New Roman" w:hAnsi="Times New Roman"/>
                <w:sz w:val="12"/>
                <w:szCs w:val="12"/>
                <w:b w:val="1"/>
                <w:bCs w:val="1"/>
                <w:color w:val="auto"/>
              </w:rPr>
              <w:t>(1)</w:t>
            </w:r>
            <w:r>
              <w:rPr>
                <w:rFonts w:ascii="Times New Roman" w:cs="Times New Roman" w:eastAsia="Times New Roman" w:hAnsi="Times New Roman"/>
                <w:sz w:val="14"/>
                <w:szCs w:val="14"/>
                <w:b w:val="1"/>
                <w:bCs w:val="1"/>
                <w:color w:val="auto"/>
              </w:rPr>
              <w:t>, Maturity</w:t>
            </w: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9"/>
              </w:rPr>
              <w:t>Ownership</w:t>
            </w:r>
            <w:r>
              <w:rPr>
                <w:rFonts w:ascii="Times New Roman" w:cs="Times New Roman" w:eastAsia="Times New Roman" w:hAnsi="Times New Roman"/>
                <w:sz w:val="12"/>
                <w:szCs w:val="12"/>
                <w:b w:val="1"/>
                <w:bCs w:val="1"/>
                <w:color w:val="auto"/>
                <w:w w:val="99"/>
              </w:rPr>
              <w:t>(2)</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08"/>
        </w:trPr>
        <w:tc>
          <w:tcPr>
            <w:tcW w:w="3680" w:type="dxa"/>
            <w:vAlign w:val="bottom"/>
            <w:tcBorders>
              <w:top w:val="single" w:sz="8" w:color="CCEEFF"/>
            </w:tcBorders>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Ox Two, LLC</w:t>
            </w:r>
          </w:p>
        </w:tc>
        <w:tc>
          <w:tcPr>
            <w:tcW w:w="1480" w:type="dxa"/>
            <w:vAlign w:val="bottom"/>
            <w:tcBorders>
              <w:top w:val="single" w:sz="8" w:color="auto"/>
            </w:tcBorders>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color w:val="auto"/>
              </w:rPr>
              <w:t>Building Materials</w:t>
            </w:r>
          </w:p>
        </w:tc>
        <w:tc>
          <w:tcPr>
            <w:tcW w:w="280" w:type="dxa"/>
            <w:vAlign w:val="bottom"/>
            <w:tcBorders>
              <w:top w:val="single" w:sz="8" w:color="CCEEFF"/>
            </w:tcBorders>
            <w:shd w:val="clear" w:color="auto" w:fill="CCEEFF"/>
          </w:tcPr>
          <w:p>
            <w:pPr>
              <w:spacing w:after="0"/>
              <w:rPr>
                <w:sz w:val="9"/>
                <w:szCs w:val="9"/>
                <w:color w:val="auto"/>
              </w:rPr>
            </w:pPr>
          </w:p>
        </w:tc>
        <w:tc>
          <w:tcPr>
            <w:tcW w:w="3040" w:type="dxa"/>
            <w:vAlign w:val="bottom"/>
            <w:tcBorders>
              <w:top w:val="single" w:sz="8" w:color="auto"/>
            </w:tcBorders>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2"/>
                <w:szCs w:val="12"/>
                <w:color w:val="auto"/>
              </w:rPr>
              <w:t>,</w:t>
            </w:r>
          </w:p>
        </w:tc>
        <w:tc>
          <w:tcPr>
            <w:tcW w:w="30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ind w:right="9"/>
              <w:spacing w:after="0" w:line="109"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17,045</w:t>
            </w: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22260 Haggerty Road #365</w:t>
            </w:r>
          </w:p>
        </w:tc>
        <w:tc>
          <w:tcPr>
            <w:tcW w:w="1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1M L+600, 05/18/2026</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Northville, MI 48167</w:t>
            </w:r>
          </w:p>
        </w:tc>
        <w:tc>
          <w:tcPr>
            <w:tcW w:w="1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 Acquisitionco, LLC</w:t>
            </w: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Retail</w:t>
            </w:r>
          </w:p>
        </w:tc>
        <w:tc>
          <w:tcPr>
            <w:tcW w:w="3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0.4%</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10,333</w:t>
            </w:r>
          </w:p>
        </w:tc>
        <w:tc>
          <w:tcPr>
            <w:tcW w:w="0" w:type="dxa"/>
            <w:vAlign w:val="bottom"/>
          </w:tcPr>
          <w:p>
            <w:pPr>
              <w:spacing w:after="0"/>
              <w:rPr>
                <w:sz w:val="1"/>
                <w:szCs w:val="1"/>
                <w:color w:val="auto"/>
              </w:rPr>
            </w:pPr>
          </w:p>
        </w:tc>
      </w:tr>
      <w:tr>
        <w:trPr>
          <w:trHeight w:val="149"/>
        </w:trPr>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 xml:space="preserve">(Pink Lily Holdco, LLC </w:t>
            </w:r>
            <w:r>
              <w:rPr>
                <w:rFonts w:ascii="Times New Roman" w:cs="Times New Roman" w:eastAsia="Times New Roman" w:hAnsi="Times New Roman"/>
                <w:sz w:val="12"/>
                <w:szCs w:val="12"/>
                <w:color w:val="auto"/>
              </w:rPr>
              <w:t>(5)</w:t>
            </w:r>
            <w:r>
              <w:rPr>
                <w:rFonts w:ascii="Times New Roman" w:cs="Times New Roman" w:eastAsia="Times New Roman" w:hAnsi="Times New Roman"/>
                <w:sz w:val="14"/>
                <w:szCs w:val="14"/>
                <w:color w:val="auto"/>
              </w:rPr>
              <w:t>)</w:t>
            </w: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L+650, 11/09/2027</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323 Mitch McConnell Way</w:t>
            </w: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Bowling Green KY 42101</w:t>
            </w:r>
          </w:p>
        </w:tc>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PRA Events, Inc.</w:t>
            </w:r>
          </w:p>
        </w:tc>
        <w:tc>
          <w:tcPr>
            <w:tcW w:w="176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Business Services</w:t>
            </w:r>
          </w:p>
        </w:tc>
        <w:tc>
          <w:tcPr>
            <w:tcW w:w="334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p>
        </w:tc>
        <w:tc>
          <w:tcPr>
            <w:tcW w:w="1260" w:type="dxa"/>
            <w:vAlign w:val="bottom"/>
            <w:gridSpan w:val="2"/>
            <w:shd w:val="clear" w:color="auto" w:fill="CCEEFF"/>
          </w:tcPr>
          <w:p>
            <w:pPr>
              <w:jc w:val="right"/>
              <w:ind w:right="320"/>
              <w:spacing w:after="0" w:line="126" w:lineRule="exact"/>
              <w:rPr>
                <w:sz w:val="20"/>
                <w:szCs w:val="20"/>
                <w:color w:val="auto"/>
              </w:rPr>
            </w:pPr>
            <w:r>
              <w:rPr>
                <w:rFonts w:ascii="Times New Roman" w:cs="Times New Roman" w:eastAsia="Times New Roman" w:hAnsi="Times New Roman"/>
                <w:sz w:val="14"/>
                <w:szCs w:val="14"/>
                <w:color w:val="auto"/>
              </w:rPr>
              <w:t>1.5%</w:t>
            </w:r>
          </w:p>
        </w:tc>
        <w:tc>
          <w:tcPr>
            <w:tcW w:w="98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26,567</w:t>
            </w: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(CI (Allied) Investment Holdings, LLC</w:t>
            </w:r>
            <w:r>
              <w:rPr>
                <w:rFonts w:ascii="Times New Roman" w:cs="Times New Roman" w:eastAsia="Times New Roman" w:hAnsi="Times New Roman"/>
                <w:sz w:val="12"/>
                <w:szCs w:val="12"/>
                <w:color w:val="auto"/>
              </w:rPr>
              <w:t>(5)</w:t>
            </w:r>
            <w:r>
              <w:rPr>
                <w:rFonts w:ascii="Times New Roman" w:cs="Times New Roman" w:eastAsia="Times New Roman" w:hAnsi="Times New Roman"/>
                <w:sz w:val="14"/>
                <w:szCs w:val="14"/>
                <w:color w:val="auto"/>
              </w:rPr>
              <w:t>)</w:t>
            </w:r>
          </w:p>
        </w:tc>
        <w:tc>
          <w:tcPr>
            <w:tcW w:w="1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L+1,050 (PIK 11.5%), 08/07/2025</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One North LaSalle Street</w:t>
            </w:r>
          </w:p>
        </w:tc>
        <w:tc>
          <w:tcPr>
            <w:tcW w:w="1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Chicago, IL 60602</w:t>
            </w:r>
          </w:p>
        </w:tc>
        <w:tc>
          <w:tcPr>
            <w:tcW w:w="1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Quantic Electronics, LLC</w:t>
            </w: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Aerospace and Defense</w:t>
            </w:r>
          </w:p>
        </w:tc>
        <w:tc>
          <w:tcPr>
            <w:tcW w:w="3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2,657</w:t>
            </w: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Four Embarcadero Center, Suite 3460</w:t>
            </w: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1M L+625, 11/19/2026</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San Francisco, CA 94111</w:t>
            </w:r>
          </w:p>
        </w:tc>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QuantiTech LLC</w:t>
            </w:r>
          </w:p>
        </w:tc>
        <w:tc>
          <w:tcPr>
            <w:tcW w:w="176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Aerospace and Defense</w:t>
            </w:r>
          </w:p>
        </w:tc>
        <w:tc>
          <w:tcPr>
            <w:tcW w:w="334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Second Lien Secured Debt,</w:t>
            </w:r>
          </w:p>
        </w:tc>
        <w:tc>
          <w:tcPr>
            <w:tcW w:w="1260" w:type="dxa"/>
            <w:vAlign w:val="bottom"/>
            <w:gridSpan w:val="2"/>
            <w:shd w:val="clear" w:color="auto" w:fill="CCEEFF"/>
          </w:tcPr>
          <w:p>
            <w:pPr>
              <w:jc w:val="right"/>
              <w:ind w:right="320"/>
              <w:spacing w:after="0" w:line="126" w:lineRule="exact"/>
              <w:rPr>
                <w:sz w:val="20"/>
                <w:szCs w:val="20"/>
                <w:color w:val="auto"/>
              </w:rPr>
            </w:pPr>
            <w:r>
              <w:rPr>
                <w:rFonts w:ascii="Times New Roman" w:cs="Times New Roman" w:eastAsia="Times New Roman" w:hAnsi="Times New Roman"/>
                <w:sz w:val="14"/>
                <w:szCs w:val="14"/>
                <w:color w:val="auto"/>
              </w:rPr>
              <w:t>0.3%</w:t>
            </w:r>
          </w:p>
        </w:tc>
        <w:tc>
          <w:tcPr>
            <w:tcW w:w="98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529</w:t>
            </w: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xml:space="preserve">(QuantiTech InvestCo LP </w:t>
            </w:r>
            <w:r>
              <w:rPr>
                <w:rFonts w:ascii="Times New Roman" w:cs="Times New Roman" w:eastAsia="Times New Roman" w:hAnsi="Times New Roman"/>
                <w:sz w:val="12"/>
                <w:szCs w:val="12"/>
                <w:color w:val="auto"/>
              </w:rPr>
              <w:t>(5)</w:t>
            </w:r>
            <w:r>
              <w:rPr>
                <w:rFonts w:ascii="Times New Roman" w:cs="Times New Roman" w:eastAsia="Times New Roman" w:hAnsi="Times New Roman"/>
                <w:sz w:val="14"/>
                <w:szCs w:val="14"/>
                <w:color w:val="auto"/>
              </w:rPr>
              <w:t>)</w:t>
            </w:r>
          </w:p>
        </w:tc>
        <w:tc>
          <w:tcPr>
            <w:tcW w:w="1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L+1,000, 02/04/2027</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xml:space="preserve">(QuantiTech InvestCo II LP </w:t>
            </w:r>
            <w:r>
              <w:rPr>
                <w:rFonts w:ascii="Times New Roman" w:cs="Times New Roman" w:eastAsia="Times New Roman" w:hAnsi="Times New Roman"/>
                <w:sz w:val="12"/>
                <w:szCs w:val="12"/>
                <w:color w:val="auto"/>
              </w:rPr>
              <w:t>(5)</w:t>
            </w:r>
            <w:r>
              <w:rPr>
                <w:rFonts w:ascii="Times New Roman" w:cs="Times New Roman" w:eastAsia="Times New Roman" w:hAnsi="Times New Roman"/>
                <w:sz w:val="14"/>
                <w:szCs w:val="14"/>
                <w:color w:val="auto"/>
              </w:rPr>
              <w:t>)</w:t>
            </w:r>
          </w:p>
        </w:tc>
        <w:tc>
          <w:tcPr>
            <w:tcW w:w="1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 Equity</w:t>
            </w:r>
            <w:r>
              <w:rPr>
                <w:rFonts w:ascii="Times New Roman" w:cs="Times New Roman" w:eastAsia="Times New Roman" w:hAnsi="Times New Roman"/>
                <w:sz w:val="12"/>
                <w:szCs w:val="12"/>
                <w:color w:val="auto"/>
              </w:rPr>
              <w:t>(4)</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360A Quality Circle Suite 100</w:t>
            </w:r>
          </w:p>
        </w:tc>
        <w:tc>
          <w:tcPr>
            <w:tcW w:w="1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Huntsville, AL 35806</w:t>
            </w:r>
          </w:p>
        </w:tc>
        <w:tc>
          <w:tcPr>
            <w:tcW w:w="1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Questex, LLC</w:t>
            </w: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Media</w:t>
            </w:r>
          </w:p>
        </w:tc>
        <w:tc>
          <w:tcPr>
            <w:tcW w:w="3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22,148</w:t>
            </w: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275 Grove Street, Suite 2-130</w:t>
            </w: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L+500, 09/07/2024</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Newton, MA 02466</w:t>
            </w:r>
          </w:p>
        </w:tc>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Radius Aerospace, Inc.</w:t>
            </w:r>
          </w:p>
        </w:tc>
        <w:tc>
          <w:tcPr>
            <w:tcW w:w="176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Aerospace and Defense</w:t>
            </w:r>
          </w:p>
        </w:tc>
        <w:tc>
          <w:tcPr>
            <w:tcW w:w="334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5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60"/>
              <w:spacing w:after="0" w:line="126" w:lineRule="exact"/>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153 Extrusion Place</w:t>
            </w:r>
          </w:p>
        </w:tc>
        <w:tc>
          <w:tcPr>
            <w:tcW w:w="1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L+575, 03/29/2025</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Hot Springs, AR 71901</w:t>
            </w:r>
          </w:p>
        </w:tc>
        <w:tc>
          <w:tcPr>
            <w:tcW w:w="1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Rancho Health MSO, Inc.</w:t>
            </w: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Healthcare, Education</w:t>
            </w:r>
          </w:p>
        </w:tc>
        <w:tc>
          <w:tcPr>
            <w:tcW w:w="3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0.8%</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1,154</w:t>
            </w: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(RFMG Parent, LP)</w:t>
            </w:r>
          </w:p>
        </w:tc>
        <w:tc>
          <w:tcPr>
            <w:tcW w:w="17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and Childcare</w:t>
            </w:r>
          </w:p>
        </w:tc>
        <w:tc>
          <w:tcPr>
            <w:tcW w:w="3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 12/18/2025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31720 Temecula Pkwy Suite 100</w:t>
            </w: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Temecula, CA 92592</w:t>
            </w:r>
          </w:p>
        </w:tc>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Recteq, LLC</w:t>
            </w:r>
          </w:p>
        </w:tc>
        <w:tc>
          <w:tcPr>
            <w:tcW w:w="176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Consumer Products</w:t>
            </w:r>
          </w:p>
        </w:tc>
        <w:tc>
          <w:tcPr>
            <w:tcW w:w="334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320"/>
              <w:spacing w:after="0" w:line="126" w:lineRule="exact"/>
              <w:rPr>
                <w:sz w:val="20"/>
                <w:szCs w:val="20"/>
                <w:color w:val="auto"/>
              </w:rPr>
            </w:pPr>
            <w:r>
              <w:rPr>
                <w:rFonts w:ascii="Times New Roman" w:cs="Times New Roman" w:eastAsia="Times New Roman" w:hAnsi="Times New Roman"/>
                <w:sz w:val="14"/>
                <w:szCs w:val="14"/>
                <w:color w:val="auto"/>
              </w:rPr>
              <w:t>0.6%</w:t>
            </w:r>
          </w:p>
        </w:tc>
        <w:tc>
          <w:tcPr>
            <w:tcW w:w="98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1,273</w:t>
            </w: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xml:space="preserve">(NEPRT Parent Holdings, LLC </w:t>
            </w:r>
            <w:r>
              <w:rPr>
                <w:rFonts w:ascii="Times New Roman" w:cs="Times New Roman" w:eastAsia="Times New Roman" w:hAnsi="Times New Roman"/>
                <w:sz w:val="12"/>
                <w:szCs w:val="12"/>
                <w:color w:val="auto"/>
              </w:rPr>
              <w:t>(5)</w:t>
            </w:r>
            <w:r>
              <w:rPr>
                <w:rFonts w:ascii="Times New Roman" w:cs="Times New Roman" w:eastAsia="Times New Roman" w:hAnsi="Times New Roman"/>
                <w:sz w:val="14"/>
                <w:szCs w:val="14"/>
                <w:color w:val="auto"/>
              </w:rPr>
              <w:t>)</w:t>
            </w:r>
          </w:p>
        </w:tc>
        <w:tc>
          <w:tcPr>
            <w:tcW w:w="1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L+600, 01/29/2026</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1061 Triad Ct., Ste. 3</w:t>
            </w:r>
          </w:p>
        </w:tc>
        <w:tc>
          <w:tcPr>
            <w:tcW w:w="1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Marietta, GA 30062</w:t>
            </w:r>
          </w:p>
        </w:tc>
        <w:tc>
          <w:tcPr>
            <w:tcW w:w="1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Research Horizons, LLC</w:t>
            </w: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Media</w:t>
            </w:r>
          </w:p>
        </w:tc>
        <w:tc>
          <w:tcPr>
            <w:tcW w:w="3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22,776</w:t>
            </w: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1140 Broadway, Suite 1002</w:t>
            </w: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1M L+625, 06/28/2022</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 York, NY 10001</w:t>
            </w:r>
          </w:p>
        </w:tc>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Research Now Group, Inc. and Dynata, LLC</w:t>
            </w:r>
          </w:p>
        </w:tc>
        <w:tc>
          <w:tcPr>
            <w:tcW w:w="176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Business Services</w:t>
            </w:r>
          </w:p>
        </w:tc>
        <w:tc>
          <w:tcPr>
            <w:tcW w:w="334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p>
        </w:tc>
        <w:tc>
          <w:tcPr>
            <w:tcW w:w="1260" w:type="dxa"/>
            <w:vAlign w:val="bottom"/>
            <w:gridSpan w:val="2"/>
            <w:shd w:val="clear" w:color="auto" w:fill="CCEEFF"/>
          </w:tcPr>
          <w:p>
            <w:pPr>
              <w:jc w:val="right"/>
              <w:ind w:right="5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2,835</w:t>
            </w:r>
          </w:p>
        </w:tc>
        <w:tc>
          <w:tcPr>
            <w:tcW w:w="0" w:type="dxa"/>
            <w:vAlign w:val="bottom"/>
          </w:tcPr>
          <w:p>
            <w:pPr>
              <w:spacing w:after="0"/>
              <w:rPr>
                <w:sz w:val="1"/>
                <w:szCs w:val="1"/>
                <w:color w:val="auto"/>
              </w:rPr>
            </w:pPr>
          </w:p>
        </w:tc>
      </w:tr>
      <w:tr>
        <w:trPr>
          <w:trHeight w:val="149"/>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5800 Tennyson Parkway, Suite 600</w:t>
            </w:r>
          </w:p>
        </w:tc>
        <w:tc>
          <w:tcPr>
            <w:tcW w:w="1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L+550, 12/20/2024</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Plano, TX 75024</w:t>
            </w:r>
          </w:p>
        </w:tc>
        <w:tc>
          <w:tcPr>
            <w:tcW w:w="1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Riverpoint Medical, LLC</w:t>
            </w: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Healthcare, Education</w:t>
            </w:r>
          </w:p>
        </w:tc>
        <w:tc>
          <w:tcPr>
            <w:tcW w:w="3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9"/>
        </w:trPr>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825 NE 25th Avenue</w:t>
            </w:r>
          </w:p>
        </w:tc>
        <w:tc>
          <w:tcPr>
            <w:tcW w:w="17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and Childcare</w:t>
            </w:r>
          </w:p>
        </w:tc>
        <w:tc>
          <w:tcPr>
            <w:tcW w:w="3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 06/20/2025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Portland, OR 97232</w:t>
            </w:r>
          </w:p>
        </w:tc>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18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Riverside Assessments, LLC</w:t>
            </w:r>
          </w:p>
        </w:tc>
        <w:tc>
          <w:tcPr>
            <w:tcW w:w="176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Education</w:t>
            </w:r>
          </w:p>
        </w:tc>
        <w:tc>
          <w:tcPr>
            <w:tcW w:w="334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p>
        </w:tc>
        <w:tc>
          <w:tcPr>
            <w:tcW w:w="1260" w:type="dxa"/>
            <w:vAlign w:val="bottom"/>
            <w:gridSpan w:val="2"/>
            <w:shd w:val="clear" w:color="auto" w:fill="CCEEFF"/>
          </w:tcPr>
          <w:p>
            <w:pPr>
              <w:jc w:val="right"/>
              <w:ind w:right="5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15,320</w:t>
            </w: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One Pierce Pl, Suite 900W</w:t>
            </w:r>
          </w:p>
        </w:tc>
        <w:tc>
          <w:tcPr>
            <w:tcW w:w="1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L+575, 03/10/2025</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Itasca, IL 60143</w:t>
            </w:r>
          </w:p>
        </w:tc>
        <w:tc>
          <w:tcPr>
            <w:tcW w:w="1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Sales Benchmark Index LLC</w:t>
            </w: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Business Services</w:t>
            </w:r>
          </w:p>
        </w:tc>
        <w:tc>
          <w:tcPr>
            <w:tcW w:w="3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0.4%</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302</w:t>
            </w: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(SBI Holdings Investments LLC)</w:t>
            </w: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L+600, 01/07/2025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2021 McKinney Avenue Suite 550</w:t>
            </w: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Dallas, TX 75201</w:t>
            </w:r>
          </w:p>
        </w:tc>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40"/>
          </w:cols>
          <w:pgMar w:left="320" w:top="455" w:right="4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3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Type of Investment,</w:t>
            </w: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9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46"/>
        </w:trPr>
        <w:tc>
          <w:tcPr>
            <w:tcW w:w="3660" w:type="dxa"/>
            <w:vAlign w:val="bottom"/>
            <w:gridSpan w:val="2"/>
            <w:vMerge w:val="continue"/>
          </w:tcPr>
          <w:p>
            <w:pPr>
              <w:spacing w:after="0"/>
              <w:rPr>
                <w:sz w:val="12"/>
                <w:szCs w:val="12"/>
                <w:color w:val="auto"/>
              </w:rPr>
            </w:pPr>
          </w:p>
        </w:tc>
        <w:tc>
          <w:tcPr>
            <w:tcW w:w="18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Nature of Business</w:t>
            </w:r>
          </w:p>
        </w:tc>
        <w:tc>
          <w:tcPr>
            <w:tcW w:w="3300" w:type="dxa"/>
            <w:vAlign w:val="bottom"/>
            <w:gridSpan w:val="2"/>
            <w:vMerge w:val="continue"/>
          </w:tcPr>
          <w:p>
            <w:pPr>
              <w:spacing w:after="0"/>
              <w:rPr>
                <w:sz w:val="12"/>
                <w:szCs w:val="12"/>
                <w:color w:val="auto"/>
              </w:rPr>
            </w:pPr>
          </w:p>
        </w:tc>
        <w:tc>
          <w:tcPr>
            <w:tcW w:w="1300" w:type="dxa"/>
            <w:vAlign w:val="bottom"/>
            <w:gridSpan w:val="2"/>
          </w:tcPr>
          <w:p>
            <w:pPr>
              <w:jc w:val="center"/>
              <w:ind w:right="480"/>
              <w:spacing w:after="0" w:line="146"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Address of Portfolio Company</w:t>
            </w:r>
          </w:p>
        </w:tc>
        <w:tc>
          <w:tcPr>
            <w:tcW w:w="178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3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Interest</w:t>
            </w:r>
            <w:r>
              <w:rPr>
                <w:rFonts w:ascii="Times New Roman" w:cs="Times New Roman" w:eastAsia="Times New Roman" w:hAnsi="Times New Roman"/>
                <w:sz w:val="12"/>
                <w:szCs w:val="12"/>
                <w:b w:val="1"/>
                <w:bCs w:val="1"/>
                <w:color w:val="auto"/>
              </w:rPr>
              <w:t>(1)</w:t>
            </w:r>
            <w:r>
              <w:rPr>
                <w:rFonts w:ascii="Times New Roman" w:cs="Times New Roman" w:eastAsia="Times New Roman" w:hAnsi="Times New Roman"/>
                <w:sz w:val="14"/>
                <w:szCs w:val="14"/>
                <w:b w:val="1"/>
                <w:bCs w:val="1"/>
                <w:color w:val="auto"/>
              </w:rPr>
              <w:t>, Maturity</w:t>
            </w: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Ownership</w:t>
            </w:r>
            <w:r>
              <w:rPr>
                <w:rFonts w:ascii="Times New Roman" w:cs="Times New Roman" w:eastAsia="Times New Roman" w:hAnsi="Times New Roman"/>
                <w:sz w:val="12"/>
                <w:szCs w:val="12"/>
                <w:b w:val="1"/>
                <w:bCs w:val="1"/>
                <w:color w:val="auto"/>
              </w:rPr>
              <w:t>(2)</w:t>
            </w: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08"/>
        </w:trPr>
        <w:tc>
          <w:tcPr>
            <w:tcW w:w="3660" w:type="dxa"/>
            <w:vAlign w:val="bottom"/>
            <w:tcBorders>
              <w:top w:val="single" w:sz="8" w:color="CCEEFF"/>
            </w:tcBorders>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Sargent &amp; Greenleaf Inc.</w:t>
            </w:r>
          </w:p>
        </w:tc>
        <w:tc>
          <w:tcPr>
            <w:tcW w:w="1560" w:type="dxa"/>
            <w:vAlign w:val="bottom"/>
            <w:tcBorders>
              <w:top w:val="single" w:sz="8" w:color="auto"/>
            </w:tcBorders>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color w:val="auto"/>
              </w:rPr>
              <w:t>Electronics</w:t>
            </w:r>
          </w:p>
        </w:tc>
        <w:tc>
          <w:tcPr>
            <w:tcW w:w="280" w:type="dxa"/>
            <w:vAlign w:val="bottom"/>
            <w:tcBorders>
              <w:top w:val="single" w:sz="8" w:color="CCEEFF"/>
            </w:tcBorders>
            <w:shd w:val="clear" w:color="auto" w:fill="CCEEFF"/>
          </w:tcPr>
          <w:p>
            <w:pPr>
              <w:spacing w:after="0"/>
              <w:rPr>
                <w:sz w:val="9"/>
                <w:szCs w:val="9"/>
                <w:color w:val="auto"/>
              </w:rPr>
            </w:pPr>
          </w:p>
        </w:tc>
        <w:tc>
          <w:tcPr>
            <w:tcW w:w="3020" w:type="dxa"/>
            <w:vAlign w:val="bottom"/>
            <w:tcBorders>
              <w:top w:val="single" w:sz="8" w:color="auto"/>
            </w:tcBorders>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2"/>
                <w:szCs w:val="12"/>
                <w:color w:val="auto"/>
              </w:rPr>
              <w:t>,</w:t>
            </w:r>
          </w:p>
        </w:tc>
        <w:tc>
          <w:tcPr>
            <w:tcW w:w="2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ind w:left="600"/>
              <w:spacing w:after="0" w:line="109" w:lineRule="exact"/>
              <w:rPr>
                <w:sz w:val="20"/>
                <w:szCs w:val="20"/>
                <w:color w:val="auto"/>
              </w:rPr>
            </w:pPr>
            <w:r>
              <w:rPr>
                <w:rFonts w:ascii="Times New Roman" w:cs="Times New Roman" w:eastAsia="Times New Roman" w:hAnsi="Times New Roman"/>
                <w:sz w:val="12"/>
                <w:szCs w:val="12"/>
                <w:color w:val="auto"/>
              </w:rPr>
              <w:t>—</w:t>
            </w:r>
          </w:p>
        </w:tc>
        <w:tc>
          <w:tcPr>
            <w:tcW w:w="48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493</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One Security Drive</w:t>
            </w:r>
          </w:p>
        </w:tc>
        <w:tc>
          <w:tcPr>
            <w:tcW w:w="1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L+550, 12/20/2024</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Nicholasville, KY 40356</w:t>
            </w:r>
          </w:p>
        </w:tc>
        <w:tc>
          <w:tcPr>
            <w:tcW w:w="1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Schlesinger Global, Inc.</w:t>
            </w: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Business Services</w:t>
            </w:r>
          </w:p>
        </w:tc>
        <w:tc>
          <w:tcPr>
            <w:tcW w:w="3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3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2"/>
                <w:szCs w:val="12"/>
                <w:color w:val="auto"/>
              </w:rPr>
              <w:t>(7)</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4,411</w:t>
            </w:r>
          </w:p>
        </w:tc>
        <w:tc>
          <w:tcPr>
            <w:tcW w:w="0" w:type="dxa"/>
            <w:vAlign w:val="bottom"/>
          </w:tcPr>
          <w:p>
            <w:pPr>
              <w:spacing w:after="0"/>
              <w:rPr>
                <w:sz w:val="1"/>
                <w:szCs w:val="1"/>
                <w:color w:val="auto"/>
              </w:rPr>
            </w:pPr>
          </w:p>
        </w:tc>
      </w:tr>
      <w:tr>
        <w:trPr>
          <w:trHeight w:val="148"/>
        </w:trPr>
        <w:tc>
          <w:tcPr>
            <w:tcW w:w="3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(Gauge Schlesinger Coinvest, LLC)</w:t>
            </w: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L+700 (PIK 1.0%), 07/14/2025</w:t>
            </w: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101 Wood Avenue South, Suite 501</w:t>
            </w: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Iselin, NJ 08830</w:t>
            </w: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Sigma Defense Systems, LLC</w:t>
            </w:r>
          </w:p>
        </w:tc>
        <w:tc>
          <w:tcPr>
            <w:tcW w:w="184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Telecommunications</w:t>
            </w:r>
          </w:p>
        </w:tc>
        <w:tc>
          <w:tcPr>
            <w:tcW w:w="330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ind w:left="640"/>
              <w:spacing w:after="0" w:line="126" w:lineRule="exact"/>
              <w:rPr>
                <w:sz w:val="20"/>
                <w:szCs w:val="20"/>
                <w:color w:val="auto"/>
              </w:rPr>
            </w:pPr>
            <w:r>
              <w:rPr>
                <w:rFonts w:ascii="Times New Roman" w:cs="Times New Roman" w:eastAsia="Times New Roman" w:hAnsi="Times New Roman"/>
                <w:sz w:val="14"/>
                <w:szCs w:val="14"/>
                <w:color w:val="auto"/>
              </w:rPr>
              <w:t>1.4%</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25,603</w:t>
            </w:r>
          </w:p>
        </w:tc>
        <w:tc>
          <w:tcPr>
            <w:tcW w:w="0" w:type="dxa"/>
            <w:vAlign w:val="bottom"/>
          </w:tcPr>
          <w:p>
            <w:pPr>
              <w:spacing w:after="0"/>
              <w:rPr>
                <w:sz w:val="1"/>
                <w:szCs w:val="1"/>
                <w:color w:val="auto"/>
              </w:rPr>
            </w:pPr>
          </w:p>
        </w:tc>
      </w:tr>
      <w:tr>
        <w:trPr>
          <w:trHeight w:val="148"/>
        </w:trPr>
        <w:tc>
          <w:tcPr>
            <w:tcW w:w="3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xml:space="preserve">(Delta InvestCo LP </w:t>
            </w:r>
            <w:r>
              <w:rPr>
                <w:rFonts w:ascii="Times New Roman" w:cs="Times New Roman" w:eastAsia="Times New Roman" w:hAnsi="Times New Roman"/>
                <w:sz w:val="12"/>
                <w:szCs w:val="12"/>
                <w:color w:val="auto"/>
              </w:rPr>
              <w:t>(5)</w:t>
            </w:r>
            <w:r>
              <w:rPr>
                <w:rFonts w:ascii="Times New Roman" w:cs="Times New Roman" w:eastAsia="Times New Roman" w:hAnsi="Times New Roman"/>
                <w:sz w:val="14"/>
                <w:szCs w:val="14"/>
                <w:color w:val="auto"/>
              </w:rPr>
              <w:t>)</w:t>
            </w:r>
          </w:p>
        </w:tc>
        <w:tc>
          <w:tcPr>
            <w:tcW w:w="1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L+850, 12/18/2025</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1812 Macon Rd, Perry, GA 31069</w:t>
            </w:r>
          </w:p>
        </w:tc>
        <w:tc>
          <w:tcPr>
            <w:tcW w:w="1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30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color w:val="auto"/>
              </w:rPr>
              <w:t>Common Equity</w:t>
            </w:r>
            <w:r>
              <w:rPr>
                <w:rFonts w:ascii="Times New Roman" w:cs="Times New Roman" w:eastAsia="Times New Roman" w:hAnsi="Times New Roman"/>
                <w:sz w:val="12"/>
                <w:szCs w:val="12"/>
                <w:color w:val="auto"/>
              </w:rPr>
              <w:t>(4)</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Signature Systems Holding Company</w:t>
            </w: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Chemicals, Plastics and</w:t>
            </w:r>
          </w:p>
        </w:tc>
        <w:tc>
          <w:tcPr>
            <w:tcW w:w="3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30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1.9%</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1,408</w:t>
            </w:r>
          </w:p>
        </w:tc>
        <w:tc>
          <w:tcPr>
            <w:tcW w:w="0" w:type="dxa"/>
            <w:vAlign w:val="bottom"/>
          </w:tcPr>
          <w:p>
            <w:pPr>
              <w:spacing w:after="0"/>
              <w:rPr>
                <w:sz w:val="1"/>
                <w:szCs w:val="1"/>
                <w:color w:val="auto"/>
              </w:rPr>
            </w:pPr>
          </w:p>
        </w:tc>
      </w:tr>
      <w:tr>
        <w:trPr>
          <w:trHeight w:val="149"/>
        </w:trPr>
        <w:tc>
          <w:tcPr>
            <w:tcW w:w="3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(Signature CR Intermediate Holdco, Inc.)</w:t>
            </w:r>
          </w:p>
        </w:tc>
        <w:tc>
          <w:tcPr>
            <w:tcW w:w="18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Rubber</w:t>
            </w:r>
          </w:p>
        </w:tc>
        <w:tc>
          <w:tcPr>
            <w:tcW w:w="3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 05/03/2024</w:t>
            </w: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1201 Lakeside Parkway, Suite 150</w:t>
            </w: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Preferred Equity</w:t>
            </w: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Flower Mound, TX 75028</w:t>
            </w: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Solutionreach, Inc.</w:t>
            </w:r>
          </w:p>
        </w:tc>
        <w:tc>
          <w:tcPr>
            <w:tcW w:w="1840" w:type="dxa"/>
            <w:vAlign w:val="bottom"/>
            <w:gridSpan w:val="2"/>
            <w:shd w:val="clear" w:color="auto" w:fill="CCEEFF"/>
          </w:tcPr>
          <w:p>
            <w:pPr>
              <w:jc w:val="center"/>
              <w:ind w:right="300"/>
              <w:spacing w:after="0" w:line="126" w:lineRule="exact"/>
              <w:rPr>
                <w:sz w:val="20"/>
                <w:szCs w:val="20"/>
                <w:color w:val="auto"/>
              </w:rPr>
            </w:pPr>
            <w:r>
              <w:rPr>
                <w:rFonts w:ascii="Times New Roman" w:cs="Times New Roman" w:eastAsia="Times New Roman" w:hAnsi="Times New Roman"/>
                <w:sz w:val="14"/>
                <w:szCs w:val="14"/>
                <w:color w:val="auto"/>
              </w:rPr>
              <w:t>Communications</w:t>
            </w:r>
          </w:p>
        </w:tc>
        <w:tc>
          <w:tcPr>
            <w:tcW w:w="330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ind w:left="6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ind w:left="6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2600 N. Ashton Blvd.</w:t>
            </w:r>
          </w:p>
        </w:tc>
        <w:tc>
          <w:tcPr>
            <w:tcW w:w="1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 01/17/2024</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Lehi, UT 84043</w:t>
            </w:r>
          </w:p>
        </w:tc>
        <w:tc>
          <w:tcPr>
            <w:tcW w:w="1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Spear Education, LLC</w:t>
            </w:r>
          </w:p>
        </w:tc>
        <w:tc>
          <w:tcPr>
            <w:tcW w:w="1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Education</w:t>
            </w:r>
          </w:p>
        </w:tc>
        <w:tc>
          <w:tcPr>
            <w:tcW w:w="3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3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14,860</w:t>
            </w:r>
          </w:p>
        </w:tc>
        <w:tc>
          <w:tcPr>
            <w:tcW w:w="0" w:type="dxa"/>
            <w:vAlign w:val="bottom"/>
          </w:tcPr>
          <w:p>
            <w:pPr>
              <w:spacing w:after="0"/>
              <w:rPr>
                <w:sz w:val="1"/>
                <w:szCs w:val="1"/>
                <w:color w:val="auto"/>
              </w:rPr>
            </w:pPr>
          </w:p>
        </w:tc>
      </w:tr>
      <w:tr>
        <w:trPr>
          <w:trHeight w:val="148"/>
        </w:trPr>
        <w:tc>
          <w:tcPr>
            <w:tcW w:w="3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7201 E Princess Boulevard</w:t>
            </w: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L+500, 02/26/2025</w:t>
            </w: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Scottsdale, AZ 85255</w:t>
            </w: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18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SSC Dominion Holdings, LLC</w:t>
            </w:r>
          </w:p>
        </w:tc>
        <w:tc>
          <w:tcPr>
            <w:tcW w:w="184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Electronics</w:t>
            </w:r>
          </w:p>
        </w:tc>
        <w:tc>
          <w:tcPr>
            <w:tcW w:w="330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Common Equity</w:t>
            </w:r>
          </w:p>
        </w:tc>
        <w:tc>
          <w:tcPr>
            <w:tcW w:w="1300" w:type="dxa"/>
            <w:vAlign w:val="bottom"/>
            <w:gridSpan w:val="2"/>
            <w:shd w:val="clear" w:color="auto" w:fill="CCEEFF"/>
          </w:tcPr>
          <w:p>
            <w:pPr>
              <w:ind w:left="640"/>
              <w:spacing w:after="0" w:line="126" w:lineRule="exact"/>
              <w:rPr>
                <w:sz w:val="20"/>
                <w:szCs w:val="20"/>
                <w:color w:val="auto"/>
              </w:rPr>
            </w:pPr>
            <w:r>
              <w:rPr>
                <w:rFonts w:ascii="Times New Roman" w:cs="Times New Roman" w:eastAsia="Times New Roman" w:hAnsi="Times New Roman"/>
                <w:sz w:val="14"/>
                <w:szCs w:val="14"/>
                <w:color w:val="auto"/>
              </w:rPr>
              <w:t>2.9%</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5,619</w:t>
            </w:r>
          </w:p>
        </w:tc>
        <w:tc>
          <w:tcPr>
            <w:tcW w:w="0" w:type="dxa"/>
            <w:vAlign w:val="bottom"/>
          </w:tcPr>
          <w:p>
            <w:pPr>
              <w:spacing w:after="0"/>
              <w:rPr>
                <w:sz w:val="1"/>
                <w:szCs w:val="1"/>
                <w:color w:val="auto"/>
              </w:rPr>
            </w:pPr>
          </w:p>
        </w:tc>
      </w:tr>
      <w:tr>
        <w:trPr>
          <w:trHeight w:val="148"/>
        </w:trPr>
        <w:tc>
          <w:tcPr>
            <w:tcW w:w="3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215 Spadina Avenue, Suite 200</w:t>
            </w:r>
          </w:p>
        </w:tc>
        <w:tc>
          <w:tcPr>
            <w:tcW w:w="1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Toronto, ON MST 2C7</w:t>
            </w:r>
          </w:p>
        </w:tc>
        <w:tc>
          <w:tcPr>
            <w:tcW w:w="1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TAC LifePort Purchaser, LLC</w:t>
            </w: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Aerospace and Defense</w:t>
            </w:r>
          </w:p>
        </w:tc>
        <w:tc>
          <w:tcPr>
            <w:tcW w:w="3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30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0.4%</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240</w:t>
            </w:r>
          </w:p>
        </w:tc>
        <w:tc>
          <w:tcPr>
            <w:tcW w:w="0" w:type="dxa"/>
            <w:vAlign w:val="bottom"/>
          </w:tcPr>
          <w:p>
            <w:pPr>
              <w:spacing w:after="0"/>
              <w:rPr>
                <w:sz w:val="1"/>
                <w:szCs w:val="1"/>
                <w:color w:val="auto"/>
              </w:rPr>
            </w:pPr>
          </w:p>
        </w:tc>
      </w:tr>
      <w:tr>
        <w:trPr>
          <w:trHeight w:val="148"/>
        </w:trPr>
        <w:tc>
          <w:tcPr>
            <w:tcW w:w="3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 xml:space="preserve">(TAC LifePort Holdings, LLC </w:t>
            </w:r>
            <w:r>
              <w:rPr>
                <w:rFonts w:ascii="Times New Roman" w:cs="Times New Roman" w:eastAsia="Times New Roman" w:hAnsi="Times New Roman"/>
                <w:sz w:val="12"/>
                <w:szCs w:val="12"/>
                <w:color w:val="auto"/>
              </w:rPr>
              <w:t>(5)</w:t>
            </w:r>
            <w:r>
              <w:rPr>
                <w:rFonts w:ascii="Times New Roman" w:cs="Times New Roman" w:eastAsia="Times New Roman" w:hAnsi="Times New Roman"/>
                <w:sz w:val="14"/>
                <w:szCs w:val="14"/>
                <w:color w:val="auto"/>
              </w:rPr>
              <w:t>)</w:t>
            </w: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L+600, 03/01/2026</w:t>
            </w: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1610 Heritage St</w:t>
            </w: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Woodland, WA 98674</w:t>
            </w: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The Aegis Technologies Group, LLC</w:t>
            </w:r>
          </w:p>
        </w:tc>
        <w:tc>
          <w:tcPr>
            <w:tcW w:w="184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Aerospace and Defense</w:t>
            </w:r>
          </w:p>
        </w:tc>
        <w:tc>
          <w:tcPr>
            <w:tcW w:w="330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p>
        </w:tc>
        <w:tc>
          <w:tcPr>
            <w:tcW w:w="1300" w:type="dxa"/>
            <w:vAlign w:val="bottom"/>
            <w:gridSpan w:val="2"/>
            <w:shd w:val="clear" w:color="auto" w:fill="CCEEFF"/>
          </w:tcPr>
          <w:p>
            <w:pPr>
              <w:ind w:left="6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11,180</w:t>
            </w:r>
          </w:p>
        </w:tc>
        <w:tc>
          <w:tcPr>
            <w:tcW w:w="0" w:type="dxa"/>
            <w:vAlign w:val="bottom"/>
          </w:tcPr>
          <w:p>
            <w:pPr>
              <w:spacing w:after="0"/>
              <w:rPr>
                <w:sz w:val="1"/>
                <w:szCs w:val="1"/>
                <w:color w:val="auto"/>
              </w:rPr>
            </w:pPr>
          </w:p>
        </w:tc>
      </w:tr>
      <w:tr>
        <w:trPr>
          <w:trHeight w:val="148"/>
        </w:trPr>
        <w:tc>
          <w:tcPr>
            <w:tcW w:w="3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4601 N. Fairfax Drive, Suite 900</w:t>
            </w:r>
          </w:p>
        </w:tc>
        <w:tc>
          <w:tcPr>
            <w:tcW w:w="1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L+600, 10/31/2025</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Arlington, VA, 22203</w:t>
            </w:r>
          </w:p>
        </w:tc>
        <w:tc>
          <w:tcPr>
            <w:tcW w:w="1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Bluebird Group LLC</w:t>
            </w: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Business Services</w:t>
            </w:r>
          </w:p>
        </w:tc>
        <w:tc>
          <w:tcPr>
            <w:tcW w:w="3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3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2,644</w:t>
            </w:r>
          </w:p>
        </w:tc>
        <w:tc>
          <w:tcPr>
            <w:tcW w:w="0" w:type="dxa"/>
            <w:vAlign w:val="bottom"/>
          </w:tcPr>
          <w:p>
            <w:pPr>
              <w:spacing w:after="0"/>
              <w:rPr>
                <w:sz w:val="1"/>
                <w:szCs w:val="1"/>
                <w:color w:val="auto"/>
              </w:rPr>
            </w:pPr>
          </w:p>
        </w:tc>
      </w:tr>
      <w:tr>
        <w:trPr>
          <w:trHeight w:val="148"/>
        </w:trPr>
        <w:tc>
          <w:tcPr>
            <w:tcW w:w="3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81 South Ninth Street, Suite 420,</w:t>
            </w: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L+700, 07/27/2026</w:t>
            </w: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Minneapolis, MN, 55402</w:t>
            </w: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The Vertex Companies, LLC</w:t>
            </w:r>
          </w:p>
        </w:tc>
        <w:tc>
          <w:tcPr>
            <w:tcW w:w="184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Business Services</w:t>
            </w:r>
          </w:p>
        </w:tc>
        <w:tc>
          <w:tcPr>
            <w:tcW w:w="330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ind w:left="600"/>
              <w:spacing w:after="0" w:line="126"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2"/>
                <w:szCs w:val="12"/>
                <w:color w:val="auto"/>
              </w:rPr>
              <w:t>(7)</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(TWD Parent Holdings, LLC)</w:t>
            </w:r>
          </w:p>
        </w:tc>
        <w:tc>
          <w:tcPr>
            <w:tcW w:w="1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 08/30/2027</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398 Libbey Industrial Pkwy,</w:t>
            </w:r>
          </w:p>
        </w:tc>
        <w:tc>
          <w:tcPr>
            <w:tcW w:w="1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Preferred Equity</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Weymouth, MA 02189</w:t>
            </w:r>
          </w:p>
        </w:tc>
        <w:tc>
          <w:tcPr>
            <w:tcW w:w="1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30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TPC Canada Parent, Inc. and TPC US Parent, LLC</w:t>
            </w:r>
            <w:r>
              <w:rPr>
                <w:rFonts w:ascii="Times New Roman" w:cs="Times New Roman" w:eastAsia="Times New Roman" w:hAnsi="Times New Roman"/>
                <w:sz w:val="12"/>
                <w:szCs w:val="12"/>
                <w:color w:val="auto"/>
              </w:rPr>
              <w:t>(6)</w:t>
            </w:r>
          </w:p>
        </w:tc>
        <w:tc>
          <w:tcPr>
            <w:tcW w:w="1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Food</w:t>
            </w:r>
          </w:p>
        </w:tc>
        <w:tc>
          <w:tcPr>
            <w:tcW w:w="3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0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0.4%</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1,986</w:t>
            </w:r>
          </w:p>
        </w:tc>
        <w:tc>
          <w:tcPr>
            <w:tcW w:w="0" w:type="dxa"/>
            <w:vAlign w:val="bottom"/>
          </w:tcPr>
          <w:p>
            <w:pPr>
              <w:spacing w:after="0"/>
              <w:rPr>
                <w:sz w:val="1"/>
                <w:szCs w:val="1"/>
                <w:color w:val="auto"/>
              </w:rPr>
            </w:pPr>
          </w:p>
        </w:tc>
      </w:tr>
      <w:tr>
        <w:trPr>
          <w:trHeight w:val="149"/>
        </w:trPr>
        <w:tc>
          <w:tcPr>
            <w:tcW w:w="3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(TPC Holding Company, LP</w:t>
            </w:r>
            <w:r>
              <w:rPr>
                <w:rFonts w:ascii="Times New Roman" w:cs="Times New Roman" w:eastAsia="Times New Roman" w:hAnsi="Times New Roman"/>
                <w:sz w:val="12"/>
                <w:szCs w:val="12"/>
                <w:color w:val="auto"/>
              </w:rPr>
              <w:t>(6)</w:t>
            </w:r>
            <w:r>
              <w:rPr>
                <w:rFonts w:ascii="Times New Roman" w:cs="Times New Roman" w:eastAsia="Times New Roman" w:hAnsi="Times New Roman"/>
                <w:sz w:val="14"/>
                <w:szCs w:val="14"/>
                <w:color w:val="auto"/>
              </w:rPr>
              <w:t>)</w:t>
            </w: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L+525, 11/24/2025</w:t>
            </w: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151 Struthers Street</w:t>
            </w: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Preferred Equity</w:t>
            </w: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Warren, PA 16365</w:t>
            </w: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TVC Enterprises, LLC</w:t>
            </w:r>
          </w:p>
        </w:tc>
        <w:tc>
          <w:tcPr>
            <w:tcW w:w="184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Transportation</w:t>
            </w:r>
          </w:p>
        </w:tc>
        <w:tc>
          <w:tcPr>
            <w:tcW w:w="330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ind w:left="640"/>
              <w:spacing w:after="0" w:line="126" w:lineRule="exact"/>
              <w:rPr>
                <w:sz w:val="20"/>
                <w:szCs w:val="20"/>
                <w:color w:val="auto"/>
              </w:rPr>
            </w:pPr>
            <w:r>
              <w:rPr>
                <w:rFonts w:ascii="Times New Roman" w:cs="Times New Roman" w:eastAsia="Times New Roman" w:hAnsi="Times New Roman"/>
                <w:sz w:val="14"/>
                <w:szCs w:val="14"/>
                <w:color w:val="auto"/>
              </w:rPr>
              <w:t>1.5%</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18,752</w:t>
            </w:r>
          </w:p>
        </w:tc>
        <w:tc>
          <w:tcPr>
            <w:tcW w:w="0" w:type="dxa"/>
            <w:vAlign w:val="bottom"/>
          </w:tcPr>
          <w:p>
            <w:pPr>
              <w:spacing w:after="0"/>
              <w:rPr>
                <w:sz w:val="1"/>
                <w:szCs w:val="1"/>
                <w:color w:val="auto"/>
              </w:rPr>
            </w:pPr>
          </w:p>
        </w:tc>
      </w:tr>
      <w:tr>
        <w:trPr>
          <w:trHeight w:val="148"/>
        </w:trPr>
        <w:tc>
          <w:tcPr>
            <w:tcW w:w="3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(Gauge TVC Coinvest, LLC)</w:t>
            </w:r>
          </w:p>
        </w:tc>
        <w:tc>
          <w:tcPr>
            <w:tcW w:w="1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1M L+575, 03/26/2026</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6100 Lake Forrest Drive</w:t>
            </w:r>
          </w:p>
        </w:tc>
        <w:tc>
          <w:tcPr>
            <w:tcW w:w="1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Atlanta, GA 30328</w:t>
            </w:r>
          </w:p>
        </w:tc>
        <w:tc>
          <w:tcPr>
            <w:tcW w:w="1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TWS Acquisition Corporation</w:t>
            </w:r>
          </w:p>
        </w:tc>
        <w:tc>
          <w:tcPr>
            <w:tcW w:w="1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Education</w:t>
            </w:r>
          </w:p>
        </w:tc>
        <w:tc>
          <w:tcPr>
            <w:tcW w:w="3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3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4,137</w:t>
            </w:r>
          </w:p>
        </w:tc>
        <w:tc>
          <w:tcPr>
            <w:tcW w:w="0" w:type="dxa"/>
            <w:vAlign w:val="bottom"/>
          </w:tcPr>
          <w:p>
            <w:pPr>
              <w:spacing w:after="0"/>
              <w:rPr>
                <w:sz w:val="1"/>
                <w:szCs w:val="1"/>
                <w:color w:val="auto"/>
              </w:rPr>
            </w:pPr>
          </w:p>
        </w:tc>
      </w:tr>
      <w:tr>
        <w:trPr>
          <w:trHeight w:val="148"/>
        </w:trPr>
        <w:tc>
          <w:tcPr>
            <w:tcW w:w="3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120 N. 44th Street #230</w:t>
            </w: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1M L+625, 06/16/2025</w:t>
            </w: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Phoenix, AZ 85034</w:t>
            </w: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40"/>
          </w:cols>
          <w:pgMar w:left="320" w:top="455" w:right="4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3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Type of Investment,</w:t>
            </w:r>
          </w:p>
        </w:tc>
        <w:tc>
          <w:tcPr>
            <w:tcW w:w="1340" w:type="dxa"/>
            <w:vAlign w:val="bottom"/>
            <w:gridSpan w:val="2"/>
          </w:tcPr>
          <w:p>
            <w:pPr>
              <w:jc w:val="center"/>
              <w:ind w:right="458"/>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9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46"/>
        </w:trPr>
        <w:tc>
          <w:tcPr>
            <w:tcW w:w="3680" w:type="dxa"/>
            <w:vAlign w:val="bottom"/>
            <w:gridSpan w:val="2"/>
            <w:vMerge w:val="continue"/>
          </w:tcPr>
          <w:p>
            <w:pPr>
              <w:spacing w:after="0"/>
              <w:rPr>
                <w:sz w:val="12"/>
                <w:szCs w:val="12"/>
                <w:color w:val="auto"/>
              </w:rPr>
            </w:pPr>
          </w:p>
        </w:tc>
        <w:tc>
          <w:tcPr>
            <w:tcW w:w="1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Nature of Business</w:t>
            </w:r>
          </w:p>
        </w:tc>
        <w:tc>
          <w:tcPr>
            <w:tcW w:w="3360" w:type="dxa"/>
            <w:vAlign w:val="bottom"/>
            <w:gridSpan w:val="2"/>
            <w:vMerge w:val="continue"/>
          </w:tcPr>
          <w:p>
            <w:pPr>
              <w:spacing w:after="0"/>
              <w:rPr>
                <w:sz w:val="12"/>
                <w:szCs w:val="12"/>
                <w:color w:val="auto"/>
              </w:rPr>
            </w:pPr>
          </w:p>
        </w:tc>
        <w:tc>
          <w:tcPr>
            <w:tcW w:w="1340" w:type="dxa"/>
            <w:vAlign w:val="bottom"/>
            <w:gridSpan w:val="2"/>
          </w:tcPr>
          <w:p>
            <w:pPr>
              <w:jc w:val="center"/>
              <w:ind w:right="458"/>
              <w:spacing w:after="0" w:line="146"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Address of Portfolio Company</w:t>
            </w:r>
          </w:p>
        </w:tc>
        <w:tc>
          <w:tcPr>
            <w:tcW w:w="180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3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w:t>
            </w:r>
            <w:r>
              <w:rPr>
                <w:rFonts w:ascii="Times New Roman" w:cs="Times New Roman" w:eastAsia="Times New Roman" w:hAnsi="Times New Roman"/>
                <w:sz w:val="12"/>
                <w:szCs w:val="12"/>
                <w:b w:val="1"/>
                <w:bCs w:val="1"/>
                <w:color w:val="auto"/>
              </w:rPr>
              <w:t>(1)</w:t>
            </w:r>
            <w:r>
              <w:rPr>
                <w:rFonts w:ascii="Times New Roman" w:cs="Times New Roman" w:eastAsia="Times New Roman" w:hAnsi="Times New Roman"/>
                <w:sz w:val="14"/>
                <w:szCs w:val="14"/>
                <w:b w:val="1"/>
                <w:bCs w:val="1"/>
                <w:color w:val="auto"/>
              </w:rPr>
              <w:t>, Maturity</w:t>
            </w:r>
          </w:p>
        </w:tc>
        <w:tc>
          <w:tcPr>
            <w:tcW w:w="1340" w:type="dxa"/>
            <w:vAlign w:val="bottom"/>
            <w:gridSpan w:val="2"/>
          </w:tcPr>
          <w:p>
            <w:pPr>
              <w:jc w:val="center"/>
              <w:ind w:right="458"/>
              <w:spacing w:after="0"/>
              <w:rPr>
                <w:sz w:val="20"/>
                <w:szCs w:val="20"/>
                <w:color w:val="auto"/>
              </w:rPr>
            </w:pPr>
            <w:r>
              <w:rPr>
                <w:rFonts w:ascii="Times New Roman" w:cs="Times New Roman" w:eastAsia="Times New Roman" w:hAnsi="Times New Roman"/>
                <w:sz w:val="14"/>
                <w:szCs w:val="14"/>
                <w:b w:val="1"/>
                <w:bCs w:val="1"/>
                <w:color w:val="auto"/>
              </w:rPr>
              <w:t>Ownership</w:t>
            </w:r>
            <w:r>
              <w:rPr>
                <w:rFonts w:ascii="Times New Roman" w:cs="Times New Roman" w:eastAsia="Times New Roman" w:hAnsi="Times New Roman"/>
                <w:sz w:val="12"/>
                <w:szCs w:val="12"/>
                <w:b w:val="1"/>
                <w:bCs w:val="1"/>
                <w:color w:val="auto"/>
              </w:rPr>
              <w:t>(2)</w:t>
            </w: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08"/>
        </w:trPr>
        <w:tc>
          <w:tcPr>
            <w:tcW w:w="3680" w:type="dxa"/>
            <w:vAlign w:val="bottom"/>
            <w:tcBorders>
              <w:top w:val="single" w:sz="8" w:color="CCEEFF"/>
            </w:tcBorders>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Tyto Athene, LLC</w:t>
            </w:r>
          </w:p>
        </w:tc>
        <w:tc>
          <w:tcPr>
            <w:tcW w:w="1520" w:type="dxa"/>
            <w:vAlign w:val="bottom"/>
            <w:tcBorders>
              <w:top w:val="single" w:sz="8" w:color="auto"/>
            </w:tcBorders>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color w:val="auto"/>
              </w:rPr>
              <w:t>Aerospace and Defense</w:t>
            </w:r>
          </w:p>
        </w:tc>
        <w:tc>
          <w:tcPr>
            <w:tcW w:w="200" w:type="dxa"/>
            <w:vAlign w:val="bottom"/>
            <w:tcBorders>
              <w:top w:val="single" w:sz="8" w:color="CCEEFF"/>
            </w:tcBorders>
            <w:shd w:val="clear" w:color="auto" w:fill="CCEEFF"/>
          </w:tcPr>
          <w:p>
            <w:pPr>
              <w:spacing w:after="0"/>
              <w:rPr>
                <w:sz w:val="9"/>
                <w:szCs w:val="9"/>
                <w:color w:val="auto"/>
              </w:rPr>
            </w:pPr>
          </w:p>
        </w:tc>
        <w:tc>
          <w:tcPr>
            <w:tcW w:w="3160" w:type="dxa"/>
            <w:vAlign w:val="bottom"/>
            <w:tcBorders>
              <w:top w:val="single" w:sz="8" w:color="auto"/>
            </w:tcBorders>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color w:val="auto"/>
              </w:rPr>
              <w:t>First Lien Secured Debt,</w:t>
            </w:r>
          </w:p>
        </w:tc>
        <w:tc>
          <w:tcPr>
            <w:tcW w:w="20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0.2</w:t>
            </w:r>
          </w:p>
        </w:tc>
        <w:tc>
          <w:tcPr>
            <w:tcW w:w="520" w:type="dxa"/>
            <w:vAlign w:val="bottom"/>
            <w:tcBorders>
              <w:top w:val="single" w:sz="8" w:color="CCEEFF"/>
            </w:tcBorders>
            <w:shd w:val="clear" w:color="auto" w:fill="CCEEFF"/>
          </w:tcPr>
          <w:p>
            <w:pPr>
              <w:jc w:val="right"/>
              <w:ind w:right="338"/>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5,437</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(NXOF Holdings, Inc.)</w:t>
            </w:r>
          </w:p>
        </w:tc>
        <w:tc>
          <w:tcPr>
            <w:tcW w:w="1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360" w:type="dxa"/>
            <w:vAlign w:val="bottom"/>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3M L+550, 04/01/2026</w:t>
            </w: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510 Spring Street, Suite 200</w:t>
            </w:r>
          </w:p>
        </w:tc>
        <w:tc>
          <w:tcPr>
            <w:tcW w:w="1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360" w:type="dxa"/>
            <w:vAlign w:val="bottom"/>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Preferred Equity</w:t>
            </w: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Herndon, VA 20170</w:t>
            </w:r>
          </w:p>
        </w:tc>
        <w:tc>
          <w:tcPr>
            <w:tcW w:w="1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3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U.S. Well Services, Inc.</w:t>
            </w:r>
          </w:p>
        </w:tc>
        <w:tc>
          <w:tcPr>
            <w:tcW w:w="1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Oil and Gas</w:t>
            </w:r>
          </w:p>
        </w:tc>
        <w:tc>
          <w:tcPr>
            <w:tcW w:w="3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Common Equity</w:t>
            </w:r>
          </w:p>
        </w:tc>
        <w:tc>
          <w:tcPr>
            <w:tcW w:w="1340" w:type="dxa"/>
            <w:vAlign w:val="bottom"/>
            <w:gridSpan w:val="2"/>
          </w:tcPr>
          <w:p>
            <w:pPr>
              <w:jc w:val="right"/>
              <w:ind w:right="338"/>
              <w:spacing w:after="0"/>
              <w:rPr>
                <w:sz w:val="20"/>
                <w:szCs w:val="20"/>
                <w:color w:val="auto"/>
              </w:rPr>
            </w:pPr>
            <w:r>
              <w:rPr>
                <w:rFonts w:ascii="Times New Roman" w:cs="Times New Roman" w:eastAsia="Times New Roman" w:hAnsi="Times New Roman"/>
                <w:sz w:val="14"/>
                <w:szCs w:val="14"/>
                <w:color w:val="auto"/>
              </w:rPr>
              <w:t>4.0%</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414</w:t>
            </w: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770 South Post Oak Lane, Suite 405</w:t>
            </w:r>
          </w:p>
        </w:tc>
        <w:tc>
          <w:tcPr>
            <w:tcW w:w="1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Houston, TX 77056</w:t>
            </w:r>
          </w:p>
        </w:tc>
        <w:tc>
          <w:tcPr>
            <w:tcW w:w="1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UniVista Insurance </w:t>
            </w:r>
            <w:r>
              <w:rPr>
                <w:rFonts w:ascii="Times New Roman" w:cs="Times New Roman" w:eastAsia="Times New Roman" w:hAnsi="Times New Roman"/>
                <w:sz w:val="12"/>
                <w:szCs w:val="12"/>
                <w:color w:val="auto"/>
              </w:rPr>
              <w:t>(5)</w:t>
            </w:r>
          </w:p>
        </w:tc>
        <w:tc>
          <w:tcPr>
            <w:tcW w:w="1720" w:type="dxa"/>
            <w:vAlign w:val="bottom"/>
            <w:gridSpan w:val="2"/>
            <w:shd w:val="clear" w:color="auto" w:fill="CCEEFF"/>
          </w:tcPr>
          <w:p>
            <w:pPr>
              <w:jc w:val="center"/>
              <w:ind w:right="200"/>
              <w:spacing w:after="0" w:line="126" w:lineRule="exact"/>
              <w:rPr>
                <w:sz w:val="20"/>
                <w:szCs w:val="20"/>
                <w:color w:val="auto"/>
              </w:rPr>
            </w:pPr>
            <w:r>
              <w:rPr>
                <w:rFonts w:ascii="Times New Roman" w:cs="Times New Roman" w:eastAsia="Times New Roman" w:hAnsi="Times New Roman"/>
                <w:sz w:val="14"/>
                <w:szCs w:val="14"/>
                <w:color w:val="auto"/>
              </w:rPr>
              <w:t>Business Services</w:t>
            </w:r>
          </w:p>
        </w:tc>
        <w:tc>
          <w:tcPr>
            <w:tcW w:w="3360" w:type="dxa"/>
            <w:vAlign w:val="bottom"/>
            <w:gridSpan w:val="2"/>
            <w:shd w:val="clear" w:color="auto" w:fill="CCEEFF"/>
          </w:tcPr>
          <w:p>
            <w:pPr>
              <w:jc w:val="center"/>
              <w:ind w:right="200"/>
              <w:spacing w:after="0" w:line="126" w:lineRule="exact"/>
              <w:rPr>
                <w:sz w:val="20"/>
                <w:szCs w:val="20"/>
                <w:color w:val="auto"/>
              </w:rPr>
            </w:pPr>
            <w:r>
              <w:rPr>
                <w:rFonts w:ascii="Times New Roman" w:cs="Times New Roman" w:eastAsia="Times New Roman" w:hAnsi="Times New Roman"/>
                <w:sz w:val="14"/>
                <w:szCs w:val="14"/>
                <w:color w:val="auto"/>
              </w:rPr>
              <w:t>Common Equity</w:t>
            </w:r>
          </w:p>
        </w:tc>
        <w:tc>
          <w:tcPr>
            <w:tcW w:w="1340" w:type="dxa"/>
            <w:vAlign w:val="bottom"/>
            <w:gridSpan w:val="2"/>
            <w:shd w:val="clear" w:color="auto" w:fill="CCEEFF"/>
          </w:tcPr>
          <w:p>
            <w:pPr>
              <w:jc w:val="right"/>
              <w:ind w:right="338"/>
              <w:spacing w:after="0" w:line="126" w:lineRule="exact"/>
              <w:rPr>
                <w:sz w:val="20"/>
                <w:szCs w:val="20"/>
                <w:color w:val="auto"/>
              </w:rPr>
            </w:pPr>
            <w:r>
              <w:rPr>
                <w:rFonts w:ascii="Times New Roman" w:cs="Times New Roman" w:eastAsia="Times New Roman" w:hAnsi="Times New Roman"/>
                <w:sz w:val="14"/>
                <w:szCs w:val="14"/>
                <w:color w:val="auto"/>
              </w:rPr>
              <w:t>0.2%</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413</w:t>
            </w: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528 NW 7th Ave,</w:t>
            </w:r>
          </w:p>
        </w:tc>
        <w:tc>
          <w:tcPr>
            <w:tcW w:w="1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Miami, FL 33136</w:t>
            </w:r>
          </w:p>
        </w:tc>
        <w:tc>
          <w:tcPr>
            <w:tcW w:w="1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VT Topco, Inc.</w:t>
            </w:r>
          </w:p>
        </w:tc>
        <w:tc>
          <w:tcPr>
            <w:tcW w:w="1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Business Services</w:t>
            </w:r>
          </w:p>
        </w:tc>
        <w:tc>
          <w:tcPr>
            <w:tcW w:w="3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Second Lien Secured Debt,</w:t>
            </w:r>
          </w:p>
        </w:tc>
        <w:tc>
          <w:tcPr>
            <w:tcW w:w="1340" w:type="dxa"/>
            <w:vAlign w:val="bottom"/>
            <w:gridSpan w:val="2"/>
          </w:tcPr>
          <w:p>
            <w:pPr>
              <w:jc w:val="right"/>
              <w:ind w:right="338"/>
              <w:spacing w:after="0"/>
              <w:rPr>
                <w:sz w:val="20"/>
                <w:szCs w:val="20"/>
                <w:color w:val="auto"/>
              </w:rPr>
            </w:pPr>
            <w:r>
              <w:rPr>
                <w:rFonts w:ascii="Times New Roman" w:cs="Times New Roman" w:eastAsia="Times New Roman" w:hAnsi="Times New Roman"/>
                <w:sz w:val="14"/>
                <w:szCs w:val="14"/>
                <w:color w:val="auto"/>
              </w:rPr>
              <w:t>0.3%</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20,700</w:t>
            </w: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(Green Veracity Holdings, LP)</w:t>
            </w:r>
          </w:p>
        </w:tc>
        <w:tc>
          <w:tcPr>
            <w:tcW w:w="1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3M L+675, 08/17/2026</w:t>
            </w: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290 West Mount Pleasant Avenue, Suite 3200</w:t>
            </w:r>
          </w:p>
        </w:tc>
        <w:tc>
          <w:tcPr>
            <w:tcW w:w="1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Livingston, NJ 07039</w:t>
            </w:r>
          </w:p>
        </w:tc>
        <w:tc>
          <w:tcPr>
            <w:tcW w:w="1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Walker Edison Furniture Company LLC</w:t>
            </w:r>
          </w:p>
        </w:tc>
        <w:tc>
          <w:tcPr>
            <w:tcW w:w="1720" w:type="dxa"/>
            <w:vAlign w:val="bottom"/>
            <w:gridSpan w:val="2"/>
            <w:shd w:val="clear" w:color="auto" w:fill="CCEEFF"/>
          </w:tcPr>
          <w:p>
            <w:pPr>
              <w:jc w:val="center"/>
              <w:ind w:right="200"/>
              <w:spacing w:after="0" w:line="126" w:lineRule="exact"/>
              <w:rPr>
                <w:sz w:val="20"/>
                <w:szCs w:val="20"/>
                <w:color w:val="auto"/>
              </w:rPr>
            </w:pPr>
            <w:r>
              <w:rPr>
                <w:rFonts w:ascii="Times New Roman" w:cs="Times New Roman" w:eastAsia="Times New Roman" w:hAnsi="Times New Roman"/>
                <w:sz w:val="14"/>
                <w:szCs w:val="14"/>
                <w:color w:val="auto"/>
              </w:rPr>
              <w:t>Home and Office</w:t>
            </w:r>
          </w:p>
        </w:tc>
        <w:tc>
          <w:tcPr>
            <w:tcW w:w="3360" w:type="dxa"/>
            <w:vAlign w:val="bottom"/>
            <w:gridSpan w:val="2"/>
            <w:shd w:val="clear" w:color="auto" w:fill="CCEEFF"/>
          </w:tcPr>
          <w:p>
            <w:pPr>
              <w:jc w:val="center"/>
              <w:ind w:right="200"/>
              <w:spacing w:after="0" w:line="126" w:lineRule="exact"/>
              <w:rPr>
                <w:sz w:val="20"/>
                <w:szCs w:val="20"/>
                <w:color w:val="auto"/>
              </w:rPr>
            </w:pPr>
            <w:r>
              <w:rPr>
                <w:rFonts w:ascii="Times New Roman" w:cs="Times New Roman" w:eastAsia="Times New Roman" w:hAnsi="Times New Roman"/>
                <w:sz w:val="14"/>
                <w:szCs w:val="14"/>
                <w:color w:val="auto"/>
              </w:rPr>
              <w:t>First Lien Secured Debt,</w:t>
            </w:r>
          </w:p>
        </w:tc>
        <w:tc>
          <w:tcPr>
            <w:tcW w:w="1340" w:type="dxa"/>
            <w:vAlign w:val="bottom"/>
            <w:gridSpan w:val="2"/>
            <w:shd w:val="clear" w:color="auto" w:fill="CCEEFF"/>
          </w:tcPr>
          <w:p>
            <w:pPr>
              <w:jc w:val="right"/>
              <w:ind w:right="338"/>
              <w:spacing w:after="0" w:line="126" w:lineRule="exact"/>
              <w:rPr>
                <w:sz w:val="20"/>
                <w:szCs w:val="20"/>
                <w:color w:val="auto"/>
              </w:rPr>
            </w:pPr>
            <w:r>
              <w:rPr>
                <w:rFonts w:ascii="Times New Roman" w:cs="Times New Roman" w:eastAsia="Times New Roman" w:hAnsi="Times New Roman"/>
                <w:sz w:val="14"/>
                <w:szCs w:val="14"/>
                <w:color w:val="auto"/>
              </w:rPr>
              <w:t>1.3%</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28,265</w:t>
            </w: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xml:space="preserve">(JWC-WE Holdings, L.P. </w:t>
            </w:r>
            <w:r>
              <w:rPr>
                <w:rFonts w:ascii="Times New Roman" w:cs="Times New Roman" w:eastAsia="Times New Roman" w:hAnsi="Times New Roman"/>
                <w:sz w:val="12"/>
                <w:szCs w:val="12"/>
                <w:color w:val="auto"/>
              </w:rPr>
              <w:t>(5)</w:t>
            </w:r>
            <w:r>
              <w:rPr>
                <w:rFonts w:ascii="Times New Roman" w:cs="Times New Roman" w:eastAsia="Times New Roman" w:hAnsi="Times New Roman"/>
                <w:sz w:val="14"/>
                <w:szCs w:val="14"/>
                <w:color w:val="auto"/>
              </w:rPr>
              <w:t>)</w:t>
            </w:r>
          </w:p>
        </w:tc>
        <w:tc>
          <w:tcPr>
            <w:tcW w:w="1720" w:type="dxa"/>
            <w:vAlign w:val="bottom"/>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Furnishings</w:t>
            </w:r>
          </w:p>
        </w:tc>
        <w:tc>
          <w:tcPr>
            <w:tcW w:w="3360" w:type="dxa"/>
            <w:vAlign w:val="bottom"/>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3M L+875, 03/31/2027</w:t>
            </w: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4350 West 2100 South, Suite A</w:t>
            </w:r>
          </w:p>
        </w:tc>
        <w:tc>
          <w:tcPr>
            <w:tcW w:w="1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360" w:type="dxa"/>
            <w:vAlign w:val="bottom"/>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Salt Lake City, UT 84120</w:t>
            </w:r>
          </w:p>
        </w:tc>
        <w:tc>
          <w:tcPr>
            <w:tcW w:w="1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Wildcat Buyerco, Inc.</w:t>
            </w:r>
          </w:p>
        </w:tc>
        <w:tc>
          <w:tcPr>
            <w:tcW w:w="1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Electronics</w:t>
            </w:r>
          </w:p>
        </w:tc>
        <w:tc>
          <w:tcPr>
            <w:tcW w:w="3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40" w:type="dxa"/>
            <w:vAlign w:val="bottom"/>
            <w:gridSpan w:val="2"/>
          </w:tcPr>
          <w:p>
            <w:pPr>
              <w:jc w:val="right"/>
              <w:ind w:right="338"/>
              <w:spacing w:after="0"/>
              <w:rPr>
                <w:sz w:val="20"/>
                <w:szCs w:val="20"/>
                <w:color w:val="auto"/>
              </w:rPr>
            </w:pPr>
            <w:r>
              <w:rPr>
                <w:rFonts w:ascii="Times New Roman" w:cs="Times New Roman" w:eastAsia="Times New Roman" w:hAnsi="Times New Roman"/>
                <w:sz w:val="14"/>
                <w:szCs w:val="14"/>
                <w:color w:val="auto"/>
              </w:rPr>
              <w:t>0.1%</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4,633</w:t>
            </w: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(Wildcat Parent, LP)</w:t>
            </w:r>
          </w:p>
        </w:tc>
        <w:tc>
          <w:tcPr>
            <w:tcW w:w="1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3M L+575, 02/27/2026</w:t>
            </w: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9730 Northcross Center Court</w:t>
            </w:r>
          </w:p>
        </w:tc>
        <w:tc>
          <w:tcPr>
            <w:tcW w:w="1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Huntersville, NC 28078</w:t>
            </w:r>
          </w:p>
        </w:tc>
        <w:tc>
          <w:tcPr>
            <w:tcW w:w="1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Zips Car Wash, LLC</w:t>
            </w:r>
          </w:p>
        </w:tc>
        <w:tc>
          <w:tcPr>
            <w:tcW w:w="1720" w:type="dxa"/>
            <w:vAlign w:val="bottom"/>
            <w:gridSpan w:val="2"/>
            <w:shd w:val="clear" w:color="auto" w:fill="CCEEFF"/>
          </w:tcPr>
          <w:p>
            <w:pPr>
              <w:jc w:val="center"/>
              <w:ind w:right="180"/>
              <w:spacing w:after="0" w:line="126" w:lineRule="exact"/>
              <w:rPr>
                <w:sz w:val="20"/>
                <w:szCs w:val="20"/>
                <w:color w:val="auto"/>
              </w:rPr>
            </w:pPr>
            <w:r>
              <w:rPr>
                <w:rFonts w:ascii="Times New Roman" w:cs="Times New Roman" w:eastAsia="Times New Roman" w:hAnsi="Times New Roman"/>
                <w:sz w:val="14"/>
                <w:szCs w:val="14"/>
                <w:color w:val="auto"/>
              </w:rPr>
              <w:t>Auto Sector</w:t>
            </w:r>
          </w:p>
        </w:tc>
        <w:tc>
          <w:tcPr>
            <w:tcW w:w="3360" w:type="dxa"/>
            <w:vAlign w:val="bottom"/>
            <w:gridSpan w:val="2"/>
            <w:shd w:val="clear" w:color="auto" w:fill="CCEEFF"/>
          </w:tcPr>
          <w:p>
            <w:pPr>
              <w:jc w:val="center"/>
              <w:ind w:right="20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2"/>
                <w:szCs w:val="12"/>
                <w:color w:val="auto"/>
              </w:rPr>
              <w:t>(4)</w:t>
            </w: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538"/>
              <w:spacing w:after="0" w:line="12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22,955</w:t>
            </w: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1809 East Parker Road</w:t>
            </w:r>
          </w:p>
        </w:tc>
        <w:tc>
          <w:tcPr>
            <w:tcW w:w="1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360" w:type="dxa"/>
            <w:vAlign w:val="bottom"/>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3M L+675, 03/01/2024</w:t>
            </w: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Jonesboro, AR 72404</w:t>
            </w:r>
          </w:p>
        </w:tc>
        <w:tc>
          <w:tcPr>
            <w:tcW w:w="1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Companies 5% to 24% Owned</w:t>
            </w:r>
          </w:p>
        </w:tc>
        <w:tc>
          <w:tcPr>
            <w:tcW w:w="1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36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ETX Energy, LLC</w:t>
            </w:r>
            <w:r>
              <w:rPr>
                <w:rFonts w:ascii="Times New Roman" w:cs="Times New Roman" w:eastAsia="Times New Roman" w:hAnsi="Times New Roman"/>
                <w:sz w:val="12"/>
                <w:szCs w:val="12"/>
                <w:color w:val="auto"/>
              </w:rPr>
              <w:t>(5)</w:t>
            </w:r>
          </w:p>
        </w:tc>
        <w:tc>
          <w:tcPr>
            <w:tcW w:w="1720" w:type="dxa"/>
            <w:vAlign w:val="bottom"/>
            <w:gridSpan w:val="2"/>
            <w:shd w:val="clear" w:color="auto" w:fill="CCEEFF"/>
          </w:tcPr>
          <w:p>
            <w:pPr>
              <w:jc w:val="center"/>
              <w:ind w:right="200"/>
              <w:spacing w:after="0" w:line="126" w:lineRule="exact"/>
              <w:rPr>
                <w:sz w:val="20"/>
                <w:szCs w:val="20"/>
                <w:color w:val="auto"/>
              </w:rPr>
            </w:pPr>
            <w:r>
              <w:rPr>
                <w:rFonts w:ascii="Times New Roman" w:cs="Times New Roman" w:eastAsia="Times New Roman" w:hAnsi="Times New Roman"/>
                <w:sz w:val="14"/>
                <w:szCs w:val="14"/>
                <w:color w:val="auto"/>
              </w:rPr>
              <w:t>Oil and Gas</w:t>
            </w:r>
          </w:p>
        </w:tc>
        <w:tc>
          <w:tcPr>
            <w:tcW w:w="3360" w:type="dxa"/>
            <w:vAlign w:val="bottom"/>
            <w:gridSpan w:val="2"/>
            <w:shd w:val="clear" w:color="auto" w:fill="CCEEFF"/>
          </w:tcPr>
          <w:p>
            <w:pPr>
              <w:jc w:val="center"/>
              <w:ind w:right="200"/>
              <w:spacing w:after="0" w:line="126" w:lineRule="exact"/>
              <w:rPr>
                <w:sz w:val="20"/>
                <w:szCs w:val="20"/>
                <w:color w:val="auto"/>
              </w:rPr>
            </w:pPr>
            <w:r>
              <w:rPr>
                <w:rFonts w:ascii="Times New Roman" w:cs="Times New Roman" w:eastAsia="Times New Roman" w:hAnsi="Times New Roman"/>
                <w:sz w:val="14"/>
                <w:szCs w:val="14"/>
                <w:color w:val="auto"/>
              </w:rPr>
              <w:t>Preferred Equity</w:t>
            </w:r>
          </w:p>
        </w:tc>
        <w:tc>
          <w:tcPr>
            <w:tcW w:w="1340" w:type="dxa"/>
            <w:vAlign w:val="bottom"/>
            <w:gridSpan w:val="2"/>
            <w:shd w:val="clear" w:color="auto" w:fill="CCEEFF"/>
          </w:tcPr>
          <w:p>
            <w:pPr>
              <w:jc w:val="right"/>
              <w:ind w:right="198"/>
              <w:spacing w:after="0" w:line="126" w:lineRule="exact"/>
              <w:rPr>
                <w:sz w:val="20"/>
                <w:szCs w:val="20"/>
                <w:color w:val="auto"/>
              </w:rPr>
            </w:pPr>
            <w:r>
              <w:rPr>
                <w:rFonts w:ascii="Times New Roman" w:cs="Times New Roman" w:eastAsia="Times New Roman" w:hAnsi="Times New Roman"/>
                <w:sz w:val="14"/>
                <w:szCs w:val="14"/>
                <w:color w:val="auto"/>
              </w:rPr>
              <w:t>14.4%</w:t>
            </w:r>
            <w:r>
              <w:rPr>
                <w:rFonts w:ascii="Times New Roman" w:cs="Times New Roman" w:eastAsia="Times New Roman" w:hAnsi="Times New Roman"/>
                <w:sz w:val="12"/>
                <w:szCs w:val="12"/>
                <w:color w:val="auto"/>
              </w:rPr>
              <w:t>(3)</w:t>
            </w:r>
          </w:p>
        </w:tc>
        <w:tc>
          <w:tcPr>
            <w:tcW w:w="920" w:type="dxa"/>
            <w:vAlign w:val="bottom"/>
            <w:gridSpan w:val="2"/>
            <w:shd w:val="clear" w:color="auto" w:fill="CCEEFF"/>
          </w:tcPr>
          <w:p>
            <w:pPr>
              <w:ind w:left="6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10441 S. Regal Blvd. Ste. 210</w:t>
            </w:r>
          </w:p>
        </w:tc>
        <w:tc>
          <w:tcPr>
            <w:tcW w:w="1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Tulsa, OK 74133</w:t>
            </w:r>
          </w:p>
        </w:tc>
        <w:tc>
          <w:tcPr>
            <w:tcW w:w="1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Companies 25% or More Owned</w:t>
            </w:r>
          </w:p>
        </w:tc>
        <w:tc>
          <w:tcPr>
            <w:tcW w:w="1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36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AKW Holdings Limited</w:t>
            </w:r>
            <w:r>
              <w:rPr>
                <w:rFonts w:ascii="Times New Roman" w:cs="Times New Roman" w:eastAsia="Times New Roman" w:hAnsi="Times New Roman"/>
                <w:sz w:val="12"/>
                <w:szCs w:val="12"/>
                <w:color w:val="auto"/>
              </w:rPr>
              <w:t>(6)</w:t>
            </w:r>
          </w:p>
        </w:tc>
        <w:tc>
          <w:tcPr>
            <w:tcW w:w="1720" w:type="dxa"/>
            <w:vAlign w:val="bottom"/>
            <w:gridSpan w:val="2"/>
            <w:shd w:val="clear" w:color="auto" w:fill="CCEEFF"/>
          </w:tcPr>
          <w:p>
            <w:pPr>
              <w:jc w:val="center"/>
              <w:ind w:right="200"/>
              <w:spacing w:after="0" w:line="126" w:lineRule="exact"/>
              <w:rPr>
                <w:sz w:val="20"/>
                <w:szCs w:val="20"/>
                <w:color w:val="auto"/>
              </w:rPr>
            </w:pPr>
            <w:r>
              <w:rPr>
                <w:rFonts w:ascii="Times New Roman" w:cs="Times New Roman" w:eastAsia="Times New Roman" w:hAnsi="Times New Roman"/>
                <w:sz w:val="14"/>
                <w:szCs w:val="14"/>
                <w:color w:val="auto"/>
              </w:rPr>
              <w:t>Healthcare, Education and</w:t>
            </w:r>
          </w:p>
        </w:tc>
        <w:tc>
          <w:tcPr>
            <w:tcW w:w="3360" w:type="dxa"/>
            <w:vAlign w:val="bottom"/>
            <w:gridSpan w:val="2"/>
            <w:shd w:val="clear" w:color="auto" w:fill="CCEEFF"/>
          </w:tcPr>
          <w:p>
            <w:pPr>
              <w:jc w:val="center"/>
              <w:ind w:right="200"/>
              <w:spacing w:after="0" w:line="126" w:lineRule="exact"/>
              <w:rPr>
                <w:sz w:val="20"/>
                <w:szCs w:val="20"/>
                <w:color w:val="auto"/>
              </w:rPr>
            </w:pPr>
            <w:r>
              <w:rPr>
                <w:rFonts w:ascii="Times New Roman" w:cs="Times New Roman" w:eastAsia="Times New Roman" w:hAnsi="Times New Roman"/>
                <w:sz w:val="14"/>
                <w:szCs w:val="14"/>
                <w:color w:val="auto"/>
              </w:rPr>
              <w:t>First Lien Secured Debt,</w:t>
            </w:r>
          </w:p>
        </w:tc>
        <w:tc>
          <w:tcPr>
            <w:tcW w:w="1340" w:type="dxa"/>
            <w:vAlign w:val="bottom"/>
            <w:gridSpan w:val="2"/>
            <w:shd w:val="clear" w:color="auto" w:fill="CCEEFF"/>
          </w:tcPr>
          <w:p>
            <w:pPr>
              <w:jc w:val="right"/>
              <w:ind w:right="198"/>
              <w:spacing w:after="0" w:line="126" w:lineRule="exact"/>
              <w:rPr>
                <w:sz w:val="20"/>
                <w:szCs w:val="20"/>
                <w:color w:val="auto"/>
              </w:rPr>
            </w:pPr>
            <w:r>
              <w:rPr>
                <w:rFonts w:ascii="Times New Roman" w:cs="Times New Roman" w:eastAsia="Times New Roman" w:hAnsi="Times New Roman"/>
                <w:sz w:val="14"/>
                <w:szCs w:val="14"/>
                <w:color w:val="auto"/>
              </w:rPr>
              <w:t>81.8%</w:t>
            </w:r>
            <w:r>
              <w:rPr>
                <w:rFonts w:ascii="Times New Roman" w:cs="Times New Roman" w:eastAsia="Times New Roman" w:hAnsi="Times New Roman"/>
                <w:sz w:val="12"/>
                <w:szCs w:val="12"/>
                <w:color w:val="auto"/>
              </w:rPr>
              <w:t>(3)</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44,697</w:t>
            </w: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Unit L, Snugborough Trading Estate</w:t>
            </w:r>
          </w:p>
        </w:tc>
        <w:tc>
          <w:tcPr>
            <w:tcW w:w="1720" w:type="dxa"/>
            <w:vAlign w:val="bottom"/>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Childcare</w:t>
            </w:r>
          </w:p>
        </w:tc>
        <w:tc>
          <w:tcPr>
            <w:tcW w:w="3360" w:type="dxa"/>
            <w:vAlign w:val="bottom"/>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3M L+700, 03/13/2024</w:t>
            </w: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Braddan, Isle of Man IM4 4LH</w:t>
            </w:r>
          </w:p>
        </w:tc>
        <w:tc>
          <w:tcPr>
            <w:tcW w:w="1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3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MailSouth, Inc.</w:t>
            </w:r>
          </w:p>
        </w:tc>
        <w:tc>
          <w:tcPr>
            <w:tcW w:w="1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Printing and Publishing</w:t>
            </w:r>
          </w:p>
        </w:tc>
        <w:tc>
          <w:tcPr>
            <w:tcW w:w="3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Second Lien Secured Debt,</w:t>
            </w:r>
          </w:p>
        </w:tc>
        <w:tc>
          <w:tcPr>
            <w:tcW w:w="1340" w:type="dxa"/>
            <w:vAlign w:val="bottom"/>
            <w:gridSpan w:val="2"/>
          </w:tcPr>
          <w:p>
            <w:pPr>
              <w:jc w:val="right"/>
              <w:ind w:right="198"/>
              <w:spacing w:after="0"/>
              <w:rPr>
                <w:sz w:val="20"/>
                <w:szCs w:val="20"/>
                <w:color w:val="auto"/>
              </w:rPr>
            </w:pPr>
            <w:r>
              <w:rPr>
                <w:rFonts w:ascii="Times New Roman" w:cs="Times New Roman" w:eastAsia="Times New Roman" w:hAnsi="Times New Roman"/>
                <w:sz w:val="14"/>
                <w:szCs w:val="14"/>
                <w:color w:val="auto"/>
              </w:rPr>
              <w:t>51.1%</w:t>
            </w:r>
            <w:r>
              <w:rPr>
                <w:rFonts w:ascii="Times New Roman" w:cs="Times New Roman" w:eastAsia="Times New Roman" w:hAnsi="Times New Roman"/>
                <w:sz w:val="12"/>
                <w:szCs w:val="12"/>
                <w:color w:val="auto"/>
              </w:rPr>
              <w:t>(3)</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11,506</w:t>
            </w:r>
          </w:p>
        </w:tc>
        <w:tc>
          <w:tcPr>
            <w:tcW w:w="0" w:type="dxa"/>
            <w:vAlign w:val="bottom"/>
          </w:tcPr>
          <w:p>
            <w:pPr>
              <w:spacing w:after="0"/>
              <w:rPr>
                <w:sz w:val="1"/>
                <w:szCs w:val="1"/>
                <w:color w:val="auto"/>
              </w:rPr>
            </w:pPr>
          </w:p>
        </w:tc>
      </w:tr>
      <w:tr>
        <w:trPr>
          <w:trHeight w:val="149"/>
        </w:trPr>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(MSpark, LLC)</w:t>
            </w:r>
          </w:p>
        </w:tc>
        <w:tc>
          <w:tcPr>
            <w:tcW w:w="1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15.0% fixed (PIK 15.0%), 04/23/2025</w:t>
            </w: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5901 Highway 52 East</w:t>
            </w:r>
          </w:p>
        </w:tc>
        <w:tc>
          <w:tcPr>
            <w:tcW w:w="1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Helena, AL 35080</w:t>
            </w:r>
          </w:p>
        </w:tc>
        <w:tc>
          <w:tcPr>
            <w:tcW w:w="1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MidOcean JF Holdings Corp.</w:t>
            </w:r>
          </w:p>
        </w:tc>
        <w:tc>
          <w:tcPr>
            <w:tcW w:w="1720" w:type="dxa"/>
            <w:vAlign w:val="bottom"/>
            <w:gridSpan w:val="2"/>
            <w:shd w:val="clear" w:color="auto" w:fill="CCEEFF"/>
          </w:tcPr>
          <w:p>
            <w:pPr>
              <w:jc w:val="center"/>
              <w:ind w:right="180"/>
              <w:spacing w:after="0" w:line="126" w:lineRule="exact"/>
              <w:rPr>
                <w:sz w:val="20"/>
                <w:szCs w:val="20"/>
                <w:color w:val="auto"/>
              </w:rPr>
            </w:pPr>
            <w:r>
              <w:rPr>
                <w:rFonts w:ascii="Times New Roman" w:cs="Times New Roman" w:eastAsia="Times New Roman" w:hAnsi="Times New Roman"/>
                <w:sz w:val="14"/>
                <w:szCs w:val="14"/>
                <w:color w:val="auto"/>
              </w:rPr>
              <w:t>Distribution</w:t>
            </w:r>
          </w:p>
        </w:tc>
        <w:tc>
          <w:tcPr>
            <w:tcW w:w="3360" w:type="dxa"/>
            <w:vAlign w:val="bottom"/>
            <w:gridSpan w:val="2"/>
            <w:shd w:val="clear" w:color="auto" w:fill="CCEEFF"/>
          </w:tcPr>
          <w:p>
            <w:pPr>
              <w:jc w:val="center"/>
              <w:ind w:right="200"/>
              <w:spacing w:after="0" w:line="126" w:lineRule="exact"/>
              <w:rPr>
                <w:sz w:val="20"/>
                <w:szCs w:val="20"/>
                <w:color w:val="auto"/>
              </w:rPr>
            </w:pPr>
            <w:r>
              <w:rPr>
                <w:rFonts w:ascii="Times New Roman" w:cs="Times New Roman" w:eastAsia="Times New Roman" w:hAnsi="Times New Roman"/>
                <w:sz w:val="14"/>
                <w:szCs w:val="14"/>
                <w:color w:val="auto"/>
              </w:rPr>
              <w:t>Preferred Equity</w:t>
            </w:r>
          </w:p>
        </w:tc>
        <w:tc>
          <w:tcPr>
            <w:tcW w:w="1340" w:type="dxa"/>
            <w:vAlign w:val="bottom"/>
            <w:gridSpan w:val="2"/>
            <w:shd w:val="clear" w:color="auto" w:fill="CCEEFF"/>
          </w:tcPr>
          <w:p>
            <w:pPr>
              <w:jc w:val="right"/>
              <w:ind w:right="198"/>
              <w:spacing w:after="0" w:line="126" w:lineRule="exact"/>
              <w:rPr>
                <w:sz w:val="20"/>
                <w:szCs w:val="20"/>
                <w:color w:val="auto"/>
              </w:rPr>
            </w:pPr>
            <w:r>
              <w:rPr>
                <w:rFonts w:ascii="Times New Roman" w:cs="Times New Roman" w:eastAsia="Times New Roman" w:hAnsi="Times New Roman"/>
                <w:sz w:val="14"/>
                <w:szCs w:val="14"/>
                <w:color w:val="auto"/>
              </w:rPr>
              <w:t>35.8%</w:t>
            </w:r>
            <w:r>
              <w:rPr>
                <w:rFonts w:ascii="Times New Roman" w:cs="Times New Roman" w:eastAsia="Times New Roman" w:hAnsi="Times New Roman"/>
                <w:sz w:val="12"/>
                <w:szCs w:val="12"/>
                <w:color w:val="auto"/>
              </w:rPr>
              <w:t>(3)</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51,122</w:t>
            </w:r>
          </w:p>
        </w:tc>
        <w:tc>
          <w:tcPr>
            <w:tcW w:w="0" w:type="dxa"/>
            <w:vAlign w:val="bottom"/>
          </w:tcPr>
          <w:p>
            <w:pPr>
              <w:spacing w:after="0"/>
              <w:rPr>
                <w:sz w:val="1"/>
                <w:szCs w:val="1"/>
                <w:color w:val="auto"/>
              </w:rPr>
            </w:pPr>
          </w:p>
        </w:tc>
      </w:tr>
      <w:tr>
        <w:trPr>
          <w:trHeight w:val="149"/>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1330 St. Mary’s Street, Ste. 210</w:t>
            </w:r>
          </w:p>
        </w:tc>
        <w:tc>
          <w:tcPr>
            <w:tcW w:w="1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360" w:type="dxa"/>
            <w:vAlign w:val="bottom"/>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Raleigh, NC 27605</w:t>
            </w:r>
          </w:p>
        </w:tc>
        <w:tc>
          <w:tcPr>
            <w:tcW w:w="1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PennantPark Senior Loan Fund, LLC</w:t>
            </w:r>
            <w:r>
              <w:rPr>
                <w:rFonts w:ascii="Times New Roman" w:cs="Times New Roman" w:eastAsia="Times New Roman" w:hAnsi="Times New Roman"/>
                <w:sz w:val="12"/>
                <w:szCs w:val="12"/>
                <w:color w:val="auto"/>
              </w:rPr>
              <w:t>(6)</w:t>
            </w: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Financial Services</w:t>
            </w:r>
          </w:p>
        </w:tc>
        <w:tc>
          <w:tcPr>
            <w:tcW w:w="3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Subordinated Debt,</w:t>
            </w:r>
          </w:p>
        </w:tc>
        <w:tc>
          <w:tcPr>
            <w:tcW w:w="1340" w:type="dxa"/>
            <w:vAlign w:val="bottom"/>
            <w:gridSpan w:val="2"/>
          </w:tcPr>
          <w:p>
            <w:pPr>
              <w:jc w:val="right"/>
              <w:ind w:right="198"/>
              <w:spacing w:after="0"/>
              <w:rPr>
                <w:sz w:val="20"/>
                <w:szCs w:val="20"/>
                <w:color w:val="auto"/>
              </w:rPr>
            </w:pPr>
            <w:r>
              <w:rPr>
                <w:rFonts w:ascii="Times New Roman" w:cs="Times New Roman" w:eastAsia="Times New Roman" w:hAnsi="Times New Roman"/>
                <w:sz w:val="14"/>
                <w:szCs w:val="14"/>
                <w:color w:val="auto"/>
              </w:rPr>
              <w:t>50.0%</w:t>
            </w:r>
            <w:r>
              <w:rPr>
                <w:rFonts w:ascii="Times New Roman" w:cs="Times New Roman" w:eastAsia="Times New Roman" w:hAnsi="Times New Roman"/>
                <w:sz w:val="12"/>
                <w:szCs w:val="12"/>
                <w:color w:val="auto"/>
              </w:rPr>
              <w:t>(3)</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105,754</w:t>
            </w: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1691 Michigan Avenue, Miami Beach, FL 33139</w:t>
            </w:r>
          </w:p>
        </w:tc>
        <w:tc>
          <w:tcPr>
            <w:tcW w:w="1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3M L+800, 07/31/2027</w:t>
            </w: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188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36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PT Network Intermediate Holdings, LLC</w:t>
            </w:r>
            <w:r>
              <w:rPr>
                <w:rFonts w:ascii="Times New Roman" w:cs="Times New Roman" w:eastAsia="Times New Roman" w:hAnsi="Times New Roman"/>
                <w:sz w:val="12"/>
                <w:szCs w:val="12"/>
                <w:color w:val="auto"/>
              </w:rPr>
              <w:t>(5)</w:t>
            </w:r>
          </w:p>
        </w:tc>
        <w:tc>
          <w:tcPr>
            <w:tcW w:w="1720" w:type="dxa"/>
            <w:vAlign w:val="bottom"/>
            <w:gridSpan w:val="2"/>
            <w:shd w:val="clear" w:color="auto" w:fill="CCEEFF"/>
          </w:tcPr>
          <w:p>
            <w:pPr>
              <w:jc w:val="center"/>
              <w:ind w:right="200"/>
              <w:spacing w:after="0" w:line="126" w:lineRule="exact"/>
              <w:rPr>
                <w:sz w:val="20"/>
                <w:szCs w:val="20"/>
                <w:color w:val="auto"/>
              </w:rPr>
            </w:pPr>
            <w:r>
              <w:rPr>
                <w:rFonts w:ascii="Times New Roman" w:cs="Times New Roman" w:eastAsia="Times New Roman" w:hAnsi="Times New Roman"/>
                <w:sz w:val="14"/>
                <w:szCs w:val="14"/>
                <w:color w:val="auto"/>
              </w:rPr>
              <w:t>Healthcare, Education and</w:t>
            </w:r>
          </w:p>
        </w:tc>
        <w:tc>
          <w:tcPr>
            <w:tcW w:w="3360" w:type="dxa"/>
            <w:vAlign w:val="bottom"/>
            <w:gridSpan w:val="2"/>
            <w:shd w:val="clear" w:color="auto" w:fill="CCEEFF"/>
          </w:tcPr>
          <w:p>
            <w:pPr>
              <w:jc w:val="center"/>
              <w:ind w:right="200"/>
              <w:spacing w:after="0" w:line="126" w:lineRule="exact"/>
              <w:rPr>
                <w:sz w:val="20"/>
                <w:szCs w:val="20"/>
                <w:color w:val="auto"/>
              </w:rPr>
            </w:pPr>
            <w:r>
              <w:rPr>
                <w:rFonts w:ascii="Times New Roman" w:cs="Times New Roman" w:eastAsia="Times New Roman" w:hAnsi="Times New Roman"/>
                <w:sz w:val="14"/>
                <w:szCs w:val="14"/>
                <w:color w:val="auto"/>
              </w:rPr>
              <w:t>Second Lien Secured Debt,</w:t>
            </w:r>
          </w:p>
        </w:tc>
        <w:tc>
          <w:tcPr>
            <w:tcW w:w="1340" w:type="dxa"/>
            <w:vAlign w:val="bottom"/>
            <w:gridSpan w:val="2"/>
            <w:shd w:val="clear" w:color="auto" w:fill="CCEEFF"/>
          </w:tcPr>
          <w:p>
            <w:pPr>
              <w:jc w:val="right"/>
              <w:ind w:right="198"/>
              <w:spacing w:after="0" w:line="126" w:lineRule="exact"/>
              <w:rPr>
                <w:sz w:val="20"/>
                <w:szCs w:val="20"/>
                <w:color w:val="auto"/>
              </w:rPr>
            </w:pPr>
            <w:r>
              <w:rPr>
                <w:rFonts w:ascii="Times New Roman" w:cs="Times New Roman" w:eastAsia="Times New Roman" w:hAnsi="Times New Roman"/>
                <w:sz w:val="14"/>
                <w:szCs w:val="14"/>
                <w:color w:val="auto"/>
              </w:rPr>
              <w:t>62.1%</w:t>
            </w:r>
            <w:r>
              <w:rPr>
                <w:rFonts w:ascii="Times New Roman" w:cs="Times New Roman" w:eastAsia="Times New Roman" w:hAnsi="Times New Roman"/>
                <w:sz w:val="12"/>
                <w:szCs w:val="12"/>
                <w:color w:val="auto"/>
              </w:rPr>
              <w:t>(3)</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224,025</w:t>
            </w:r>
          </w:p>
        </w:tc>
        <w:tc>
          <w:tcPr>
            <w:tcW w:w="0" w:type="dxa"/>
            <w:vAlign w:val="bottom"/>
          </w:tcPr>
          <w:p>
            <w:pPr>
              <w:spacing w:after="0"/>
              <w:rPr>
                <w:sz w:val="1"/>
                <w:szCs w:val="1"/>
                <w:color w:val="auto"/>
              </w:rPr>
            </w:pPr>
          </w:p>
        </w:tc>
      </w:tr>
      <w:tr>
        <w:trPr>
          <w:trHeight w:val="149"/>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(CI (PTN) Investment Holdings II, LLC</w:t>
            </w:r>
            <w:r>
              <w:rPr>
                <w:rFonts w:ascii="Times New Roman" w:cs="Times New Roman" w:eastAsia="Times New Roman" w:hAnsi="Times New Roman"/>
                <w:sz w:val="12"/>
                <w:szCs w:val="12"/>
                <w:color w:val="auto"/>
              </w:rPr>
              <w:t>(5)</w:t>
            </w:r>
            <w:r>
              <w:rPr>
                <w:rFonts w:ascii="Times New Roman" w:cs="Times New Roman" w:eastAsia="Times New Roman" w:hAnsi="Times New Roman"/>
                <w:sz w:val="14"/>
                <w:szCs w:val="14"/>
                <w:color w:val="auto"/>
              </w:rPr>
              <w:t>)</w:t>
            </w:r>
          </w:p>
        </w:tc>
        <w:tc>
          <w:tcPr>
            <w:tcW w:w="1720" w:type="dxa"/>
            <w:vAlign w:val="bottom"/>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Childcare</w:t>
            </w:r>
          </w:p>
        </w:tc>
        <w:tc>
          <w:tcPr>
            <w:tcW w:w="3360" w:type="dxa"/>
            <w:vAlign w:val="bottom"/>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3M L+1,000 PIK, 11/30/2024</w:t>
            </w: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501 Fairmount Avenue</w:t>
            </w:r>
          </w:p>
        </w:tc>
        <w:tc>
          <w:tcPr>
            <w:tcW w:w="1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360" w:type="dxa"/>
            <w:vAlign w:val="bottom"/>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Preferred Equity</w:t>
            </w: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Towson, MD 21286</w:t>
            </w:r>
          </w:p>
        </w:tc>
        <w:tc>
          <w:tcPr>
            <w:tcW w:w="1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3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40"/>
          </w:cols>
          <w:pgMar w:left="320" w:top="455" w:right="4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Type of Investment,</w:t>
            </w:r>
          </w:p>
        </w:tc>
        <w:tc>
          <w:tcPr>
            <w:tcW w:w="1340" w:type="dxa"/>
            <w:vAlign w:val="bottom"/>
            <w:gridSpan w:val="2"/>
          </w:tcPr>
          <w:p>
            <w:pPr>
              <w:jc w:val="center"/>
              <w:ind w:right="458"/>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92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46"/>
        </w:trPr>
        <w:tc>
          <w:tcPr>
            <w:tcW w:w="3800" w:type="dxa"/>
            <w:vAlign w:val="bottom"/>
            <w:gridSpan w:val="2"/>
            <w:vMerge w:val="continue"/>
          </w:tcPr>
          <w:p>
            <w:pPr>
              <w:spacing w:after="0"/>
              <w:rPr>
                <w:sz w:val="12"/>
                <w:szCs w:val="12"/>
                <w:color w:val="auto"/>
              </w:rPr>
            </w:pPr>
          </w:p>
        </w:tc>
        <w:tc>
          <w:tcPr>
            <w:tcW w:w="16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Nature of Business</w:t>
            </w:r>
          </w:p>
        </w:tc>
        <w:tc>
          <w:tcPr>
            <w:tcW w:w="3280" w:type="dxa"/>
            <w:vAlign w:val="bottom"/>
            <w:gridSpan w:val="2"/>
            <w:vMerge w:val="continue"/>
          </w:tcPr>
          <w:p>
            <w:pPr>
              <w:spacing w:after="0"/>
              <w:rPr>
                <w:sz w:val="12"/>
                <w:szCs w:val="12"/>
                <w:color w:val="auto"/>
              </w:rPr>
            </w:pPr>
          </w:p>
        </w:tc>
        <w:tc>
          <w:tcPr>
            <w:tcW w:w="1340" w:type="dxa"/>
            <w:vAlign w:val="bottom"/>
            <w:gridSpan w:val="2"/>
          </w:tcPr>
          <w:p>
            <w:pPr>
              <w:jc w:val="center"/>
              <w:ind w:right="458"/>
              <w:spacing w:after="0" w:line="146"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Address of Portfolio Company</w:t>
            </w:r>
          </w:p>
        </w:tc>
        <w:tc>
          <w:tcPr>
            <w:tcW w:w="192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3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w:t>
            </w:r>
            <w:r>
              <w:rPr>
                <w:rFonts w:ascii="Times New Roman" w:cs="Times New Roman" w:eastAsia="Times New Roman" w:hAnsi="Times New Roman"/>
                <w:sz w:val="12"/>
                <w:szCs w:val="12"/>
                <w:b w:val="1"/>
                <w:bCs w:val="1"/>
                <w:color w:val="auto"/>
              </w:rPr>
              <w:t>(1)</w:t>
            </w:r>
            <w:r>
              <w:rPr>
                <w:rFonts w:ascii="Times New Roman" w:cs="Times New Roman" w:eastAsia="Times New Roman" w:hAnsi="Times New Roman"/>
                <w:sz w:val="14"/>
                <w:szCs w:val="14"/>
                <w:b w:val="1"/>
                <w:bCs w:val="1"/>
                <w:color w:val="auto"/>
              </w:rPr>
              <w:t>, Maturity</w:t>
            </w:r>
          </w:p>
        </w:tc>
        <w:tc>
          <w:tcPr>
            <w:tcW w:w="1340" w:type="dxa"/>
            <w:vAlign w:val="bottom"/>
            <w:gridSpan w:val="2"/>
          </w:tcPr>
          <w:p>
            <w:pPr>
              <w:jc w:val="center"/>
              <w:ind w:right="458"/>
              <w:spacing w:after="0"/>
              <w:rPr>
                <w:sz w:val="20"/>
                <w:szCs w:val="20"/>
                <w:color w:val="auto"/>
              </w:rPr>
            </w:pPr>
            <w:r>
              <w:rPr>
                <w:rFonts w:ascii="Times New Roman" w:cs="Times New Roman" w:eastAsia="Times New Roman" w:hAnsi="Times New Roman"/>
                <w:sz w:val="14"/>
                <w:szCs w:val="14"/>
                <w:b w:val="1"/>
                <w:bCs w:val="1"/>
                <w:color w:val="auto"/>
              </w:rPr>
              <w:t>Ownership</w:t>
            </w:r>
            <w:r>
              <w:rPr>
                <w:rFonts w:ascii="Times New Roman" w:cs="Times New Roman" w:eastAsia="Times New Roman" w:hAnsi="Times New Roman"/>
                <w:sz w:val="12"/>
                <w:szCs w:val="12"/>
                <w:b w:val="1"/>
                <w:bCs w:val="1"/>
                <w:color w:val="auto"/>
              </w:rPr>
              <w:t>(2)</w:t>
            </w:r>
          </w:p>
        </w:tc>
        <w:tc>
          <w:tcPr>
            <w:tcW w:w="9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08"/>
        </w:trPr>
        <w:tc>
          <w:tcPr>
            <w:tcW w:w="3800" w:type="dxa"/>
            <w:vAlign w:val="bottom"/>
            <w:tcBorders>
              <w:top w:val="single" w:sz="8" w:color="CCEEFF"/>
            </w:tcBorders>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RAM Energy Holdings LLC</w:t>
            </w:r>
            <w:r>
              <w:rPr>
                <w:rFonts w:ascii="Times New Roman" w:cs="Times New Roman" w:eastAsia="Times New Roman" w:hAnsi="Times New Roman"/>
                <w:sz w:val="10"/>
                <w:szCs w:val="10"/>
                <w:color w:val="auto"/>
              </w:rPr>
              <w:t>(5)</w:t>
            </w:r>
          </w:p>
        </w:tc>
        <w:tc>
          <w:tcPr>
            <w:tcW w:w="1480" w:type="dxa"/>
            <w:vAlign w:val="bottom"/>
            <w:tcBorders>
              <w:top w:val="single" w:sz="8" w:color="auto"/>
            </w:tcBorders>
            <w:shd w:val="clear" w:color="auto" w:fill="CCEEFF"/>
          </w:tcPr>
          <w:p>
            <w:pPr>
              <w:ind w:left="160"/>
              <w:spacing w:after="0" w:line="109" w:lineRule="exact"/>
              <w:rPr>
                <w:sz w:val="20"/>
                <w:szCs w:val="20"/>
                <w:color w:val="auto"/>
              </w:rPr>
            </w:pPr>
            <w:r>
              <w:rPr>
                <w:rFonts w:ascii="Times New Roman" w:cs="Times New Roman" w:eastAsia="Times New Roman" w:hAnsi="Times New Roman"/>
                <w:sz w:val="12"/>
                <w:szCs w:val="12"/>
                <w:color w:val="auto"/>
              </w:rPr>
              <w:t>Energy and Utilities</w:t>
            </w:r>
          </w:p>
        </w:tc>
        <w:tc>
          <w:tcPr>
            <w:tcW w:w="200" w:type="dxa"/>
            <w:vAlign w:val="bottom"/>
            <w:tcBorders>
              <w:top w:val="single" w:sz="8" w:color="CCEEFF"/>
            </w:tcBorders>
            <w:shd w:val="clear" w:color="auto" w:fill="CCEEFF"/>
          </w:tcPr>
          <w:p>
            <w:pPr>
              <w:spacing w:after="0"/>
              <w:rPr>
                <w:sz w:val="9"/>
                <w:szCs w:val="9"/>
                <w:color w:val="auto"/>
              </w:rPr>
            </w:pPr>
          </w:p>
        </w:tc>
        <w:tc>
          <w:tcPr>
            <w:tcW w:w="3080" w:type="dxa"/>
            <w:vAlign w:val="bottom"/>
            <w:tcBorders>
              <w:top w:val="single" w:sz="8" w:color="auto"/>
            </w:tcBorders>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color w:val="auto"/>
              </w:rPr>
              <w:t>Common Equity</w:t>
            </w:r>
          </w:p>
        </w:tc>
        <w:tc>
          <w:tcPr>
            <w:tcW w:w="20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100.0</w:t>
            </w:r>
          </w:p>
        </w:tc>
        <w:tc>
          <w:tcPr>
            <w:tcW w:w="520" w:type="dxa"/>
            <w:vAlign w:val="bottom"/>
            <w:tcBorders>
              <w:top w:val="single" w:sz="8" w:color="CCEEFF"/>
            </w:tcBorders>
            <w:shd w:val="clear" w:color="auto" w:fill="CCEEFF"/>
          </w:tcPr>
          <w:p>
            <w:pPr>
              <w:jc w:val="right"/>
              <w:ind w:right="198"/>
              <w:spacing w:after="0" w:line="109"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0"/>
                <w:szCs w:val="10"/>
                <w:color w:val="auto"/>
              </w:rPr>
              <w:t>(3)</w:t>
            </w: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76,461</w:t>
            </w: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3800" w:type="dxa"/>
            <w:vAlign w:val="bottom"/>
            <w:gridSpan w:val="2"/>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2100 South Utica Avenue, Ste. 165</w:t>
            </w:r>
          </w:p>
        </w:tc>
        <w:tc>
          <w:tcPr>
            <w:tcW w:w="1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Tulsa, OK 74114</w:t>
            </w:r>
          </w:p>
        </w:tc>
        <w:tc>
          <w:tcPr>
            <w:tcW w:w="1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8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Total Investments</w:t>
            </w:r>
          </w:p>
        </w:tc>
        <w:tc>
          <w:tcPr>
            <w:tcW w:w="1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   1,445,390</w:t>
            </w: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0" w:lineRule="exact"/>
        <w:rPr>
          <w:sz w:val="20"/>
          <w:szCs w:val="20"/>
          <w:color w:val="auto"/>
        </w:rPr>
      </w:pPr>
    </w:p>
    <w:p>
      <w:pPr>
        <w:ind w:left="540" w:right="60" w:hanging="424"/>
        <w:spacing w:after="0" w:line="227" w:lineRule="auto"/>
        <w:tabs>
          <w:tab w:leader="none" w:pos="5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basis point spread above index for floating rate instruments that accrue interest at a predetermined spread relative to an index, typically the applicable LIBOR or “L,” or Prime rate, or “P.” The spread may change based on the type of rate used. The terms disclosed are the actual interest rate in effect as of 12/31/21. LIBOR loans are typically indexed to a 30-day, 60-day, 90-day or 180-day LIBOR rate (1M L, 2M L, 3M L, or 6M L, respectively), at the borrower’s option. All securities are subject to a LIBOR or Prime rate floor where a spread is provided, unless noted. The spread provided includes payment-in-kind, or “PIK” interest and other fee rates, if any.</w:t>
      </w:r>
    </w:p>
    <w:p>
      <w:pPr>
        <w:ind w:left="540" w:hanging="424"/>
        <w:spacing w:after="0" w:line="221" w:lineRule="auto"/>
        <w:tabs>
          <w:tab w:leader="none" w:pos="5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Voting ownership percentage refers only to common equity, preferred equity and warrants held, if any, were we to have voting rights.</w:t>
      </w:r>
    </w:p>
    <w:p>
      <w:pPr>
        <w:ind w:left="540" w:hanging="424"/>
        <w:spacing w:after="0" w:line="221" w:lineRule="auto"/>
        <w:tabs>
          <w:tab w:leader="none" w:pos="5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hold one or more voting seats on the portfolio company’s board of directors/managers.</w:t>
      </w:r>
    </w:p>
    <w:p>
      <w:pPr>
        <w:ind w:left="540" w:right="60" w:hanging="424"/>
        <w:spacing w:after="0" w:line="221" w:lineRule="auto"/>
        <w:tabs>
          <w:tab w:leader="none" w:pos="5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purchase of a security with delayed settlement or a revolving line of credit that is currently an unfunded investment, that does not earn a basis point spread above an index while it is unfunded.</w:t>
      </w:r>
    </w:p>
    <w:p>
      <w:pPr>
        <w:ind w:left="540" w:hanging="424"/>
        <w:spacing w:after="0" w:line="221" w:lineRule="auto"/>
        <w:tabs>
          <w:tab w:leader="none" w:pos="5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is held through our Taxable Subsidiary.</w:t>
      </w:r>
    </w:p>
    <w:p>
      <w:pPr>
        <w:ind w:left="540" w:right="420" w:hanging="424"/>
        <w:spacing w:after="0" w:line="221" w:lineRule="auto"/>
        <w:tabs>
          <w:tab w:leader="none" w:pos="5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December 31, 2021, qualifying assets represent 90% of the Company’s total assets and non-qualifying assets represent 10% of the Company’s total assets.</w:t>
      </w:r>
    </w:p>
    <w:p>
      <w:pPr>
        <w:ind w:left="540" w:hanging="424"/>
        <w:spacing w:after="0"/>
        <w:tabs>
          <w:tab w:leader="none" w:pos="5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0.1% voting ownership percentage.</w:t>
      </w:r>
    </w:p>
    <w:p>
      <w:pPr>
        <w:spacing w:after="0" w:line="19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Set forth below is a brief description of each portfolio company in which we have made an investment that represents greater than 5% of our total assets as of December 31, 2021:</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PennantPark Senior Loan Fund, LLC (Financial Services)</w:t>
      </w:r>
    </w:p>
    <w:p>
      <w:pPr>
        <w:spacing w:after="0" w:line="117" w:lineRule="exact"/>
        <w:rPr>
          <w:sz w:val="20"/>
          <w:szCs w:val="20"/>
          <w:color w:val="auto"/>
        </w:rPr>
      </w:pPr>
    </w:p>
    <w:p>
      <w:pPr>
        <w:jc w:val="both"/>
        <w:ind w:left="1100" w:right="100"/>
        <w:spacing w:after="0" w:line="266" w:lineRule="auto"/>
        <w:rPr>
          <w:sz w:val="20"/>
          <w:szCs w:val="20"/>
          <w:color w:val="auto"/>
        </w:rPr>
      </w:pPr>
      <w:r>
        <w:rPr>
          <w:rFonts w:ascii="Times New Roman" w:cs="Times New Roman" w:eastAsia="Times New Roman" w:hAnsi="Times New Roman"/>
          <w:sz w:val="18"/>
          <w:szCs w:val="18"/>
          <w:color w:val="auto"/>
        </w:rPr>
        <w:t>PSLF is an unconsolidated joint venture between the Company and certain entities and managed accounts of the private credit investment manager of Pantheon Ventures (UK) LLP, or Pantheon, which invests primarily in middle-market and other corporate debt consistent with the Company’s strategy.</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PT Network Intermediate Holdings, LLC (CI (PTN) Investment Holdings II, LLC) (Healthcare, Education and Childcare)</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PT Network Intermediate Holdings, LLC is a provider of physical therapy, corporate wellness and occupational health services.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RAM Energy Holdings LLC (Energy and Utilities)</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RAM Energy Holdings LLC is an exploration and production company focused on operations in the East Texas.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40"/>
          </w:cols>
          <w:pgMar w:left="320" w:top="455" w:right="4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table below describes investments by industry classification and enumerates the percentage, by fair value, of the total portfolio assets (excluding cash and cash equivalents) in such industries as of:</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1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Industry Classification</w:t>
            </w:r>
          </w:p>
        </w:tc>
        <w:tc>
          <w:tcPr>
            <w:tcW w:w="2820" w:type="dxa"/>
            <w:vAlign w:val="bottom"/>
          </w:tcPr>
          <w:p>
            <w:pPr>
              <w:spacing w:after="0"/>
              <w:rPr>
                <w:sz w:val="15"/>
                <w:szCs w:val="15"/>
                <w:color w:val="auto"/>
              </w:rPr>
            </w:pPr>
          </w:p>
        </w:tc>
        <w:tc>
          <w:tcPr>
            <w:tcW w:w="288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December 31, 2021</w:t>
            </w:r>
            <w:r>
              <w:rPr>
                <w:rFonts w:ascii="Times New Roman" w:cs="Times New Roman" w:eastAsia="Times New Roman" w:hAnsi="Times New Roman"/>
                <w:sz w:val="12"/>
                <w:szCs w:val="12"/>
                <w:b w:val="1"/>
                <w:bCs w:val="1"/>
                <w:color w:val="auto"/>
              </w:rPr>
              <w:t>(1)</w:t>
            </w:r>
          </w:p>
        </w:tc>
        <w:tc>
          <w:tcPr>
            <w:tcW w:w="21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September 30, 2021</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24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Healthcare, Education and Childcare</w:t>
            </w:r>
          </w:p>
        </w:tc>
        <w:tc>
          <w:tcPr>
            <w:tcW w:w="860" w:type="dxa"/>
            <w:vAlign w:val="bottom"/>
            <w:vMerge w:val="restart"/>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0" w:type="dxa"/>
            <w:vAlign w:val="bottom"/>
          </w:tcPr>
          <w:p>
            <w:pPr>
              <w:spacing w:after="0"/>
              <w:rPr>
                <w:sz w:val="17"/>
                <w:szCs w:val="17"/>
                <w:color w:val="auto"/>
              </w:rPr>
            </w:pPr>
          </w:p>
        </w:tc>
        <w:tc>
          <w:tcPr>
            <w:tcW w:w="4240" w:type="dxa"/>
            <w:vAlign w:val="bottom"/>
            <w:gridSpan w:val="3"/>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2020" w:type="dxa"/>
            <w:vAlign w:val="bottom"/>
            <w:gridSpan w:val="2"/>
            <w:shd w:val="clear" w:color="auto" w:fill="CCEEFF"/>
          </w:tcPr>
          <w:p>
            <w:pPr>
              <w:jc w:val="right"/>
              <w:ind w:right="580"/>
              <w:spacing w:after="0" w:line="203" w:lineRule="exact"/>
              <w:rPr>
                <w:sz w:val="20"/>
                <w:szCs w:val="20"/>
                <w:color w:val="auto"/>
              </w:rPr>
            </w:pPr>
            <w:r>
              <w:rPr>
                <w:rFonts w:ascii="Times New Roman" w:cs="Times New Roman" w:eastAsia="Times New Roman" w:hAnsi="Times New Roman"/>
                <w:sz w:val="18"/>
                <w:szCs w:val="18"/>
                <w:color w:val="auto"/>
              </w:rPr>
              <w:t>25%</w:t>
            </w:r>
          </w:p>
        </w:tc>
        <w:tc>
          <w:tcPr>
            <w:tcW w:w="580" w:type="dxa"/>
            <w:vAlign w:val="bottom"/>
            <w:vMerge w:val="continue"/>
            <w:shd w:val="clear" w:color="auto" w:fill="CCEEFF"/>
          </w:tcPr>
          <w:p>
            <w:pPr>
              <w:spacing w:after="0"/>
              <w:rPr>
                <w:sz w:val="17"/>
                <w:szCs w:val="17"/>
                <w:color w:val="auto"/>
              </w:rPr>
            </w:pPr>
          </w:p>
        </w:tc>
        <w:tc>
          <w:tcPr>
            <w:tcW w:w="15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 Products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72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Services</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7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Aerospace and Defense</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72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Media</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7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Distribution</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72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and Utilities</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7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Auto Sector</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Education</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Environmental Services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2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Telecommunications</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Building Materials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Electronics</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Home and Office Furnishings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Media</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Cargo Transport</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Chemicals, Plastics and Rubber</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2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Hotels, Motels, Inns and Gaming</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Manufacturing / Basic Industries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2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Personal and Non-Durable Consumer Products</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Personal, Food and Miscellaneous Services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2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and Publishing</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Transportation</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2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gridSpan w:val="4"/>
          </w:tcPr>
          <w:p>
            <w:pPr>
              <w:ind w:left="88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Pr>
          <w:p>
            <w:pPr>
              <w:spacing w:after="0"/>
              <w:rPr>
                <w:sz w:val="19"/>
                <w:szCs w:val="19"/>
                <w:color w:val="auto"/>
              </w:rPr>
            </w:pPr>
          </w:p>
        </w:tc>
        <w:tc>
          <w:tcPr>
            <w:tcW w:w="20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100%</w:t>
            </w:r>
          </w:p>
        </w:tc>
        <w:tc>
          <w:tcPr>
            <w:tcW w:w="58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(1)Excludes investments in PSLF.</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460"/>
          </w:cols>
          <w:pgMar w:left="320" w:top="455" w:right="111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PORTFOLIO MANAGEMENT</w:t>
      </w:r>
    </w:p>
    <w:p>
      <w:pPr>
        <w:spacing w:after="0" w:line="22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Investment Adviser, which manages our day-to-day investment activities under the supervision of our board of directors, has seven experienced senior investment professionals. These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senior investment professionals receive no compensation from us. The compensation of these individuals is paid by our Investment Adviser and compensation includes a base salary and a bonus contingent upon past and future performance.</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Arthur H. Penn became the Chief Executive Officer and a Director of PennantPark Investment at its inception in 2007. Mr. Penn is the Founder, Chairman and Chief Executive Officer of the Company and Managing Member of the Adviser and the Administrator.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w:t>
      </w:r>
    </w:p>
    <w:p>
      <w:pPr>
        <w:spacing w:after="0" w:line="194" w:lineRule="exact"/>
        <w:rPr>
          <w:sz w:val="20"/>
          <w:szCs w:val="20"/>
          <w:color w:val="auto"/>
        </w:rPr>
      </w:pPr>
    </w:p>
    <w:p>
      <w:pPr>
        <w:ind w:left="120" w:right="340" w:firstLine="440"/>
        <w:spacing w:after="0" w:line="258" w:lineRule="auto"/>
        <w:rPr>
          <w:sz w:val="20"/>
          <w:szCs w:val="20"/>
          <w:color w:val="auto"/>
        </w:rPr>
      </w:pPr>
      <w:r>
        <w:rPr>
          <w:rFonts w:ascii="Times New Roman" w:cs="Times New Roman" w:eastAsia="Times New Roman" w:hAnsi="Times New Roman"/>
          <w:sz w:val="18"/>
          <w:szCs w:val="18"/>
          <w:color w:val="auto"/>
        </w:rPr>
        <w:t>José A. Briones joined PennantPark Investment Advisers in December 2009. Previously, Mr. Briones was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83"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Salvatore Giannetti III joined PennantPark Investment Advisers in February 2007. Previously, Mr. Giannetti was a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83"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Ryan Raskopf joined PennantPark Investment Advisers in August 2007. Previously, Mr. Raskopf was an Analyst in the Financial Institutions Group at Credit Suisse Securities (USA) LLC from 2005 to 2007.</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Dan Horn joined PennantPark Investment Advisers in June 2015. Previously, Mr. Horn spent two and a half years at Loop Capital Markets in the Corporate Investment Banking Division based in Chicago from 2013 to 2015, two years in a similar role at boutique firm TTK Partners from 2011 to 2013, and 12 years at Deutsche Bank Securities and its predecessor firm, Bankers Trust, from 1991 to 2003. He also served as Chief Financial Officer of Unicous Marketing from 2005 to 2008, and served as Vice President of Finance at GDX Automotive in 2004.</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James Stone joined PennantPark Investment Advisers in July 2015. Previously, Mr. Stone was a Managing Director and Head of Financial Sponsor Coverage at Cowen and Company, which he joined in 2012. He has over 20 years of leveraged finance experience, including Managing Director positions at Gleacher &amp; Company, Macquarie Capital, Imperial Capital, and Credit Suisse. Before joining Credit Suisse, he served as a Vice President in the Financial Sponsor Coverage Group at DLJ, as an Associate in the Corporate Finance Department at BT Securities, and was an Associate at BT Alex. Brown.</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Steve Winograd joined PennantPark Investment Advisers in September 2015. Previously, Mr. Winograd spent 33 years in Investment Banking, Restructuring Advisory and Private Equity Investing. His Investment Banking experience includes 25 years originating and executing leveraged finance, M&amp;A, and public and private equity transactions for private equity firms and their portfolio companies. During this period he held senior positions in the Financial Sponsors Groups of BMO Capital Markets from 2011 to 2015, Bank of America Merrill Lynch from 2004 to 2011, Deutsche Bank from 2000 to 2004, Bear Stearns from 1994 to 2000, and Drexel Burnham Lambert from 1984 to 1989. He was also an associate for two years in the Corporate Finance Group of Shearson/American Express from 1982 to 1984. His Restructuring Advisory experience includes four years originating, negotiating and consummating restructuring advisory assignments at The Argosy Group from 1992 to 1994 and the Mercury Financial Group from 1990 to 1992. His Private Equity experience includes two years originating and closing control private equity investments as a General Partner of The Blackstone Group from 1989 to 1990. He is also currently a Director of Mspark, LLC and previously served as an Independent Director of Shopko Stores, Caesars Entertainment Operating Company, The Gymboree Corporation, and Linn Acquisition Company, LLC.</w:t>
      </w:r>
    </w:p>
    <w:p>
      <w:pPr>
        <w:spacing w:after="0" w:line="194"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In addition to managing our investments, as of December 31, 2021, our portfolio managers also managed investments on behalf of the following entities: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520" w:type="dxa"/>
            <w:vAlign w:val="bottom"/>
            <w:vMerge w:val="restart"/>
          </w:tcPr>
          <w:p>
            <w:pPr>
              <w:spacing w:after="0"/>
              <w:rPr>
                <w:sz w:val="13"/>
                <w:szCs w:val="13"/>
                <w:color w:val="auto"/>
              </w:rPr>
            </w:pPr>
          </w:p>
        </w:tc>
        <w:tc>
          <w:tcPr>
            <w:tcW w:w="22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3960" w:type="dxa"/>
            <w:vAlign w:val="bottom"/>
            <w:gridSpan w:val="2"/>
            <w:vMerge w:val="restart"/>
          </w:tcPr>
          <w:p>
            <w:pPr>
              <w:ind w:left="1280"/>
              <w:spacing w:after="0"/>
              <w:rPr>
                <w:sz w:val="20"/>
                <w:szCs w:val="20"/>
                <w:color w:val="auto"/>
              </w:rPr>
            </w:pPr>
            <w:r>
              <w:rPr>
                <w:rFonts w:ascii="Times New Roman" w:cs="Times New Roman" w:eastAsia="Times New Roman" w:hAnsi="Times New Roman"/>
                <w:sz w:val="14"/>
                <w:szCs w:val="14"/>
                <w:b w:val="1"/>
                <w:bCs w:val="1"/>
                <w:color w:val="auto"/>
              </w:rPr>
              <w:t>Investment Focus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Gross Assets</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3520" w:type="dxa"/>
            <w:vAlign w:val="bottom"/>
            <w:vMerge w:val="continue"/>
          </w:tcPr>
          <w:p>
            <w:pPr>
              <w:spacing w:after="0"/>
              <w:rPr>
                <w:sz w:val="15"/>
                <w:szCs w:val="15"/>
                <w:color w:val="auto"/>
              </w:rPr>
            </w:pPr>
          </w:p>
        </w:tc>
        <w:tc>
          <w:tcPr>
            <w:tcW w:w="2280" w:type="dxa"/>
            <w:vAlign w:val="bottom"/>
            <w:gridSpan w:val="2"/>
            <w:vMerge w:val="continue"/>
          </w:tcPr>
          <w:p>
            <w:pPr>
              <w:spacing w:after="0"/>
              <w:rPr>
                <w:sz w:val="15"/>
                <w:szCs w:val="15"/>
                <w:color w:val="auto"/>
              </w:rPr>
            </w:pPr>
          </w:p>
        </w:tc>
        <w:tc>
          <w:tcPr>
            <w:tcW w:w="3960" w:type="dxa"/>
            <w:vAlign w:val="bottom"/>
            <w:gridSpan w:val="2"/>
            <w:vMerge w:val="continue"/>
          </w:tcPr>
          <w:p>
            <w:pPr>
              <w:spacing w:after="0"/>
              <w:rPr>
                <w:sz w:val="15"/>
                <w:szCs w:val="15"/>
                <w:color w:val="auto"/>
              </w:rPr>
            </w:pPr>
          </w:p>
        </w:tc>
        <w:tc>
          <w:tcPr>
            <w:tcW w:w="86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0" w:type="dxa"/>
            <w:vAlign w:val="bottom"/>
          </w:tcPr>
          <w:p>
            <w:pPr>
              <w:spacing w:after="0"/>
              <w:rPr>
                <w:sz w:val="1"/>
                <w:szCs w:val="1"/>
                <w:color w:val="auto"/>
              </w:rPr>
            </w:pPr>
          </w:p>
        </w:tc>
      </w:tr>
      <w:tr>
        <w:trPr>
          <w:trHeight w:val="176"/>
        </w:trPr>
        <w:tc>
          <w:tcPr>
            <w:tcW w:w="3880" w:type="dxa"/>
            <w:vAlign w:val="bottom"/>
            <w:gridSpan w:val="2"/>
          </w:tcPr>
          <w:p>
            <w:pPr>
              <w:spacing w:after="0" w:line="176" w:lineRule="exact"/>
              <w:rPr>
                <w:sz w:val="20"/>
                <w:szCs w:val="20"/>
                <w:color w:val="auto"/>
              </w:rPr>
            </w:pPr>
            <w:r>
              <w:rPr>
                <w:rFonts w:ascii="Times New Roman" w:cs="Times New Roman" w:eastAsia="Times New Roman" w:hAnsi="Times New Roman"/>
                <w:sz w:val="16"/>
                <w:szCs w:val="16"/>
                <w:color w:val="auto"/>
              </w:rPr>
              <w:t>PennantPark Floating Rate Capital Ltd.</w:t>
            </w:r>
          </w:p>
        </w:tc>
        <w:tc>
          <w:tcPr>
            <w:tcW w:w="194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6"/>
                <w:szCs w:val="16"/>
                <w:color w:val="auto"/>
              </w:rPr>
              <w:t>Business development</w:t>
            </w:r>
          </w:p>
        </w:tc>
        <w:tc>
          <w:tcPr>
            <w:tcW w:w="340" w:type="dxa"/>
            <w:vAlign w:val="bottom"/>
          </w:tcPr>
          <w:p>
            <w:pPr>
              <w:spacing w:after="0"/>
              <w:rPr>
                <w:sz w:val="15"/>
                <w:szCs w:val="15"/>
                <w:color w:val="auto"/>
              </w:rPr>
            </w:pPr>
          </w:p>
        </w:tc>
        <w:tc>
          <w:tcPr>
            <w:tcW w:w="364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6"/>
                <w:szCs w:val="16"/>
                <w:color w:val="auto"/>
              </w:rPr>
              <w:t>Primarily floating rate loans, with an emphasis on</w:t>
            </w:r>
          </w:p>
        </w:tc>
        <w:tc>
          <w:tcPr>
            <w:tcW w:w="320" w:type="dxa"/>
            <w:vAlign w:val="bottom"/>
          </w:tcPr>
          <w:p>
            <w:pPr>
              <w:spacing w:after="0"/>
              <w:rPr>
                <w:sz w:val="15"/>
                <w:szCs w:val="15"/>
                <w:color w:val="auto"/>
              </w:rPr>
            </w:pPr>
          </w:p>
        </w:tc>
        <w:tc>
          <w:tcPr>
            <w:tcW w:w="86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$1,265</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w:t>
            </w:r>
          </w:p>
        </w:tc>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senior secured loans, in middle-</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market leveraged companies.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PennantPark Senior Secured</w:t>
            </w:r>
          </w:p>
        </w:tc>
        <w:tc>
          <w:tcPr>
            <w:tcW w:w="2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Joint Venture</w:t>
            </w:r>
          </w:p>
        </w:tc>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Primarily floating rate loans, with an emphasis on</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0" w:type="dxa"/>
            <w:vAlign w:val="bottom"/>
          </w:tcPr>
          <w:p>
            <w:pPr>
              <w:spacing w:after="0"/>
              <w:rPr>
                <w:sz w:val="1"/>
                <w:szCs w:val="1"/>
                <w:color w:val="auto"/>
              </w:rPr>
            </w:pPr>
          </w:p>
        </w:tc>
      </w:tr>
      <w:tr>
        <w:trPr>
          <w:trHeight w:val="203"/>
        </w:trPr>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Loan Fund I LLC</w:t>
            </w:r>
          </w:p>
        </w:tc>
        <w:tc>
          <w:tcPr>
            <w:tcW w:w="1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senior secured loans, in middle-market leveraged</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companies.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PennantPark Senior Loan Fund, LLC</w:t>
            </w:r>
          </w:p>
        </w:tc>
        <w:tc>
          <w:tcPr>
            <w:tcW w:w="2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Joint Venture</w:t>
            </w:r>
          </w:p>
        </w:tc>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Primarily invests in middle-market and other corporate</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debt consistent with the Company’s strategy.</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Managed Funds</w:t>
            </w:r>
          </w:p>
        </w:tc>
        <w:tc>
          <w:tcPr>
            <w:tcW w:w="2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 Lending</w:t>
            </w:r>
          </w:p>
        </w:tc>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credit opportunities</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$1,568</w:t>
            </w: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Funds</w:t>
            </w:r>
          </w:p>
        </w:tc>
        <w:tc>
          <w:tcPr>
            <w:tcW w:w="3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dollar range of our common stock beneficially owned by each of our senior investment professionals as of December 31, 2021. Information as to the beneficial ownerships is based on information furnished to us by such persons. We are not part of a “family of investment companies,” as that term is defined in the 1940 Act.</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020" w:type="dxa"/>
            <w:vAlign w:val="bottom"/>
          </w:tcPr>
          <w:p>
            <w:pPr>
              <w:spacing w:after="0"/>
              <w:rPr>
                <w:sz w:val="13"/>
                <w:szCs w:val="13"/>
                <w:color w:val="auto"/>
              </w:rPr>
            </w:pPr>
          </w:p>
        </w:tc>
        <w:tc>
          <w:tcPr>
            <w:tcW w:w="200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 Range of the</w:t>
            </w:r>
          </w:p>
        </w:tc>
      </w:tr>
      <w:tr>
        <w:trPr>
          <w:trHeight w:val="148"/>
        </w:trPr>
        <w:tc>
          <w:tcPr>
            <w:tcW w:w="9020" w:type="dxa"/>
            <w:vAlign w:val="bottom"/>
          </w:tcPr>
          <w:p>
            <w:pPr>
              <w:spacing w:after="0"/>
              <w:rPr>
                <w:sz w:val="12"/>
                <w:szCs w:val="12"/>
                <w:color w:val="auto"/>
              </w:rPr>
            </w:pPr>
          </w:p>
        </w:tc>
        <w:tc>
          <w:tcPr>
            <w:tcW w:w="2000" w:type="dxa"/>
            <w:vAlign w:val="bottom"/>
            <w:gridSpan w:val="5"/>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 of</w:t>
            </w:r>
          </w:p>
        </w:tc>
      </w:tr>
      <w:tr>
        <w:trPr>
          <w:trHeight w:val="149"/>
        </w:trPr>
        <w:tc>
          <w:tcPr>
            <w:tcW w:w="9020" w:type="dxa"/>
            <w:vAlign w:val="bottom"/>
          </w:tcPr>
          <w:p>
            <w:pPr>
              <w:spacing w:after="0"/>
              <w:rPr>
                <w:sz w:val="12"/>
                <w:szCs w:val="12"/>
                <w:color w:val="auto"/>
              </w:rPr>
            </w:pPr>
          </w:p>
        </w:tc>
        <w:tc>
          <w:tcPr>
            <w:tcW w:w="2000" w:type="dxa"/>
            <w:vAlign w:val="bottom"/>
            <w:gridSpan w:val="5"/>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PennantPark Investment</w:t>
            </w:r>
          </w:p>
        </w:tc>
      </w:tr>
      <w:tr>
        <w:trPr>
          <w:trHeight w:val="173"/>
        </w:trPr>
        <w:tc>
          <w:tcPr>
            <w:tcW w:w="9020" w:type="dxa"/>
            <w:vAlign w:val="bottom"/>
          </w:tcPr>
          <w:p>
            <w:pPr>
              <w:spacing w:after="0"/>
              <w:rPr>
                <w:sz w:val="15"/>
                <w:szCs w:val="15"/>
                <w:color w:val="auto"/>
              </w:rPr>
            </w:pPr>
          </w:p>
        </w:tc>
        <w:tc>
          <w:tcPr>
            <w:tcW w:w="200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Corporation</w:t>
            </w:r>
            <w:r>
              <w:rPr>
                <w:rFonts w:ascii="Times New Roman" w:cs="Times New Roman" w:eastAsia="Times New Roman" w:hAnsi="Times New Roman"/>
                <w:sz w:val="12"/>
                <w:szCs w:val="12"/>
                <w:b w:val="1"/>
                <w:bCs w:val="1"/>
                <w:color w:val="auto"/>
              </w:rPr>
              <w:t>(1)</w:t>
            </w:r>
          </w:p>
        </w:tc>
      </w:tr>
      <w:tr>
        <w:trPr>
          <w:trHeight w:val="196"/>
        </w:trPr>
        <w:tc>
          <w:tcPr>
            <w:tcW w:w="90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4"/>
                <w:szCs w:val="14"/>
                <w:color w:val="auto"/>
              </w:rPr>
              <w:t>Arthur H. Penn</w:t>
            </w:r>
            <w:r>
              <w:rPr>
                <w:rFonts w:ascii="Times New Roman" w:cs="Times New Roman" w:eastAsia="Times New Roman" w:hAnsi="Times New Roman"/>
                <w:sz w:val="22"/>
                <w:szCs w:val="22"/>
                <w:color w:val="auto"/>
                <w:vertAlign w:val="superscript"/>
              </w:rPr>
              <w:t>(2)</w:t>
            </w:r>
          </w:p>
        </w:tc>
        <w:tc>
          <w:tcPr>
            <w:tcW w:w="5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Over $</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1,000,000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9020" w:type="dxa"/>
            <w:vAlign w:val="bottom"/>
          </w:tcPr>
          <w:p>
            <w:pPr>
              <w:spacing w:after="0"/>
              <w:rPr>
                <w:sz w:val="20"/>
                <w:szCs w:val="20"/>
                <w:color w:val="auto"/>
              </w:rPr>
            </w:pPr>
            <w:r>
              <w:rPr>
                <w:rFonts w:ascii="Times New Roman" w:cs="Times New Roman" w:eastAsia="Times New Roman" w:hAnsi="Times New Roman"/>
                <w:sz w:val="16"/>
                <w:szCs w:val="16"/>
                <w:color w:val="auto"/>
              </w:rPr>
              <w:t>José A. Briones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500,001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6"/>
              </w:rPr>
              <w:t>1,000,000</w:t>
            </w:r>
          </w:p>
        </w:tc>
      </w:tr>
      <w:tr>
        <w:trPr>
          <w:trHeight w:val="203"/>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Salvatore Giannetti III</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500,001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6"/>
              </w:rPr>
              <w:t>1,000,000</w:t>
            </w:r>
          </w:p>
        </w:tc>
      </w:tr>
      <w:tr>
        <w:trPr>
          <w:trHeight w:val="203"/>
        </w:trPr>
        <w:tc>
          <w:tcPr>
            <w:tcW w:w="9020" w:type="dxa"/>
            <w:vAlign w:val="bottom"/>
          </w:tcPr>
          <w:p>
            <w:pPr>
              <w:spacing w:after="0"/>
              <w:rPr>
                <w:sz w:val="20"/>
                <w:szCs w:val="20"/>
                <w:color w:val="auto"/>
              </w:rPr>
            </w:pPr>
            <w:r>
              <w:rPr>
                <w:rFonts w:ascii="Times New Roman" w:cs="Times New Roman" w:eastAsia="Times New Roman" w:hAnsi="Times New Roman"/>
                <w:sz w:val="16"/>
                <w:szCs w:val="16"/>
                <w:color w:val="auto"/>
              </w:rPr>
              <w:t>Ryan Raskopf</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500,001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6"/>
              </w:rPr>
              <w:t>1,000,000</w:t>
            </w:r>
          </w:p>
        </w:tc>
      </w:tr>
      <w:tr>
        <w:trPr>
          <w:trHeight w:val="202"/>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Dan Horn</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100,001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500,000</w:t>
            </w:r>
          </w:p>
        </w:tc>
      </w:tr>
      <w:tr>
        <w:trPr>
          <w:trHeight w:val="203"/>
        </w:trPr>
        <w:tc>
          <w:tcPr>
            <w:tcW w:w="9020" w:type="dxa"/>
            <w:vAlign w:val="bottom"/>
          </w:tcPr>
          <w:p>
            <w:pPr>
              <w:spacing w:after="0"/>
              <w:rPr>
                <w:sz w:val="20"/>
                <w:szCs w:val="20"/>
                <w:color w:val="auto"/>
              </w:rPr>
            </w:pPr>
            <w:r>
              <w:rPr>
                <w:rFonts w:ascii="Times New Roman" w:cs="Times New Roman" w:eastAsia="Times New Roman" w:hAnsi="Times New Roman"/>
                <w:sz w:val="16"/>
                <w:szCs w:val="16"/>
                <w:color w:val="auto"/>
              </w:rPr>
              <w:t>James Stone</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10,000</w:t>
            </w:r>
          </w:p>
        </w:tc>
      </w:tr>
      <w:tr>
        <w:trPr>
          <w:trHeight w:val="203"/>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Steve Winograd</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7" w:lineRule="exact"/>
        <w:rPr>
          <w:sz w:val="20"/>
          <w:szCs w:val="20"/>
          <w:color w:val="auto"/>
        </w:rPr>
      </w:pPr>
    </w:p>
    <w:p>
      <w:pPr>
        <w:ind w:left="540" w:right="320" w:hanging="424"/>
        <w:spacing w:after="0" w:line="260" w:lineRule="auto"/>
        <w:tabs>
          <w:tab w:leader="none" w:pos="5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Dollar ranges are as follows: None; $1-$10,000; $10,001-$50,000; $50,001-$100,000; $100,001-$500,000; $500,001-$1,000,000; or over $1,000,000. Beneficial ownership has been determined in accordance with Rule 16a-1(a)(2) promulgated under the Exchange Act.</w:t>
      </w:r>
    </w:p>
    <w:p>
      <w:pPr>
        <w:spacing w:after="0" w:line="1" w:lineRule="exact"/>
        <w:rPr>
          <w:rFonts w:ascii="Times New Roman" w:cs="Times New Roman" w:eastAsia="Times New Roman" w:hAnsi="Times New Roman"/>
          <w:sz w:val="17"/>
          <w:szCs w:val="17"/>
          <w:color w:val="auto"/>
        </w:rPr>
      </w:pPr>
    </w:p>
    <w:p>
      <w:pPr>
        <w:ind w:left="540" w:hanging="424"/>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reflects holdings of PennantPark Investment Advisers, LLC.</w:t>
      </w:r>
    </w:p>
    <w:p>
      <w:pPr>
        <w:spacing w:after="0" w:line="1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40"/>
          </w:cols>
          <w:pgMar w:left="320" w:top="455" w:right="4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DETERMINATION OF NET ASSET VALUE</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NAV per share of our outstanding shares of common stock is determined quarterly by dividing the value of total assets minus liabilities by the total number of shares outstanding.</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a BDC, we generally invest in illiquid securities including debt and equity investments of middle-market companies.</w:t>
      </w:r>
    </w:p>
    <w:p>
      <w:pPr>
        <w:spacing w:after="0" w:line="225"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herein.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 Our investments are generally structured as debt and equity investments in the form of first lien secured debt,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 as described below. 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99" w:lineRule="exact"/>
        <w:rPr>
          <w:sz w:val="20"/>
          <w:szCs w:val="20"/>
          <w:color w:val="auto"/>
        </w:rPr>
      </w:pPr>
    </w:p>
    <w:p>
      <w:pPr>
        <w:ind w:left="1080" w:hanging="532"/>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valuation conclusions are then documented and discussed with the management of our Investment Adviser;</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61"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85" w:lineRule="exact"/>
        <w:rPr>
          <w:rFonts w:ascii="Times New Roman" w:cs="Times New Roman" w:eastAsia="Times New Roman" w:hAnsi="Times New Roman"/>
          <w:sz w:val="18"/>
          <w:szCs w:val="18"/>
          <w:color w:val="auto"/>
        </w:rPr>
      </w:pPr>
    </w:p>
    <w:p>
      <w:pPr>
        <w:ind w:left="1080" w:right="80" w:hanging="532"/>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81"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6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generally uses market quotations to assess the value of our investments for which market quotations are readily available. We obtain these market values from independent pricing services or at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 the extent we invest in derivative instruments in the future, such instruments would be valued in accordance with our valuation policy.</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Fair value, as defined under the Financial Accounting Standards Board’s Accounting Standards Codification, Topic 820, Fair Value Measurements and Disclosures,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ASC 820 classifies the inputs used to measure these fair values into the following hierarchies:</w:t>
      </w:r>
    </w:p>
    <w:p>
      <w:pPr>
        <w:spacing w:after="0" w:line="131" w:lineRule="exact"/>
        <w:rPr>
          <w:sz w:val="20"/>
          <w:szCs w:val="20"/>
          <w:color w:val="auto"/>
        </w:rPr>
      </w:pPr>
    </w:p>
    <w:p>
      <w:pPr>
        <w:ind w:left="1680" w:right="1180" w:hanging="1120"/>
        <w:spacing w:after="0" w:line="282" w:lineRule="auto"/>
        <w:tabs>
          <w:tab w:leader="none" w:pos="166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Inputs that are quoted prices (unadjusted) in active markets for identical assets or liabilities, accessible by us at the measurement date.</w:t>
      </w:r>
    </w:p>
    <w:p>
      <w:pPr>
        <w:spacing w:after="0" w:line="54" w:lineRule="exact"/>
        <w:rPr>
          <w:sz w:val="20"/>
          <w:szCs w:val="20"/>
          <w:color w:val="auto"/>
        </w:rPr>
      </w:pPr>
    </w:p>
    <w:p>
      <w:pPr>
        <w:ind w:left="1680" w:right="440" w:hanging="1120"/>
        <w:spacing w:after="0" w:line="266" w:lineRule="auto"/>
        <w:tabs>
          <w:tab w:leader="none" w:pos="166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68" w:lineRule="exact"/>
        <w:rPr>
          <w:sz w:val="20"/>
          <w:szCs w:val="20"/>
          <w:color w:val="auto"/>
        </w:rPr>
      </w:pPr>
    </w:p>
    <w:p>
      <w:pPr>
        <w:ind w:left="1680" w:right="880" w:hanging="1120"/>
        <w:spacing w:after="0" w:line="282" w:lineRule="auto"/>
        <w:tabs>
          <w:tab w:leader="none" w:pos="166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Inputs that are unobservable for an asset or liability because they are based on our own assumptions about how market participants would price the asset or liability.</w:t>
      </w:r>
    </w:p>
    <w:p>
      <w:pPr>
        <w:spacing w:after="0" w:line="16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 financial instrument’s categorization within the valuation hierarchy is based upon the lowest level of input that is significant to the fair value measurement. Generally, most of our investments, our Truist Credit Facility and our SBA debentures are classified as Level 3. Our 2026 Notes and our 2026 Notes-2 are classified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SEC recently adopted Rule 2a-5 under the 1940 Act which established requirements for determining fair value in good faith purposes of the 1940 Act. We will comply with the requirement of the rule before the required compliance date in 2022.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Determinations In Connection With Offerings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each offering of shares of our common stock, our board of directors or a committee thereof is required to make the determination that we are not selling shares of our common stock at a price below the then current NAV of our common stock at the time at which the sale is made or otherwise in violation of the 1940 Act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89" w:lineRule="exact"/>
        <w:rPr>
          <w:sz w:val="20"/>
          <w:szCs w:val="20"/>
          <w:color w:val="auto"/>
        </w:rPr>
      </w:pPr>
    </w:p>
    <w:p>
      <w:pPr>
        <w:ind w:left="5540" w:right="2640" w:hanging="4884"/>
        <w:spacing w:after="0" w:line="454" w:lineRule="auto"/>
        <w:tabs>
          <w:tab w:leader="none" w:pos="109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NAV of our common stock disclosed in the most recent periodic report that we filed with the SEC; 34</w:t>
      </w:r>
    </w:p>
    <w:p>
      <w:pPr>
        <w:sectPr>
          <w:pgSz w:w="11900" w:h="16838" w:orient="portrait"/>
          <w:cols w:equalWidth="0" w:num="1">
            <w:col w:w="11100"/>
          </w:cols>
          <w:pgMar w:left="320" w:top="455" w:right="47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6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management’s assessment of whether any change in the NAV of our common stock has occurred (including through the realization of gains on the sale of our portfolio securities) during the period beginning on the date of the most recent public filing with the SEC that discloses the NAV of our common stock and ending two days prior to the date of the sale of our common stock; and</w:t>
      </w:r>
    </w:p>
    <w:p>
      <w:pPr>
        <w:spacing w:after="0" w:line="81"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of the difference between the offering price of the shares of our common stock in the proposed offering and management’s assessment of any change in the NAV of our common stock during the period discussed above.</w:t>
      </w:r>
    </w:p>
    <w:p>
      <w:pPr>
        <w:spacing w:after="0" w:line="162"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Whenever we do not have current stockholder approval to issue shares of our common stock at a price per share below our then current NAV per share, the offering price per share (exclusive of any distributing commission or discount) will equal or exceed our then current NAV per share, based on the value of our portfolio securities and other assets determined in good faith by our board of directors as of a time within 48 hours (excluding Sundays and holidays) of the sale. See “Sales Of Common Stock Below Net Asset Value” for more information.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we will only sell shares of our common stock at a price below NAV per share if the following conditions are met:</w:t>
      </w:r>
    </w:p>
    <w:p>
      <w:pPr>
        <w:spacing w:after="0" w:line="131"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our independent directors who have no financial interest in the sale must have approved the sale; and</w:t>
      </w:r>
    </w:p>
    <w:p>
      <w:pPr>
        <w:spacing w:after="0" w:line="130"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such directors, in consultation with the underwriters of the offering if it is to be underwritten, must have determined in good faith, and as of a time immediately prior to the first solicitation by us or on our behalf of firm commitments to purchase such shares or immediately prior to the issuance of such shares, that the price at which such shares are to be sold is not less than a price which closely approximates the market value of those shares, less any underwriting commission or discount.</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may, however, subject to the requirements of the 1940 Act, issue subscription rights to acquire our common stock at a price below the current NAV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88"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40"/>
          </w:cols>
          <w:pgMar w:left="320" w:top="455" w:right="5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DIVIDEND REINVESTMENT PLAN</w:t>
      </w:r>
    </w:p>
    <w:p>
      <w:pPr>
        <w:spacing w:after="0" w:line="229" w:lineRule="exact"/>
        <w:rPr>
          <w:sz w:val="20"/>
          <w:szCs w:val="20"/>
          <w:color w:val="auto"/>
        </w:rPr>
      </w:pPr>
    </w:p>
    <w:p>
      <w:pPr>
        <w:ind w:left="120" w:right="460" w:firstLine="440"/>
        <w:spacing w:after="0" w:line="261" w:lineRule="auto"/>
        <w:rPr>
          <w:sz w:val="20"/>
          <w:szCs w:val="20"/>
          <w:color w:val="auto"/>
        </w:rPr>
      </w:pPr>
      <w:r>
        <w:rPr>
          <w:rFonts w:ascii="Times New Roman" w:cs="Times New Roman" w:eastAsia="Times New Roman" w:hAnsi="Times New Roman"/>
          <w:sz w:val="18"/>
          <w:szCs w:val="18"/>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80"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&amp; Trust Company, LLC,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7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62" w:lineRule="exact"/>
        <w:rPr>
          <w:sz w:val="20"/>
          <w:szCs w:val="20"/>
          <w:color w:val="auto"/>
        </w:rPr>
      </w:pPr>
    </w:p>
    <w:p>
      <w:pPr>
        <w:ind w:left="120" w:right="260" w:firstLine="440"/>
        <w:spacing w:after="0" w:line="254" w:lineRule="auto"/>
        <w:rPr>
          <w:sz w:val="20"/>
          <w:szCs w:val="20"/>
          <w:color w:val="auto"/>
        </w:rPr>
      </w:pPr>
      <w:r>
        <w:rPr>
          <w:rFonts w:ascii="Times New Roman" w:cs="Times New Roman" w:eastAsia="Times New Roman" w:hAnsi="Times New Roman"/>
          <w:sz w:val="18"/>
          <w:szCs w:val="18"/>
          <w:color w:val="auto"/>
        </w:rPr>
        <w:t>Generally, we intend to issue new shares to implement the plan, when our shares are trading at a premium to our NAV per share.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New York Stock Exchange on the valuation date for such distribution. Market price per share on that date will be the closing price for such shares on The New York Stock Exchange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92"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Except as described below,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Additionally, there are brokerage commissions, currently $0.03 per share, incurred in connection with open market purchases.</w:t>
      </w:r>
    </w:p>
    <w:p>
      <w:pPr>
        <w:spacing w:after="0" w:line="180"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Stockholders who receive dividends and other distributions in the form of stock are generally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81" w:lineRule="exact"/>
        <w:rPr>
          <w:sz w:val="20"/>
          <w:szCs w:val="20"/>
          <w:color w:val="auto"/>
        </w:rPr>
      </w:pPr>
    </w:p>
    <w:p>
      <w:pPr>
        <w:ind w:left="120" w:right="160" w:firstLine="440"/>
        <w:spacing w:after="0" w:line="284" w:lineRule="auto"/>
        <w:rPr>
          <w:sz w:val="20"/>
          <w:szCs w:val="20"/>
          <w:color w:val="auto"/>
        </w:rPr>
      </w:pPr>
      <w:r>
        <w:rPr>
          <w:rFonts w:ascii="Times New Roman" w:cs="Times New Roman" w:eastAsia="Times New Roman" w:hAnsi="Times New Roman"/>
          <w:sz w:val="18"/>
          <w:szCs w:val="18"/>
          <w:color w:val="auto"/>
        </w:rPr>
        <w:t xml:space="preserve">Participants may terminate their accounts under the plan by notifying the plan administrator via its website at </w:t>
      </w:r>
      <w:r>
        <w:rPr>
          <w:rFonts w:ascii="Times New Roman" w:cs="Times New Roman" w:eastAsia="Times New Roman" w:hAnsi="Times New Roman"/>
          <w:sz w:val="18"/>
          <w:szCs w:val="18"/>
          <w:i w:val="1"/>
          <w:iCs w:val="1"/>
          <w:u w:val="single" w:color="auto"/>
          <w:color w:val="auto"/>
        </w:rPr>
        <w:t>www.amstock.com</w:t>
      </w:r>
      <w:r>
        <w:rPr>
          <w:rFonts w:ascii="Times New Roman" w:cs="Times New Roman" w:eastAsia="Times New Roman" w:hAnsi="Times New Roman"/>
          <w:sz w:val="18"/>
          <w:szCs w:val="18"/>
          <w:color w:val="auto"/>
        </w:rPr>
        <w:t xml:space="preserve"> or by filling out the transaction request form located at bottom of their statement and sending it to the plan administrator.</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&amp; Trust Company, LLC, 6201 15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Avenue, 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xml:space="preserve"> Floor, Brooklyn, New York 11219, or by the plan administrator’s Interactive Voice Response System at 1-800-278-4353.</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OUR CAPITAL STOCK</w:t>
      </w:r>
    </w:p>
    <w:p>
      <w:pPr>
        <w:spacing w:after="0" w:line="229"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As of March 31, 2022, our authorized capital stock consisted of 100,000,000 shares of stock, par value $0.001 per share, all of which is classified as common stock. Our common stock is quoted on The New York Stock Exchange under the ticker symbol “PNNT.”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last reported closing market price of our common stock on April 19, 2022 was $7.95 per share. As of March 31, 2022, we had 6 stockholders of record.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are our outstanding classes of securities as of March 31, 2022:</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150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6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Amount Held by</w:t>
            </w: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5320" w:type="dxa"/>
            <w:vAlign w:val="bottom"/>
            <w:vMerge w:val="restart"/>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56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Us or for Our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5320" w:type="dxa"/>
            <w:vAlign w:val="bottom"/>
            <w:vMerge w:val="continue"/>
          </w:tcPr>
          <w:p>
            <w:pPr>
              <w:spacing w:after="0"/>
              <w:rPr>
                <w:sz w:val="15"/>
                <w:szCs w:val="15"/>
                <w:color w:val="auto"/>
              </w:rPr>
            </w:pPr>
          </w:p>
        </w:tc>
        <w:tc>
          <w:tcPr>
            <w:tcW w:w="1500" w:type="dxa"/>
            <w:vAlign w:val="bottom"/>
            <w:gridSpan w:val="2"/>
          </w:tcPr>
          <w:p>
            <w:pPr>
              <w:jc w:val="center"/>
              <w:ind w:right="520"/>
              <w:spacing w:after="0" w:line="160"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1560" w:type="dxa"/>
            <w:vAlign w:val="bottom"/>
            <w:gridSpan w:val="2"/>
          </w:tcPr>
          <w:p>
            <w:pPr>
              <w:jc w:val="center"/>
              <w:ind w:right="520"/>
              <w:spacing w:after="0" w:line="160" w:lineRule="exact"/>
              <w:rPr>
                <w:sz w:val="20"/>
                <w:szCs w:val="20"/>
                <w:color w:val="auto"/>
              </w:rPr>
            </w:pPr>
            <w:r>
              <w:rPr>
                <w:rFonts w:ascii="Times New Roman" w:cs="Times New Roman" w:eastAsia="Times New Roman" w:hAnsi="Times New Roman"/>
                <w:sz w:val="14"/>
                <w:szCs w:val="14"/>
                <w:b w:val="1"/>
                <w:bCs w:val="1"/>
                <w:color w:val="auto"/>
              </w:rPr>
              <w:t>Account</w:t>
            </w:r>
          </w:p>
        </w:tc>
        <w:tc>
          <w:tcPr>
            <w:tcW w:w="92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03"/>
        </w:trPr>
        <w:tc>
          <w:tcPr>
            <w:tcW w:w="61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Common Stock, par value $0.001 per share</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100,000,000</w:t>
            </w:r>
          </w:p>
        </w:tc>
        <w:tc>
          <w:tcPr>
            <w:tcW w:w="5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ind w:left="7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8"/>
              </w:rPr>
              <w:t>66,131,651</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assets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PennantPark Investment,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jc w:val="both"/>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Maryland law permits a Maryland corporation to include in its charter a provision eliminating the liability of its directors and officers to the corporation and its stockholders for money damages except for liability resulting from (a) actual receipt of an improper benefit or profit in money, property or services or (b) active and deliberate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charter authorizes us, to the maximum extent permitted by Maryland law and subject to the requirements of the 1940 Act, to obligate us to indemnify, and to pay or reimburse reasonable expenses in advance of final disposition of a proceeding to,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8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without requiring a preliminary determination of the ultimate entitlement to indemnification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94"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indemnification provided for in our charter and bylaws, we have entered into indemnification agreements with each of our current directors and certain of our officers that provide for the maximum indemnification permitted under Maryland law and the 1940 Act.</w:t>
      </w:r>
    </w:p>
    <w:p>
      <w:pPr>
        <w:spacing w:after="0" w:line="16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Provisions of the Maryland General Corporation Law and our Charter and Bylaws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Our board of directors is divided into three classes of directors serving staggered three-year terms. The terms of the first, second and third classes will expire at the annual meeting of stockholders held in 2023, 2024 and 2025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Election of directors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charter and bylaws provide that the affirmative vote of the holders of a majority of the outstanding shares of stock entitled to vote in the election of directors will be required to elect a director. Pursuant to the charter, our board of directors may amend the bylaws to alter the vote required to elect directors.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 vacancies; removal</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92"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Our charter provides that a director may be removed only for cause, as defined in our charter, and then only by the affirmative vote of at least two-thirds of the votes entitled to be cast generally in the election of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Action by stockholders</w:t>
      </w:r>
    </w:p>
    <w:p>
      <w:pPr>
        <w:spacing w:after="0" w:line="121"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Advance notice provisions for stockholder nominations and stockholder proposals</w:t>
      </w:r>
    </w:p>
    <w:p>
      <w:pPr>
        <w:spacing w:after="0" w:line="121"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or at the direction of the board of directors or (3) by a stockholder who was a stockholder of record at the time of provision of notice and at the time of the meeting,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by or at the direction of the board of directors or (2) provided that the special meeting has been called in accordance with our bylaws for the purposes of electing directors by a stockholder who was a stockholder of record at the time of provision of notice and at the time of the meeting, who is entitled to vote at the meeting and who has complied with the advance notice provisions of the bylaws.</w:t>
      </w:r>
    </w:p>
    <w:p>
      <w:pPr>
        <w:spacing w:after="0" w:line="17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Calling of special meetings of stockholders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Approval of extraordinary corporate action; amendment of charter and bylaws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Maryland law, a Maryland corporation generally cannot dissolve, amend its charter, merge, convert,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00"/>
          </w:cols>
          <w:pgMar w:left="320" w:top="455" w:right="47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Our charter and bylaws provide that the board of directors will have the exclusive power to adopt, alter or repeal any provision of our bylaws and to make new bylaws.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appraisal rights</w:t>
      </w:r>
    </w:p>
    <w:p>
      <w:pPr>
        <w:spacing w:after="0" w:line="121"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Except with respect to appraisal rights arising in connection with the Control Share Acquisition Act discussed below, as permitted by the Maryland General Corporation Law, our charter provides that stockholders will not be entitled to exercise appraisal rights.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Control share acquisitions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bylaws contain a provision exempting from the Control Share Acquisition Act any and all acquisitions by any person of shares of our stock.</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can be no assurance that such provision will not be amended or eliminated at any time in the future to the extent permitted by the 1940 Act.</w:t>
      </w:r>
    </w:p>
    <w:p>
      <w:pPr>
        <w:spacing w:after="0" w:line="20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93"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one-tenth or more but less than one-third;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or more but less than a majority;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or more of all voting power.</w:t>
      </w:r>
    </w:p>
    <w:p>
      <w:pPr>
        <w:spacing w:after="0" w:line="225"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or shares acquired directly from the corporation. A control share acquisition means the acquisition of control shares, subject to certain exceptions.</w:t>
      </w:r>
    </w:p>
    <w:p>
      <w:pPr>
        <w:spacing w:after="0" w:line="176"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any meeting of stockholders at which the voting rights of the shares are considered and not approved or, if no such meeting is held, as of the date of the last control share acquisition by the acquirer.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00"/>
          </w:cols>
          <w:pgMar w:left="320" w:top="455" w:right="47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ind w:left="120" w:right="440" w:firstLine="440"/>
        <w:spacing w:after="0" w:line="261" w:lineRule="auto"/>
        <w:rPr>
          <w:sz w:val="20"/>
          <w:szCs w:val="20"/>
          <w:color w:val="auto"/>
        </w:rPr>
      </w:pPr>
      <w:r>
        <w:rPr>
          <w:rFonts w:ascii="Times New Roman" w:cs="Times New Roman" w:eastAsia="Times New Roman" w:hAnsi="Times New Roman"/>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85"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beneficially owns, directly or indirectly, 10% or more of the voting power of the corporation’s shares; or</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or associate of the corporation who, at any time within the two-year period prior to the date in question, was the beneficial owner, directly or indirectly, of 10% or more of the voting power of the then outstanding voting stock of the corporation.</w:t>
      </w:r>
    </w:p>
    <w:p>
      <w:pPr>
        <w:spacing w:after="0" w:line="162"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7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67"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of the votes entitled to be cast by holders of outstanding shares of voting stock of the corporation; and</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76" w:lineRule="exact"/>
        <w:rPr>
          <w:sz w:val="20"/>
          <w:szCs w:val="20"/>
          <w:color w:val="auto"/>
        </w:rPr>
      </w:pPr>
    </w:p>
    <w:p>
      <w:pPr>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40"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Conflict with 1940 Act</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bylaws provide that, 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OUR PREFERRED STOCK</w:t>
      </w:r>
    </w:p>
    <w:p>
      <w:pPr>
        <w:spacing w:after="0" w:line="22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66</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3</w:t>
      </w:r>
      <w:r>
        <w:rPr>
          <w:rFonts w:ascii="Times New Roman" w:cs="Times New Roman" w:eastAsia="Times New Roman" w:hAnsi="Times New Roman"/>
          <w:sz w:val="18"/>
          <w:szCs w:val="18"/>
          <w:color w:val="auto"/>
        </w:rPr>
        <w:t>%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8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For any series of preferred stock that we may issue, our board of directors will determine and the prospectus supplement relating to such series will describe:</w:t>
      </w:r>
    </w:p>
    <w:p>
      <w:pPr>
        <w:spacing w:after="0" w:line="67"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number of shares of such series;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convertibility or exchangeability of the shares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preferences, if any, of holders of shares of such series upon our liquidation, dissolution or winding up of our affairs;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powers, if any, of the holders of shares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the redemption of the shares of such series;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our ability to pay dividends or make distributions on, or acquire or redeem, other securities while shares of such series are outstanding;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conditions or restrictions on our ability to issue additional shares of such series or other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and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relative power, preferences and participating, optional or special rights of shares of such series, and the qualifications, limitations or restrictions thereof.</w:t>
      </w:r>
    </w:p>
    <w:p>
      <w:pPr>
        <w:spacing w:after="0" w:line="16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00"/>
          </w:cols>
          <w:pgMar w:left="320" w:top="455" w:right="47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OUR WARRANTS</w:t>
      </w:r>
    </w:p>
    <w:p>
      <w:pPr>
        <w:spacing w:after="0" w:line="22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such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warrants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the price of such warrants may be payable;</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81"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warrants will commence and the date on which such right will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warrants will be issued in registered form or bearer form;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warrants which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such warrants and the related securities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warrants, including terms, procedures and limitations relating to the exchange and exercise of such warrants.</w:t>
      </w:r>
    </w:p>
    <w:p>
      <w:pPr>
        <w:spacing w:after="0" w:line="225"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the 1940 Act, we may generally only offer warrants provided that (1) the warrants expire by their terms within ten years, (2) the exercise price is not less than the market value of our common stock at the date of issuance, (3) if no such market value exists for our common stock, the exercise price is not less than the then current NAV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OUR SUBSCRIPTION RIGHTS</w:t>
      </w:r>
    </w:p>
    <w:p>
      <w:pPr>
        <w:spacing w:after="0" w:line="22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94"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would describe the following terms of subscription rights in respect of which this prospectus is being delivered:</w:t>
      </w:r>
    </w:p>
    <w:p>
      <w:pPr>
        <w:spacing w:after="0" w:line="67"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subscription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or a formula for the determination of the exercise price for such subscription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or a formula for the determination of the number of such subscription rights issued to each stockholder;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are transferable;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the material U.S. federal income tax considerations applicable to the issuance or exercise of such subscription rights;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subscription rights would commence, and the date on which such rights will expire (subject to any extension);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include an over-subscription privilege with respect to unsubscribed securities;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other purchase arrangement that we may enter into in connection with the subscription rights offering; and</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subscription rights, including terms, procedures and limitations relating to the exchange and exercise of such subscription rights.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of Subscription Rights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80"/>
          </w:cols>
          <w:pgMar w:left="320" w:top="455" w:right="49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80"/>
          </w:cols>
          <w:pgMar w:left="320" w:top="455" w:right="49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OUR DEBT SECURITIES</w:t>
      </w:r>
    </w:p>
    <w:p>
      <w:pPr>
        <w:spacing w:after="0" w:line="22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October 2021, we issued $165.0 million in aggregate principal amount of our 2026 Notes-2 at a public offering price per note of 99.436%. Interest on the 2026 Notes is paid semi-annually on May 1 and November 1 of each year, at a rate of 4.00% per year, commencing May 1, 2022. The 2026 Notes-2 mature on November 1, 2026 and may be redeemed in whole or in part at our option subject to a make-whole premium if redeemed more than three months prior to maturity. The 2026 Notes-2 are general, unsecured obligations and rank equal in right of payment with all of our existing and future senior unsecured indebtedness. The 2026 Notes-2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Notes-2 on any securities exchange or automated dealer quotation system.</w:t>
      </w:r>
    </w:p>
    <w:p>
      <w:pPr>
        <w:spacing w:after="0" w:line="19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April 2021, we issued $150.0 million in aggregate principal amount of our 2026 Notes at a public offering price per note of 99.4%. Interest on the 2026 Notes is paid semi-annually on May 1 and November 1 of each year, at a rate of 4.50% per year, commencing November 1, 2021. The 2026 Notes mature on May 1, 2026 and may be redeemed in whole or in part at our option subject to a make-whole premium if redeemed more than three months prior to maturity. The 2026 Notes are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192"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may issue additional debt securities in one or more series. The specific terms of each additional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required by federal law for all bonds and notes of companies that are publicly offered in the United States,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see “Description of our Debt Securities—Events of Default” for more information. Second, the trustee performs certain administrative duties for us, such as sending interest and principal payments to holders.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Because this section is a summary, it does not describe every aspect of the debt securities and the indenture. We urge you to read the indenture because it, and not this description, defines your rights as a holder of debt securities issued pursuant to this prospectus and any accompanying prospectus supplement. For example, in this section, we use capitalized words to signify terms that are specifically defined in the indenture. Some of the definitions are repeated in this prospectus, but for the rest, you will need to read the indenture. See “Available Information” for information on how to obtain a copy of the indenture.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prospectus supplement, which will accompany this prospectus, will describe the particular series of debt securities being offered by including:</w:t>
      </w:r>
    </w:p>
    <w:p>
      <w:pPr>
        <w:spacing w:after="0" w:line="131"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or title of the series of debt securities;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series of debt securities and whether or not the offering may be reopened for additional securities of that series and on what terms;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principal amount at which the series of debt securities will be offered;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will be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either fixed or variable) and/or the method of determining such rate or rates of interest, if any;</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any interest will accrue, or the method of determining such date or dates, and the date or dates on which any interest will be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for redemption, extension or early repayment,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currencies in which the series of debt securities are issued and payable;</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1"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if any, other than or in addition to The City of New York, of payment, transfer, conversion and/or exchange of the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offered debt securities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any sinking fund;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restrictive covenants;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series of debt securities are issuable in certificated form;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defeasance or covenant defeasance;</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special federal income tax implications, including, if applicable, federal income tax considerations relating to original issue discount, or “OID”;</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convertibility or exchangeability of the debt securities into or for any other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subject to subordination and the terms of such subordination;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listing, if any, on a securities exchange;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debt securities may be secured or unsecured obligations. Under the provisions of the 1940 Act, we are permitted, as a BDC, to issue debt only in amounts such that we are in compliance with our asset coverage ratio, as defined in the 1940 Act, excluding the SBA debentures due to SEC exemptive relief granted in June 2011. Unless the prospectus supplement states otherwise, principal (and premium, if any) and interest, if any, will be paid by us in immediately available funds.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indenture provides that any debt securities proposed to be sold under this prospectus and any prospectus supplement, or offered debt securities, and any debt securities issuable upon the exercise of warrants or upon conversion or exchange of other offered securities, or underlying debt securities may be issued under the indenture in one or more series.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00"/>
          </w:cols>
          <w:pgMar w:left="320" w:top="455" w:right="47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6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9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indenture does not contain any provisions that give you protection in the event we issue a large amount of debt or we are acquired by another entity.</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 prospectus supplement will contain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76"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If any debt securities are convertible into shares of our common stock, the exercise price for such conversion will not be less than the NAV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NAV per share in the 12 months preceding the issuance and the exercise price closely approximates the market value of our common stock at the time the debt securities are issued).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and Exchange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Issuance of Securities in Registered Form</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00"/>
          </w:cols>
          <w:pgMar w:left="320" w:top="455" w:right="47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60" w:firstLine="440"/>
        <w:spacing w:after="0" w:line="258" w:lineRule="auto"/>
        <w:rPr>
          <w:sz w:val="20"/>
          <w:szCs w:val="20"/>
          <w:color w:val="auto"/>
        </w:rPr>
      </w:pPr>
      <w:r>
        <w:rPr>
          <w:rFonts w:ascii="Times New Roman" w:cs="Times New Roman" w:eastAsia="Times New Roman" w:hAnsi="Times New Roman"/>
          <w:sz w:val="18"/>
          <w:szCs w:val="18"/>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Book-Entry Holders</w:t>
      </w:r>
    </w:p>
    <w:p>
      <w:pPr>
        <w:spacing w:after="0" w:line="11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83"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Street Name Holders</w:t>
      </w:r>
    </w:p>
    <w:p>
      <w:pPr>
        <w:spacing w:after="0" w:line="11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Legal Holders</w:t>
      </w:r>
    </w:p>
    <w:p>
      <w:pPr>
        <w:spacing w:after="0" w:line="11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40"/>
          </w:cols>
          <w:pgMar w:left="320" w:top="455" w:right="4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83"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Special Considerations for Indirect Holders</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If you hold debt securities through a bank, broker or other financial institution, either in book-entry form or in street name, we urge you to check with that institution to find out:</w:t>
      </w:r>
    </w:p>
    <w:p>
      <w:pPr>
        <w:spacing w:after="0" w:line="67"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handles securities payments and notices;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imposes fees or charges;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handle a request for the holders’ consent, if ever required;</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how you can instruct it to send you debt securities registered in your own name so you can be a holder, if that is permitted in the future for a particular series of debt securities;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exercise rights under the debt securities if there were a default or other event triggering the need for holders to act to protect their interests;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are in book-entry form, how the depositary’s rules and procedures will affect these matters.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00"/>
          </w:cols>
          <w:pgMar w:left="320" w:top="455" w:right="47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Special Considerations for Global Securities</w:t>
      </w:r>
    </w:p>
    <w:p>
      <w:pPr>
        <w:spacing w:after="0" w:line="119"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debt securities are issued only in the form of a global security, an investor should be aware of the following:</w:t>
      </w:r>
    </w:p>
    <w:p>
      <w:pPr>
        <w:spacing w:after="0" w:line="131" w:lineRule="exact"/>
        <w:rPr>
          <w:sz w:val="20"/>
          <w:szCs w:val="20"/>
          <w:color w:val="auto"/>
        </w:rPr>
      </w:pPr>
    </w:p>
    <w:p>
      <w:pPr>
        <w:ind w:left="1080" w:right="24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sell interests in the debt securities to some insurance companies and other institutions that are required by law to own their securities in non-book-entry form;</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67" w:lineRule="exact"/>
        <w:rPr>
          <w:rFonts w:ascii="Times New Roman" w:cs="Times New Roman" w:eastAsia="Times New Roman" w:hAnsi="Times New Roman"/>
          <w:sz w:val="18"/>
          <w:szCs w:val="18"/>
          <w:color w:val="auto"/>
        </w:rPr>
      </w:pPr>
    </w:p>
    <w:p>
      <w:pPr>
        <w:jc w:val="both"/>
        <w:ind w:left="1080" w:right="40" w:hanging="424"/>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67" w:lineRule="exact"/>
        <w:rPr>
          <w:rFonts w:ascii="Times New Roman" w:cs="Times New Roman" w:eastAsia="Times New Roman" w:hAnsi="Times New Roman"/>
          <w:sz w:val="18"/>
          <w:szCs w:val="18"/>
          <w:color w:val="auto"/>
        </w:rPr>
      </w:pPr>
    </w:p>
    <w:p>
      <w:pPr>
        <w:jc w:val="both"/>
        <w:ind w:left="1080" w:right="460" w:hanging="424"/>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81"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81"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Special Situations when a Global Security Will Be Terminated</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00"/>
          </w:cols>
          <w:pgMar w:left="320" w:top="455" w:right="47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special situations for termination of a global security are as follows:</w:t>
      </w:r>
    </w:p>
    <w:p>
      <w:pPr>
        <w:spacing w:after="0" w:line="131" w:lineRule="exact"/>
        <w:rPr>
          <w:sz w:val="20"/>
          <w:szCs w:val="20"/>
          <w:color w:val="auto"/>
        </w:rPr>
      </w:pPr>
    </w:p>
    <w:p>
      <w:pPr>
        <w:ind w:left="1080" w:right="14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notify the trustee that we wish to terminate that global security; or</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Payments on Global Securities</w:t>
      </w:r>
    </w:p>
    <w:p>
      <w:pPr>
        <w:spacing w:after="0" w:line="119"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Payments on Certificated Securities</w:t>
      </w:r>
    </w:p>
    <w:p>
      <w:pPr>
        <w:spacing w:after="0" w:line="119"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00"/>
          </w:cols>
          <w:pgMar w:left="320" w:top="455" w:right="47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Payment When Offices Are Closed</w:t>
      </w:r>
    </w:p>
    <w:p>
      <w:pPr>
        <w:spacing w:after="0" w:line="11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80"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Book-entry and other indirect holders should consult their banks or brokers for information on how they will receive payments on their debt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You will have rights if an Event of Default occurs in respect of the debt securities of your series and is not cured, as described later in this subsection.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term “Event of Default” in respect of the debt securities of your series means any of the following:</w:t>
      </w:r>
    </w:p>
    <w:p>
      <w:pPr>
        <w:spacing w:after="0" w:line="131"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the principal of, or any premium on, a debt security of the series on its due 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interest on a debt security of the series within 30 days of its due 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deposit any sinking fund payment in respect of debt securities of the series on its due date;</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file for bankruptcy or certain other events of bankruptcy, insolvency or reorganization occur; and</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in respect of debt securities of the series described in the prospectus supplement occurs, including certain defaults by any of our significant subsidiaries.</w:t>
      </w:r>
    </w:p>
    <w:p>
      <w:pPr>
        <w:spacing w:after="0" w:line="16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Remedies if an Event of Default Occurs</w:t>
      </w:r>
    </w:p>
    <w:p>
      <w:pPr>
        <w:spacing w:after="0" w:line="11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40"/>
          </w:cols>
          <w:pgMar w:left="320" w:top="455" w:right="5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67"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give the trustee written notice that an Event of Default has occurred and remains uncured;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must not have taken action for 60 days after receipt of the above notice and offer of indemnity; and</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principal amount of the debt securities must not have given the trustee a direction inconsistent with the above notice during that 60-day period.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However, you are entitled at any time to bring a lawsuit for the payment of money due on your debt securities on or after the due date.</w:t>
      </w:r>
    </w:p>
    <w:p>
      <w:pPr>
        <w:spacing w:after="0" w:line="221"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5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Waiver of Default</w:t>
      </w:r>
    </w:p>
    <w:p>
      <w:pPr>
        <w:spacing w:after="0" w:line="11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 or Consolidation</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67" w:lineRule="exact"/>
        <w:rPr>
          <w:sz w:val="20"/>
          <w:szCs w:val="20"/>
          <w:color w:val="auto"/>
        </w:rPr>
      </w:pPr>
    </w:p>
    <w:p>
      <w:pPr>
        <w:ind w:left="1080" w:right="26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we merge out of existence or sell our assets, the resulting entity must agree to be legally responsible for our obligations under the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alternatively, we must be the surviving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transaction no event of default will exist;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certain certificates and documents to the trustee;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satisfy any other requirements specified in the prospectus supplement relating to a particular series of debt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or Waiver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three types of changes we can make to the indenture and the debt securities issued thereunder.</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Changes Requiring Your Approval</w:t>
      </w:r>
    </w:p>
    <w:p>
      <w:pPr>
        <w:spacing w:after="0" w:line="119"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First, there are changes that we cannot make to your debt securities without your specific approval. The following is a list of those types of changes:</w:t>
      </w:r>
    </w:p>
    <w:p>
      <w:pPr>
        <w:spacing w:after="0" w:line="67" w:lineRule="exact"/>
        <w:rPr>
          <w:sz w:val="20"/>
          <w:szCs w:val="20"/>
          <w:color w:val="auto"/>
        </w:rPr>
      </w:pPr>
    </w:p>
    <w:p>
      <w:pPr>
        <w:ind w:left="5540" w:right="4660" w:hanging="4884"/>
        <w:spacing w:after="0" w:line="454" w:lineRule="auto"/>
        <w:tabs>
          <w:tab w:leader="none" w:pos="109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interest on a debt security; 57</w:t>
      </w:r>
    </w:p>
    <w:p>
      <w:pPr>
        <w:sectPr>
          <w:pgSz w:w="11900" w:h="16838" w:orient="portrait"/>
          <w:cols w:equalWidth="0" w:num="1">
            <w:col w:w="11120"/>
          </w:cols>
          <w:pgMar w:left="320" w:top="455" w:right="4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amounts due on a debt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principal payable upon acceleration of the maturity of a security following a default;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of repayment at the holder’s option;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or currency of payment on a debt security (except as otherwise described in the prospectus or prospectus supplement);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your right to sue for payment;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to convert or exchange a debt security in accordance with its terms;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whose consent is needed to modify or amend the indenture;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whose consent is needed to waive compliance with certain provisions of the indenture or to waive certain defaults;</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we have to pay additional amounts.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Changes Not Requiring Approval</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Changes Requiring Majority Approval</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other change to the indenture and the debt securities would require the following approval:</w:t>
      </w:r>
    </w:p>
    <w:p>
      <w:pPr>
        <w:spacing w:after="0" w:line="131" w:lineRule="exact"/>
        <w:rPr>
          <w:sz w:val="20"/>
          <w:szCs w:val="20"/>
          <w:color w:val="auto"/>
        </w:rPr>
      </w:pPr>
    </w:p>
    <w:p>
      <w:pPr>
        <w:ind w:left="1080" w:right="16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one series of debt securities, it must be approved by the holders of a majority in principal amount of that series;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each case, the required approval must be given by written consent.</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Further Details Concerning Voting</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1080" w:right="68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OID securities, we will use the principal amount that would be due and payable on the voting date if the maturity of these debt securities were accelerated to that date because of a default;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55" w:right="45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16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securities whose principal amount is not known (for example, because it is based on an index), we will use a special rule for that debt security described in the prospectus supplement;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securities denominated in one or more foreign currencies, we will use the U.S. dollar equivalent.</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83" w:lineRule="exact"/>
        <w:rPr>
          <w:sz w:val="20"/>
          <w:szCs w:val="20"/>
          <w:color w:val="auto"/>
        </w:rPr>
      </w:pPr>
    </w:p>
    <w:p>
      <w:pPr>
        <w:ind w:left="120"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Covenant Defeasance</w:t>
      </w:r>
    </w:p>
    <w:p>
      <w:pPr>
        <w:spacing w:after="0" w:line="11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 Subordination” below. In order to achieve covenant defeasance, we must do the following:</w:t>
      </w:r>
    </w:p>
    <w:p>
      <w:pPr>
        <w:spacing w:after="0" w:line="89" w:lineRule="exact"/>
        <w:rPr>
          <w:sz w:val="20"/>
          <w:szCs w:val="20"/>
          <w:color w:val="auto"/>
        </w:rPr>
      </w:pPr>
    </w:p>
    <w:p>
      <w:pPr>
        <w:ind w:left="1080" w:right="80" w:hanging="424"/>
        <w:spacing w:after="0" w:line="266"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81"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16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00"/>
          </w:cols>
          <w:pgMar w:left="320" w:top="455" w:right="47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Full Defeasance</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67" w:lineRule="exact"/>
        <w:rPr>
          <w:sz w:val="20"/>
          <w:szCs w:val="20"/>
          <w:color w:val="auto"/>
        </w:rPr>
      </w:pPr>
    </w:p>
    <w:p>
      <w:pPr>
        <w:ind w:left="1080" w:right="100" w:hanging="424"/>
        <w:spacing w:after="0" w:line="266"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81" w:lineRule="exact"/>
        <w:rPr>
          <w:rFonts w:ascii="Times New Roman" w:cs="Times New Roman" w:eastAsia="Times New Roman" w:hAnsi="Times New Roman"/>
          <w:sz w:val="18"/>
          <w:szCs w:val="18"/>
          <w:color w:val="auto"/>
        </w:rPr>
      </w:pPr>
    </w:p>
    <w:p>
      <w:pPr>
        <w:ind w:left="1080" w:right="60" w:hanging="424"/>
        <w:spacing w:after="0" w:line="256"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deliver to the trustee a legal opinion confirming that there has been a change in current U.S. federal tax law or an Internal Revenue Service, or IRS,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92"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of our counsel stating that the above deposit does not require registration by us under the 1940 Act and a legal opinion and officers’ certificate certifying compliance with all conditions precedent to defeasance.</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Exchange and Transfer of Certificated Registered Securities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registered debt securities cease to be issued in book-entry form, they will be issued:</w:t>
      </w:r>
    </w:p>
    <w:p>
      <w:pPr>
        <w:spacing w:after="0" w:line="131" w:lineRule="exact"/>
        <w:rPr>
          <w:sz w:val="20"/>
          <w:szCs w:val="20"/>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in fully registered certificated form;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interest coupons;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indicate otherwise in the prospectus supplement, in denominations of $1,000 and amounts that are multiples of $1,000.</w:t>
      </w:r>
    </w:p>
    <w:p>
      <w:pPr>
        <w:spacing w:after="0" w:line="225"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76"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83"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Resignation of Trustee</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Indenture Provisions—Subordination</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8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1080" w:right="360" w:hanging="424"/>
        <w:spacing w:after="0" w:line="261"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renewals, extensions, modifications and refinancings of any of this indebtedness.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55" w:right="4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this prospectus is being delivered in connection with the offering of a series of indenture securities denominated as subordinated debt securities, the prospectus supplement will set forth the approximate amount of our Senior Indebtedness outstanding as of a recent date.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Trustee under the Indenture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American Stock Transfer &amp; Trust Company, LLC is the trustee under the indenture.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Considerations Relating to Foreign Currencies</w:t>
      </w:r>
    </w:p>
    <w:p>
      <w:pPr>
        <w:spacing w:after="0" w:line="121" w:lineRule="exact"/>
        <w:rPr>
          <w:sz w:val="20"/>
          <w:szCs w:val="20"/>
          <w:color w:val="auto"/>
        </w:rPr>
      </w:pPr>
    </w:p>
    <w:p>
      <w:pPr>
        <w:ind w:left="120" w:right="460" w:firstLine="440"/>
        <w:spacing w:after="0" w:line="261" w:lineRule="auto"/>
        <w:rPr>
          <w:sz w:val="20"/>
          <w:szCs w:val="20"/>
          <w:color w:val="auto"/>
        </w:rPr>
      </w:pPr>
      <w:r>
        <w:rPr>
          <w:rFonts w:ascii="Times New Roman" w:cs="Times New Roman" w:eastAsia="Times New Roman" w:hAnsi="Times New Roman"/>
          <w:sz w:val="18"/>
          <w:szCs w:val="18"/>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80"/>
          </w:cols>
          <w:pgMar w:left="320" w:top="455" w:right="49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OUR UNITS</w:t>
      </w:r>
    </w:p>
    <w:p>
      <w:pPr>
        <w:spacing w:after="0" w:line="22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As specified in the applicable prospectus supplement, we may issue units comprised of one or more of the other securities described in this prospectus in any combination. Each unit may also include securities issued by the U.S. Treasury. Each unit will be issued so that the holder of the unit is also the holder of each security included in the unit. Thus, the holder of a unit will have the rights and obligations of a holder of each included security. The prospectus supplement will describe:</w:t>
      </w:r>
    </w:p>
    <w:p>
      <w:pPr>
        <w:spacing w:after="0" w:line="85" w:lineRule="exact"/>
        <w:rPr>
          <w:sz w:val="20"/>
          <w:szCs w:val="20"/>
          <w:color w:val="auto"/>
        </w:rPr>
      </w:pPr>
    </w:p>
    <w:p>
      <w:pPr>
        <w:ind w:left="1080" w:right="42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the securities comprising the units may be held or transferred separately;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terms of any unit agreement governing the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provisions for the payment, settlement, transfer or exchange of the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a unit includes a share of common stock, the public offering price for the unit will reflect a price per share of common stock that equals or exceeds our then current NAV per share, unless the requirements of Section 63 of the 1940 Act have been satisfied. Section 63 permits us to sell shares of common stock below our then current NAV per share if: (1) the majority of our board of directors approves the offering as being in the best interests of us and our stockholders, (2) a majority of our stockholders (including a majority of our stockholders who are not affiliated persons of us) have approved the issuance of common stock below the then current NAV per share in the 12 months preceding the offering and (3) the offering price closely approximates the market value of the common stock. If the requirements of Section 63 of the 1940 Act are met, the price per share of common stock included in a unit may be below the Company’s then current NAV per share. See “Sales of Common Stock Below Net Asset Value” for more information.</w:t>
      </w:r>
    </w:p>
    <w:p>
      <w:pPr>
        <w:spacing w:after="0" w:line="192" w:lineRule="exact"/>
        <w:rPr>
          <w:sz w:val="20"/>
          <w:szCs w:val="20"/>
          <w:color w:val="auto"/>
        </w:rPr>
      </w:pPr>
    </w:p>
    <w:p>
      <w:pPr>
        <w:ind w:left="120" w:right="400" w:firstLine="440"/>
        <w:spacing w:after="0" w:line="276" w:lineRule="auto"/>
        <w:rPr>
          <w:sz w:val="20"/>
          <w:szCs w:val="20"/>
          <w:color w:val="auto"/>
        </w:rPr>
      </w:pPr>
      <w:r>
        <w:rPr>
          <w:rFonts w:ascii="Times New Roman" w:cs="Times New Roman" w:eastAsia="Times New Roman" w:hAnsi="Times New Roman"/>
          <w:sz w:val="17"/>
          <w:szCs w:val="17"/>
          <w:color w:val="auto"/>
        </w:rPr>
        <w:t>Units may also include warrants to purchase shares of our common stock in the future. We may generally only offer such warrants if (1) the warrants expire by their terms within ten years, (2) the exercise price is not less than the market value of our common stock at the date of issuance,</w:t>
      </w:r>
    </w:p>
    <w:p>
      <w:pPr>
        <w:spacing w:after="0" w:line="1" w:lineRule="exact"/>
        <w:rPr>
          <w:sz w:val="20"/>
          <w:szCs w:val="20"/>
          <w:color w:val="auto"/>
        </w:rPr>
      </w:pPr>
    </w:p>
    <w:p>
      <w:pPr>
        <w:ind w:left="120" w:right="20" w:hanging="4"/>
        <w:spacing w:after="0" w:line="252" w:lineRule="auto"/>
        <w:tabs>
          <w:tab w:leader="none" w:pos="37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prices is not less than the then current NAV per share of our common stock (unless the Section 63 requirements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have been publicly distributed. The 1940 Act also provides that the amount of our voting securities that would result from the exercise of all outstanding warrants at the time of issuance may not exceed 25% of our outstanding voting securities.</w:t>
      </w:r>
    </w:p>
    <w:p>
      <w:pPr>
        <w:spacing w:after="0" w:line="19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Units may also include subscription rights to purchase shares of our common stock. We will not offer transferable subscription rights in a unit providing for subscription at a price below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w:t>
      </w:r>
    </w:p>
    <w:p>
      <w:pPr>
        <w:spacing w:after="0" w:line="180"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Units may also include debt securities. If such debt securities are convertible into shares of our common stock, the exercise price for such conversion will not be less than the NAV per share of our common stock at the time of issuance of the unit (unless the Section 63 requirements are met).</w:t>
      </w:r>
    </w:p>
    <w:p>
      <w:pPr>
        <w:spacing w:after="0" w:line="14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descriptions of the units and any applicable underlying security or pledge or depositary arrangements in this prospectus and in any prospectus supplement are summaries of the material provisions of the applicable agreements and are subject to, and qualified in their entirety by reference to, the terms and provisions of the applicable agreements, forms of which have been or will be filed as exhibits to the registration statement of which this prospectus forms a part.</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80"/>
          </w:cols>
          <w:pgMar w:left="320" w:top="455" w:right="49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BROKERAGE ALLOCATIONS AND OTHER PRACTICES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Investment,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PennantPark Investment will not necessarily pay the lowest spread or commission available. Subject to applicable legal requirements, the Investment Adviser may select a broker based partly upon brokerage or research services provided to the Investment Adviser and PennantPark Investment and any other clients. In return for such services, we may pay a higher commission than other brokers would charge if the Investment Adviser determines in good faith that such commission is reasonable in relation to the services provided.</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55" w:right="45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persons that have a functional currency (as such term is defined in the Code) other than the U.S. dollar, tax-exempt organizations, insurance companies, dealers in securities, pension plans and trusts, and financial institutions. This summary assumes that investors hold our common stock as capital assets (as such term is defined in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IRS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“U.S. stockholder” generally is a beneficial owner of shares of our common stock that is for U.S. federal income tax purposes:</w:t>
      </w:r>
    </w:p>
    <w:p>
      <w:pPr>
        <w:spacing w:after="0" w:line="131" w:lineRule="exact"/>
        <w:rPr>
          <w:sz w:val="20"/>
          <w:szCs w:val="20"/>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67"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court in the United States has primary supervision over its administration and one or more U.S. persons have the authority to control all substantial decisions of the trust, or the trust has a valid election in effect under applicable U.S. Treasury regulations to be treated as a U.S. person;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 “Non-U.S. stockholder” is a beneficial owner of shares of our common stock that is neither a U.S. stockholder nor a partnership for U.S. federal income tax purposes.</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80"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U.S. federal, state, local and foreign tax laws, eligibility for the benefits of any applicable tax treaty and the effect of any possible changes in the tax laws.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in Connection with Holding Securities other than our Common Stock</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OID or acquired with market discount or amortizable bond premium and the tax treatment of sales, exchanges or retirements of our debt securities. In addition, we may describe in the applicable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55" w:right="45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prospectus supplement the U.S. federal income tax considerations applicable to holders of our debt securities who are not “U.S. persons.”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Election to be Taxed as a RIC</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(as described below). We also must annually distribute dividends for U.S. federal income tax purposes to our stockholders of an amount generally at least equal to 90% of the sum of our ordinary income and realized net short-term capital gains in excess of realized net long-term capital losses, if any, or investment company taxable income, and determined without regard to any deduction for dividends paid, out of the assets legally available for distribution, or the Annual Distribution Requirement.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order to qualify as a RIC for federal income tax purposes, we must:</w:t>
      </w:r>
    </w:p>
    <w:p>
      <w:pPr>
        <w:spacing w:after="0" w:line="131" w:lineRule="exact"/>
        <w:rPr>
          <w:sz w:val="20"/>
          <w:szCs w:val="20"/>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 election to be treated as a BDC under the 1940 Act at all times during each taxable year;</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 our holdings, or the Diversification Tests, so that at the end of each quarter of the taxable year:</w:t>
      </w:r>
    </w:p>
    <w:p>
      <w:pPr>
        <w:spacing w:after="0" w:line="130" w:lineRule="exact"/>
        <w:rPr>
          <w:rFonts w:ascii="Times New Roman" w:cs="Times New Roman" w:eastAsia="Times New Roman" w:hAnsi="Times New Roman"/>
          <w:sz w:val="18"/>
          <w:szCs w:val="18"/>
          <w:color w:val="auto"/>
        </w:rPr>
      </w:pPr>
    </w:p>
    <w:p>
      <w:pPr>
        <w:ind w:left="1540" w:right="200" w:hanging="439"/>
        <w:spacing w:after="0" w:line="266" w:lineRule="auto"/>
        <w:tabs>
          <w:tab w:leader="none" w:pos="1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81" w:lineRule="exact"/>
        <w:rPr>
          <w:rFonts w:ascii="Times New Roman" w:cs="Times New Roman" w:eastAsia="Times New Roman" w:hAnsi="Times New Roman"/>
          <w:sz w:val="18"/>
          <w:szCs w:val="18"/>
          <w:color w:val="auto"/>
        </w:rPr>
      </w:pPr>
    </w:p>
    <w:p>
      <w:pPr>
        <w:jc w:val="both"/>
        <w:ind w:left="1540" w:hanging="439"/>
        <w:spacing w:after="0" w:line="266" w:lineRule="auto"/>
        <w:tabs>
          <w:tab w:leader="none" w:pos="1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our capital gain net income (i.e., the excess, if any, of our capital gains over capital losses), adjusted for certain ordinary losses, generally for the one-year period ending on October 31 of the calendar year plus (3) any net ordinary income or capital gain net income for the preceding years that was not distributed during such years on which we did not incur any corporate income tax, or the “Excise Tax Avoidance Requirement.”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treated as a RIC, in order to provide us with additional liquidity.</w:t>
      </w:r>
    </w:p>
    <w:p>
      <w:pPr>
        <w:spacing w:after="0" w:line="188"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While we intend to make sufficient distributions each taxable year to avoid incurring any material U.S. federal excise tax on our earnings, we may not be able to, or may choose not to, distribute amounts sufficient to avoid the imposition of the tax entirely. In that event, we generally will be liable for the excise tax only on the amount by which we do not meet the Excise Tax Avoidance Requirement. Under certain circumstances, however, we may, in our sole discretion, determine that it is in our best interests to retain a portion of our income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 capital gains rather than distribute such amount as dividends and accordingly cause us to bear the excise tax burden associated therewith.</w:t>
      </w:r>
    </w:p>
    <w:p>
      <w:pPr>
        <w:spacing w:after="0" w:line="225"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may invest in partnerships which may result in our being subject to additional state, local or foreign income, franchise or other tax liabilities. In addition, some of the income and fees that we may recognize will not satisfy the 90% Income Test. In order to mitigate the risk that such income and fees would disqualify us as a RIC as a result of a failure to satisfy the 90% Income Test, we may recognize such income and fees indirectly through the Taxable Subsidiary, which is classified as a corporation for U.S. federal income tax purposes. The Taxable Subsidiary generally will be subject to corporate income taxes on its earnings, which ultimately will reduce our return on such income and fees.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as a RIC</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If we qualify as a RIC, and satisfy the Annual Distribution Requirement, then we will not be subject to federal income tax on the portion of our investment company taxable income and net capital gains, determined without regard to any deduction for dividends paid, we distribute (or are deemed to have distributed)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deemed to have been distributed) as dividends for U.S. federal income tax purposes to our stockholders.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8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maintain our qualification to be subject to tax as a RIC.</w:t>
      </w:r>
    </w:p>
    <w:p>
      <w:pPr>
        <w:spacing w:after="0" w:line="183"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order to enable us to make distributions to stockholders that will be sufficient to enable us to satisfy the Annual Distribution Requirement and the Excise Tax Avoidance Requirement we may need to liquidate or sell some of our assets at times or at prices that are not advantageous, raise additional equity or debt capital, take out loans, forego new investment opportunities or otherwise take actions that are disadvantageous to our business (or be unable to take actions that are advantageous to our business). If we borrow money, we may be prevented by loan covenants from declaring and paying dividends in certain circumstances. Even if we are authorized to borrow funds and to sell assets in order to satisfy distribution requirements, under the 1940 Act, we are generally not permitted to make distributions to our stockholders while our debt obligations and senior securities are outstanding unless certain “asset coverage” tests or other financial covenants are met. Limits on our payment of dividends may prevent us from meeting the Annual Distribution Requirement, and may, therefore, jeopardize our qualification for taxation as a RIC, or subject us to the 4% excise tax on undistributed income.</w:t>
      </w:r>
    </w:p>
    <w:p>
      <w:pPr>
        <w:spacing w:after="0" w:line="188"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 portfolio company in which we invest may face financial difficulty that requires us to work-out, modify or otherwise restructure our investment in the portfolio company. Any such restructuring could, depending on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55" w:right="45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specific terms of the restructuring, cause us to recognize taxable income without a corresponding receipt of cash, which could affect our ability to satisfy the Annual Distribution Requirement or the Excise Tax Avoidance Requirement, or result in unusable capital losses and future non-cash income. Any such restructuring could also result in our receiving assets that give rise to non-qualifying gross income for purposes of the 90% Income Test.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Certain of our investment practices may be subject to special and complex U.S. federal income tax provisions that may, among other things,</w:t>
      </w:r>
    </w:p>
    <w:p>
      <w:pPr>
        <w:spacing w:after="0" w:line="27" w:lineRule="exact"/>
        <w:rPr>
          <w:sz w:val="20"/>
          <w:szCs w:val="20"/>
          <w:color w:val="auto"/>
        </w:rPr>
      </w:pPr>
    </w:p>
    <w:p>
      <w:pPr>
        <w:jc w:val="both"/>
        <w:ind w:left="120" w:right="120" w:hanging="4"/>
        <w:spacing w:after="0" w:line="250" w:lineRule="auto"/>
        <w:tabs>
          <w:tab w:leader="none" w:pos="36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disallow, suspend or otherwise limit the allowance of certain losses or deductions, (b) convert long-term capital gain (currently taxed at lower rates for non-corporate taxpayers) into higher taxed short-term capital gain or ordinary income, (c) convert an ordinary loss or a deduction into a capital loss (the deductibility of which is more limited), (d) adversely affect the time as to when a purchase or sale of stock or securities is deemed to occur,</w:t>
      </w:r>
    </w:p>
    <w:p>
      <w:pPr>
        <w:spacing w:after="0" w:line="1" w:lineRule="exact"/>
        <w:rPr>
          <w:rFonts w:ascii="Times New Roman" w:cs="Times New Roman" w:eastAsia="Times New Roman" w:hAnsi="Times New Roman"/>
          <w:sz w:val="18"/>
          <w:szCs w:val="18"/>
          <w:color w:val="auto"/>
        </w:rPr>
      </w:pPr>
    </w:p>
    <w:p>
      <w:pPr>
        <w:ind w:left="120" w:right="40" w:hanging="4"/>
        <w:spacing w:after="0" w:line="253" w:lineRule="auto"/>
        <w:tabs>
          <w:tab w:leader="none" w:pos="36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alter the characterization of certain complex financial transactions, (f) treat dividends that would otherwise constitute qualified dividend income as non- qualified dividend income, (g) cause us to recognize income or gain without receipt of a corresponding cash payment, and (h) produce income that will not be qualifying income for purposes of the 90% Income Test. We will monitor our transactions and may make certain tax elections in order to mitigate the effects of these provisions; however, no assurance can be given that we will be eligible for any such tax elections or that any elections we make will fully mitigate the effects of these provisions.</w:t>
      </w:r>
    </w:p>
    <w:p>
      <w:pPr>
        <w:spacing w:after="0" w:line="187" w:lineRule="exact"/>
        <w:rPr>
          <w:sz w:val="20"/>
          <w:szCs w:val="20"/>
          <w:color w:val="auto"/>
        </w:rPr>
      </w:pPr>
    </w:p>
    <w:p>
      <w:pPr>
        <w:ind w:left="120" w:right="580" w:firstLine="440"/>
        <w:spacing w:after="0" w:line="266" w:lineRule="auto"/>
        <w:rPr>
          <w:sz w:val="20"/>
          <w:szCs w:val="20"/>
          <w:color w:val="auto"/>
        </w:rPr>
      </w:pPr>
      <w:r>
        <w:rPr>
          <w:rFonts w:ascii="Times New Roman" w:cs="Times New Roman" w:eastAsia="Times New Roman" w:hAnsi="Times New Roman"/>
          <w:sz w:val="18"/>
          <w:szCs w:val="18"/>
          <w:color w:val="auto"/>
        </w:rPr>
        <w:t>Gain or loss realized by us from equity securities and warrants acquired by us as well as any loss attributable to the lapse of such warrants, generally will be treated as capital gain or loss. Such gain or loss generally will be long-term or short-term, depending on how long we held the particular equity security or warrant.</w:t>
      </w:r>
    </w:p>
    <w:p>
      <w:pPr>
        <w:spacing w:after="0" w:line="17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are authorized to borrow funds and to sell assets in order to satisfy our Annual Distribution Requirement or Excise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may distribute our common stock as a dividend of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generally would be taxable income to a stockholder even though only a small portion of the dividend was paid in cash to pay any taxes due on the total dividend. We have not yet elected to distribute stock as a dividend but reserve the right to do so.</w:t>
      </w:r>
    </w:p>
    <w:p>
      <w:pPr>
        <w:spacing w:after="0" w:line="183" w:lineRule="exact"/>
        <w:rPr>
          <w:sz w:val="20"/>
          <w:szCs w:val="20"/>
          <w:color w:val="auto"/>
        </w:rPr>
      </w:pPr>
    </w:p>
    <w:p>
      <w:pPr>
        <w:ind w:left="120" w:right="20" w:firstLine="440"/>
        <w:spacing w:after="0" w:line="271" w:lineRule="auto"/>
        <w:rPr>
          <w:sz w:val="20"/>
          <w:szCs w:val="20"/>
          <w:color w:val="auto"/>
        </w:rPr>
      </w:pPr>
      <w:r>
        <w:rPr>
          <w:rFonts w:ascii="Times New Roman" w:cs="Times New Roman" w:eastAsia="Times New Roman" w:hAnsi="Times New Roman"/>
          <w:sz w:val="17"/>
          <w:szCs w:val="17"/>
          <w:color w:val="auto"/>
        </w:rPr>
        <w:t>Our investment in non-U.S. securities may be subject to non-U.S. income, withholding and other taxes. In that case, our yield on those securities would be decreased. Stockholders will generally not be entitled to claim a U.S. foreign tax credit or deduction with respect to non-U.S. taxes paid by us. If we acquire shares in a passive foreign investment company, or “PFIC,” we may be subject to U.S. federal income tax on a portion of any “excess distribution” received on, or gain from the disposition of, such shares, even if such income is distributed as a taxable dividend by us to our stockholders. Additional charges in the nature of interest may be imposed on us in respect of deferred taxes arising from such distributions or gains. Furthermore, if we shares in a PFIC and elect to treat the PFIC as a qualified electing fund, or “QEF,” under the Code, in lieu of the foregoing requirements, we will be required to include in income each year a portion of the ordinary earnings and net capital gain of the QEF, even if such income is not distributed to us. Alternatively, we may elect to mark-to-market at the end of each taxable year our shares in such PFIC; in this case, we will recognize as ordinary income any increase in the value of such shares, and as ordinary loss any decrease in such value to the extent it does not exceed prior</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00"/>
          </w:cols>
          <w:pgMar w:left="320" w:top="455" w:right="47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1" w:lineRule="auto"/>
        <w:rPr>
          <w:sz w:val="20"/>
          <w:szCs w:val="20"/>
          <w:color w:val="auto"/>
        </w:rPr>
      </w:pPr>
      <w:r>
        <w:rPr>
          <w:rFonts w:ascii="Times New Roman" w:cs="Times New Roman" w:eastAsia="Times New Roman" w:hAnsi="Times New Roman"/>
          <w:sz w:val="17"/>
          <w:szCs w:val="17"/>
          <w:color w:val="auto"/>
        </w:rPr>
        <w:t>increases included in income. Our ability to make either election will depend on factors beyond our control, and we are subject to restrictions that may limit the availability or benefit of these elections. Under either election, we may be required to recognize in any year income in excess of our distributions from PFICs and our proceeds from dispositions of PFIC stock during that year, and such income will nevertheless be subject to the Annual Distribution Requirement and will be taken into account for purposes of determining whether we satisfy the Excise Tax Avoidance Requirement.</w:t>
      </w:r>
    </w:p>
    <w:p>
      <w:pPr>
        <w:spacing w:after="0" w:line="164"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If we are deemed to own ten percent (10%) or more (by vote or value) of the stock of a non-U.S. corporation that qualifies as a “controlled foreign corporation,” or “CFC,” for U.S. federal income tax purposes, we would be required to include in income the amount of the CFC’s “Subpart F income” to which it would have been entitled had the CFC currently distributed all of its earnings. Additionally, all or any part of any gain resulting from the sale or exchange of stock of the CFC could be treated as a dividend. For this purpose, a non-U.S. corporation is generally considered a CFC if more than 50% of the corporation’s stock (by vote or value) is owned, directly or indirectly or through application of certain constructive ownership rules, by U.S. persons who each own, directly or indirectly or constructively, 10% or more (by vote or value) of the non-U.S. corporation’s voting stock, or a “U.S. Shareholder.” If we are treated as receiving a deemed inclusion of income from a CFC, we would be required to include such distribution in our investment company taxable income regardless of whether we receive any distributions from such CFC, and we would be required to include such deemed inclusion of income in determining our satisfaction of the Annual Distribution Requirement and the Excise Tax Avoidance Requirement.</w:t>
      </w:r>
    </w:p>
    <w:p>
      <w:pPr>
        <w:spacing w:after="0" w:line="17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PFIC rules would not apply to us with respect to any investment for any period during which the CFC rules were applicable to such investment. Furthermore, in determining the amount of any deemed inclusion of income from any CFC, we are required to include in gross income each taxable year our share of any “global intangible low-taxed income,” or “GILTI.” Rules relating to GILTI and CFCs are complex. As such, shareholders should consult their own tax advisors about the applicability and U.S. federal income tax consequences of the CFC rules to their investment in our shares, including the potential impact of rules governing the inclusion of Subpart F income and the related GILTI rules.</w:t>
      </w:r>
    </w:p>
    <w:p>
      <w:pPr>
        <w:spacing w:after="0" w:line="183"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Our functional currency is the U.S. dollar for U.S. federal income tax purposes. Under Section 988 of the Code, gains or losses attributable to fluctuations in exchange rates between the time we accrue income, expenses or other liabilities denominated in a foreign currency and the time we actually collect such income or pay such expenses or liabilities may be treated as ordinary income or loss. Similarly, gains or losses on foreign currency forward contracts, the disposition of debt denominated in a foreign currency and other financial transactions denominated in foreign currency, to the extent attributable to fluctuations in exchange rates between the acquisition and disposition dates, may also be treated as ordinary income or loss. Some of the income and fees that we recognize, may not satisfy the 90% Income Test. In order to ensure that such income and fees do not disqualify us as a RIC for a failure to satisfy the 90% Income Test, we may be required to recognize such income or fees through one or more entities treated as U.S. corporations for U.S. federal income tax purposes, such as the Taxable Subsidiary. While we expect that recognizing such income through such corporations will assist us in satisfying the 90% Income Test, no assurance can be given that this structure will be respected for U.S. federal income tax purposes, which could result in such income not being counted towards satisfying the 90% Income Test. If the amount of such income were too great and we were otherwise unable to mitigate this effect, it could result in our disqualification as a RIC. If, as we expect, the structure is respected, such corporations will be required to pay U.S. corporate income tax on their earnings, which ultimately will reduce the yield on such income and fees.</w:t>
      </w:r>
    </w:p>
    <w:p>
      <w:pPr>
        <w:spacing w:after="0" w:line="19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are limited in our ability to deduct expenses in excess of our investment company taxable income. If our expenses in a given year exceed our investment company taxable income, we will have a net operating loss for that year. However, we are not permitted to carry forward our net operating losses to subsequent years, so these net operating losses generally will not pass through to our stockholders. In addition, expenses can be used only to offset investment company taxable income, and may not be used to offset net capital gain. As a RIC, we may not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00"/>
          </w:cols>
          <w:pgMar w:left="320" w:top="455" w:right="47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use any net capital losses (that is, realized capital losses in excess of realized capital gains) to offset our investment company taxable income, but may carry forward those losses, and use them to offset future capital gains, indefinitely. Further, our deduction of net business interest expense is generally limited to 30% of our “adjusted taxable income” plus “floor plan financing interest expense.”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Failure to Qualify as a RIC</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If we fail to satisfy the Annual Distribution Requirement or fail to qualify as a RIC in any taxable year, unless certain cure provisions of the Code apply, we will be subject to tax in that taxable year on all of our taxable income at regular corporate tax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we are unable to maintain our status as a RIC, we also would not be able to deduct distributions to stockholders, nor would distributions be required to be made. Distributions would generally be taxable as dividends to our stockholders as ordinary dividend income to the extent of our current and accumulated earnings and profits. Subject to certain limitations under the Code, U.S. non-corporate stockholders generally would be eligible to treat such dividends as “qualified dividend income,” which generally would be subject to reduced rates of U.S. federal income tax, and dividends paid by us to certain U.S.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remainder of this discussion assumes that we qualify as a RIC and have satisfied the Annual Distribution Requirement.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U.S. Stockholders</w:t>
      </w:r>
    </w:p>
    <w:p>
      <w:pPr>
        <w:spacing w:after="0" w:line="12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Distributions by us, including distributions pursuant to a dividend reinvestment plan or where stockholders can elect to receive cash or stock,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We have the ability to declare and pay a large portion of any distribution qualifying as a dividend for U.S. federal income tax purposes in shares of our stock. The IRS has promulgated guidance for publicly offered RICs stating that as long as at least 20% (10% of distributions declared on or before June 30, 2022) of the dividends are paid in cash and if certain other requirements are met, stockholders will be subject to tax on 100% of such dividends in the same manner as a cash dividend, even though most of the dividends were paid in shares of common stock.</w:t>
      </w:r>
    </w:p>
    <w:p>
      <w:pPr>
        <w:spacing w:after="0" w:line="192" w:lineRule="exact"/>
        <w:rPr>
          <w:sz w:val="20"/>
          <w:szCs w:val="20"/>
          <w:color w:val="auto"/>
        </w:rPr>
      </w:pPr>
    </w:p>
    <w:p>
      <w:pPr>
        <w:ind w:left="120" w:right="780" w:firstLine="440"/>
        <w:spacing w:after="0" w:line="282" w:lineRule="auto"/>
        <w:rPr>
          <w:sz w:val="20"/>
          <w:szCs w:val="20"/>
          <w:color w:val="auto"/>
        </w:rPr>
      </w:pPr>
      <w:r>
        <w:rPr>
          <w:rFonts w:ascii="Times New Roman" w:cs="Times New Roman" w:eastAsia="Times New Roman" w:hAnsi="Times New Roman"/>
          <w:sz w:val="18"/>
          <w:szCs w:val="18"/>
          <w:color w:val="auto"/>
        </w:rPr>
        <w:t>To the extent such distributions paid by us to non-corporate stockholders (including individuals) are attributable to dividends from U.S. corporations and certain qualified foreign corporations, properly designated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80"/>
          </w:cols>
          <w:pgMar w:left="320" w:top="455" w:right="49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by us as “qualified dividend income,” such distributions generally will be eligible for a reduced U.S. federal income tax rate, if certain holding period requirements are satisfied. However, it is anticipated that distributions paid by us generally will not be attributable to dividends and, therefore, generally will not qualify for the preferential rates applicable to qualified dividends or the dividends received deduction available to corporations under the Code. A corporate U.S. stockholder may be required to reduce its basis in our common stock with respect to certain “extraordinary dividends,” as defined in Section 1059 of the Code. Corporate U.S. stockholders should consult their own tax advisors in determining the application of these rules in their particular circumstances.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Distributions of our net capital gains (which is generally our realized net long-term capital gains in excess of realized net short- term capital losses) properly designated by us as “capital gain dividends” will be taxable to a U.S. stockholder as long-term capital gains at a reduced rate in the case of individuals, trusts or estates, regardless of the U.S. stockholder’s holding period in such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 Distributions out of our current and accumulated earnings and profits will not be eligible for the 20% pass through deduction under Section 199A of the Code.</w:t>
      </w:r>
    </w:p>
    <w:p>
      <w:pPr>
        <w:spacing w:after="0" w:line="18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Although we currently intend to distribute any long-term capital gains as capital gain dividends at least annually, we may in the future decide to retain some or all of our long-term capital gains, but designate the retained amount as a “deemed distribution.” In that case, among other consequences, we will be subject to tax on the retained amount, each U.S. stockholder will be required to include his, her or its share of the deemed distribution of net capital gains in income as if it had been actually distributed to the U.S. stockholder, and the U.S. stockholder will be entitled to claim a credit equal to his, her or its allocable share of the tax paid thereon by us. The amount of the deemed distribution of net capital gains net of such tax will be added to the U.S. stockholder’s tax basis for his, her or its common stock. Since we expect to be subject to tax on any retained capital gains at our regular corporate tax rates, and since that rate is in excess of the maximum rate currently payable by individuals on long-term capital gains, the amount of tax that individual stockholders will be treated as having paid and for which they will receive a credit generally will exceed the tax they owe on the retained net capital gain. Such excess generally may be claimed as a credit against the U.S. stockholder’s other U.S. federal income tax obligations or may be refunded to the extent it exceeds a stockholder’s liability for U.S. federal income tax. A stockholder that is not subject to U.S. federal income tax or otherwise required to file a U.S. federal income tax return would be required to file a U.S. federal income tax return on the appropriate form in order to claim a refund for the taxes we paid. In order to use the deemed distribution approach, we must provide written notice to our stockholders. We cannot treat any of our investment company taxable income as a “deemed distribution.”</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calendar year, will be treated as if it had been received by our U.S. stockholders on December 31 of the calendar year in which the distribution was declared.</w:t>
      </w:r>
    </w:p>
    <w:p>
      <w:pPr>
        <w:spacing w:after="0" w:line="187" w:lineRule="exact"/>
        <w:rPr>
          <w:sz w:val="20"/>
          <w:szCs w:val="20"/>
          <w:color w:val="auto"/>
        </w:rPr>
      </w:pPr>
    </w:p>
    <w:p>
      <w:pPr>
        <w:jc w:val="both"/>
        <w:ind w:left="120" w:right="60" w:firstLine="440"/>
        <w:spacing w:after="0" w:line="312" w:lineRule="auto"/>
        <w:rPr>
          <w:sz w:val="20"/>
          <w:szCs w:val="20"/>
          <w:color w:val="auto"/>
        </w:rPr>
      </w:pPr>
      <w:r>
        <w:rPr>
          <w:rFonts w:ascii="Times New Roman" w:cs="Times New Roman" w:eastAsia="Times New Roman" w:hAnsi="Times New Roman"/>
          <w:sz w:val="17"/>
          <w:szCs w:val="17"/>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14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 stockholder generally will recognize taxable gain or loss if the stockholder sells or otherwise disposes of his, her or its shares of our common stock. Any gain or loss arising from such sale or disposition generally will</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80"/>
          </w:cols>
          <w:pgMar w:left="320" w:top="455" w:right="49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be treated as long-term capital gain or loss if the stockholder has held his, her or its shares for more than one year. Otherwise, such gain or loss will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general, individual U.S. stockholders currently are subject to a maximum federal income tax rate of 20% (depending on whether the stockholder’s income exceeds certain threshold amounts)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rate of 21%, and this rate also applies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taxable years or carry forward such losses for five taxable years.</w:t>
      </w:r>
    </w:p>
    <w:p>
      <w:pPr>
        <w:spacing w:after="0" w:line="188"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 3.8% Medicare tax is imposed on certain net investment income (including ordinary dividends and capital gain distributions received from us and net gains from redemptions or other taxable dispositions of our shares) of U.S. individuals and on the undistributed net investment income of certain estates and trusts to the extent that such person’s “modified adjusted gross income” (in the case of an individual) or “adjusted gross income” (in the case of an estate or trust) exceeds certain threshold amounts.</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Under U.S. Treasury regulations, if a U.S. Stockholder recognizes a loss with respect to either our preferred stock or common stock of $2 million or more for a non-corporate U.S. Stockholder or $10 million or more for a corporate U.S. stockholder in any single taxable year, such stockholder must file with the IRS a disclosure statement on an IRS Form 8886. Direct U.S. Stockholders of certain “portfolio securities” in many cases are excepted from this reporting requirement, but under current guidance, equity owners of a RIC are not excepted. The fact that a loss is reportable under these U.S. Treasury regulations does not affect the legal determination of whether the taxpayer’s treatment of the loss is proper. Significant monetary penalties apply to a failure to comply with this reporting requirement. States may also have a similar reporting requirement. U.S. Stockholders should consult their own tax advisors to determine the applicability of these regulations in light of their individual circumstances.</w:t>
      </w:r>
    </w:p>
    <w:p>
      <w:pPr>
        <w:spacing w:after="0" w:line="18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(or if a U.S. Stockholder holds our shares through an intermediary, such intermediary) will provide information to our U.S. stockholders, as promptly as possible after the end of each calendar year, detailing, on a per share and per distribution basis, the amounts includible in such U.S. stockholder’s taxable income for such year as ordinary income and as long-term capital gain. In addition, the federal tax status of each year’s distributions generally will be reported to the IRS (including the amount of distributions, if any, eligible for the preferential rate). Distributions may also be subject to additional state, local and foreign taxes depending on a U.S. stockholder’s particular situation.</w:t>
      </w:r>
    </w:p>
    <w:p>
      <w:pPr>
        <w:spacing w:after="0" w:line="183" w:lineRule="exact"/>
        <w:rPr>
          <w:sz w:val="20"/>
          <w:szCs w:val="20"/>
          <w:color w:val="auto"/>
        </w:rPr>
      </w:pPr>
    </w:p>
    <w:p>
      <w:pPr>
        <w:jc w:val="both"/>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The Code requires reporting of adjusted cost basis information for covered securities, which generally include shares of a RIC acquired after January 1, 2012, to the IRS and to taxpayers. Stockholders should contact their financial intermediaries with respect to reporting of cost basis and available elections for their accounts.</w:t>
      </w:r>
    </w:p>
    <w:p>
      <w:pPr>
        <w:spacing w:after="0" w:line="176"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A U.S. stockholder (other than an “exempt recipient,” including a “C” corporation and certain other persons who, when required, demonstrate their exempt status) may be subject to federal income tax withholding (“backup</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55" w:right="45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withholding”) at the applicable rate from all taxable distributions to any U.S. stockholder (1) 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Backup withholding is not an additional tax. Any amount withheld under backup withholding is allowed as a credit against the U.S. stockholder’s federal income tax liability and may entitle such stockholder to a refund, provided that proper information is timely provided to the IRS.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Non-U.S. Stockholders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76"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Subject to the discussions below, distributions of our “investment company taxable income” to Non-U.S. stockholders (including interest income and net short-term capital gain) are generally expected to be subject to withholding of U.S. federal taxes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advisors. Backup withholding will not be applied to payments that have been subject to the 30% (or lower applicable treaty rate) withholding tax described in this paragraph.</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with respect to certain distributions made by RICs to Non-U.S. Stockholders, no withholding is required and the distributions generally are not subject to U.S. federal income tax if (i) the distributions are properly designated in a notice timely delivered to our stockholders as “interest-related dividends” or “short-term capital gain dividends,” (ii) the distributions are derived from sources specified in the Code for such dividends and (iii) certain other requirements are satisfied. Nevertheless, it should be noted that in the case of shares of our stock held through an intermediary, the intermediary may have withheld U.S. federal income tax even if we designated the payment as an interest-related dividend or as a short-term capital gain dividend. Moreover, depending on the circumstances, we may designate all, some or none of our potentially eligible dividends as ineligible for this exemption from withholding.</w:t>
      </w:r>
    </w:p>
    <w:p>
      <w:pPr>
        <w:spacing w:after="0" w:line="18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are required to withhold U.S. tax (at a 30% rate) on payments of taxable dividends made to certain non-U.S. entities that fail to comply (or be deemed compliant) with extensive reporting and withholding requirements designed to inform the U.S. Department of the Treasury of U.S.-owned foreign investment accounts. Stockholders may be requested to provide additional information to the withholding agents to enable the withholding agents to determine whether withholding is required. A non-U.S. stockholder may be exempt from the withholding described in this paragraph under an applicable intergovernmental agreement between the U.S. and a foreign government, provided that the non-U.S. stockholder and the applicable foreign government comply with the terms of such agreement.</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80"/>
          </w:cols>
          <w:pgMar w:left="320" w:top="455" w:right="49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If we distribute our net capital gains in the form of deemed rather than actual distributions (which we may do in the future), a Non-U.S. stockholder will be entitled to claim a U.S. federal income tax credit or tax refund equal to the stockholder’s allocable share of the tax we pay on the capital gains deemed to have been distributed. In order to obtain the refund, the Non-U.S. stockholder would be required to obtain a U.S. taxpayer identification number and file a U.S. federal income tax return even if the Non-U.S. stockholder would not otherwise be required to obtain a U.S. taxpayer identification number or file a U.S.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of our common stock may not be appropriate for a Non-U.S. stockholder.</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 Non-U.S. stockholder who is a non-resident alien individual, and who is otherwise subject to withholding of federal income tax, may be subject to information reporting and backup tax withholding of federal income tax on distributions unless the Non-U.S. stockholder provides us or the distribution paying agent with an IRS Form W-8BEN, IRS Form W-8BEN-E, or other applicable IRS Form W-8, or otherwise meets documentary evidence requirements for establishing that it is a Non-U.S. stockholder or otherwise establishes an exemption from backup withholding.</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Non-U.S. stockholders may also be subject to U.S. estate tax with respect to their investment in our common shares.</w:t>
      </w:r>
    </w:p>
    <w:p>
      <w:pPr>
        <w:spacing w:after="0" w:line="225"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Non-U.S. persons should consult their own tax advisors with respect to the U.S. federal income tax and withholding tax, and state, local and foreign tax consequences of an investment in the shares.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80"/>
          </w:cols>
          <w:pgMar w:left="320" w:top="455" w:right="49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We may sell the securities in any of three ways (or in any combination): (a) through underwriters or dealers; (b) directly to a limited number of purchasers or to a single purchaser; or (c) through agents. The securities may also be sold “at-the-market” to or through a market maker or into an existing trading market for the securities, on an exchange or otherwise. The prospectus supplement will set forth the terms of the offering of such securities, including:</w:t>
      </w:r>
    </w:p>
    <w:p>
      <w:pPr>
        <w:spacing w:after="0" w:line="85" w:lineRule="exact"/>
        <w:rPr>
          <w:sz w:val="20"/>
          <w:szCs w:val="20"/>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 and the amounts of securities underwritten or purchased by each of them;</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of the securities and the proceeds to us and any discounts, commissions or concessions allowed or reallowed or paid to dealers;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exchanges on which the securities may be listed.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offering price and any discounts or concessions allowed or reallowed or paid to dealers may be changed from time to time.</w:t>
      </w:r>
    </w:p>
    <w:p>
      <w:pPr>
        <w:spacing w:after="0" w:line="225"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offer our shares of common stock in a public offering at-the-market to a select group of investors, in which case a stockholder may not be able to participate in such offering and a stockholder will experience dilution unless the stockholder purchases additional shares of our common stock in the secondary market at the same or lower price.</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83"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10% of the aggregate offering price of the securities as set forth on the cover page of the supplement to this prospectus.</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00"/>
          </w:cols>
          <w:pgMar w:left="320" w:top="455" w:right="47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80"/>
          </w:cols>
          <w:pgMar w:left="320" w:top="455" w:right="49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SUB-ADMINISTRATOR, CUSTODIAN, TRANSFER AGENT AND TRUSTEE</w:t>
      </w:r>
    </w:p>
    <w:p>
      <w:pPr>
        <w:spacing w:after="0" w:line="22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BNY Mellon Investment Servicing (US) Inc., a subsidiary of The Bank of New York Mellon, provides administrative and accounting services to us under a sub-administration and accounting services agreement. The Bank of New York Mellon provides custodian services to us pursuant to a custodian services agreement. AST serves as trustee under our 2026 Notes and 2026 Notes-2. The principal business address of The Bank of New York Mellon is 240 Greenwich Street, New York, NY 10286. American Stock Transfer &amp; Trust Company, LLC acts as our transfer agent, distribution paying agent and registrar. The principal business address of American Stock Transfer &amp; Trust Company, LLC is 6201 15th Avenue, 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xml:space="preserve"> Floor, Brooklyn, NY 11219, telephone number: (800) 937-5449.</w:t>
      </w:r>
    </w:p>
    <w:p>
      <w:pPr>
        <w:spacing w:after="0" w:line="3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Certain legal matters regarding the securities offered by this prospectus will be passed upon for us by Dechert LLP, Washington, D.C., and by Venable LLP, as special Maryland counsel. Certain legal matters will be passed upon for underwriters, if any, by the counsel named in the prospectus supplement, if any.</w:t>
      </w:r>
    </w:p>
    <w:p>
      <w:pPr>
        <w:spacing w:after="0" w:line="3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PennantPark Investment Corporation as of September 30, 2021 and 2020 and for each of the years in the three-year period ended September 30, 2021 and the effectiveness of internal control over financial reporting as of September 30, 2021 incorporated in this Prospectus by reference from the PennantPark Investment Corporation Annual Report on Form 10-K for the year ended September 30, 2021 have been audited by RSM US LLP, an independent registered public accounting firm, as stated in their reports thereon, incorporated herein by reference, and have been incorporated in this Prospectus and Registration Statement in reliance upon such reports and upon the authority of such firm as experts in accounting and auditing.</w:t>
      </w:r>
    </w:p>
    <w:p>
      <w:pPr>
        <w:spacing w:after="0" w:line="187"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senior securities table of the Company included in this Prospectus and elsewhere in the Registration Statement has been included in reliance upon the report of RSM US LLP, an independent registered public accounting firm, as stated in their report filed as exhibit 99.5 to the Company’s Annual Report on Form 10-K for the year ended September 30, 2021, which is incorporated herein by reference.</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INDEPENDENT AUDITORS</w:t>
      </w:r>
    </w:p>
    <w:p>
      <w:pPr>
        <w:spacing w:after="0" w:line="22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RAM Energy Holdings LLC as of and for the years ended September 30, 2021, 2020, and 2019 incorporated by reference in this Prospectus and in the Registration Statement have been so incorporated in reliance on the reports of BDO USA, LLP, an independent auditor, incorporated herein by reference, given on the authority of said firm as experts in auditing and accounting.</w:t>
      </w:r>
    </w:p>
    <w:p>
      <w:pPr>
        <w:spacing w:after="0" w:line="392"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PT Network Intermediate Holdings, LLC as of December 31, 2021 and 2020, and for each of the three years in the period ended December 31, 2021 incorporated by reference in this Prospectus and in the Registration Statement have been so incorporated in reliance on the reports of Dixon Hughes Goodman LLP, an independent auditor, incorporated herein by reference, given on the authority of said firm as experts in auditing and accounting.</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have filed with the SEC. Pursuant to the Small Business Credit Availability Act, or SBCAA,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w:t>
      </w:r>
    </w:p>
    <w:p>
      <w:pPr>
        <w:spacing w:after="0" w:line="180"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incorporate by reference into this prospectus additional documents that we may file with the SEC under Section 13(a), 13(c), 14 or 15(d) of the Exchange Act until all of the securities offered by this prospectus and any accompanying prospectus supplement have been sold or we otherwise terminate the offering of these securities,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00"/>
          </w:cols>
          <w:pgMar w:left="320" w:top="455" w:right="47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including all such documents we may file with the SEC after the date of the initial registration statement and prior to effectiveness of the registration statement;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will automatically update and may supersede information in this prospectus, any accompanying prospectus supplement, and information previously filed with the SEC.</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and any prospectus supplement incorporates by reference the documents set forth below that have previously been filed with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w:t>
      </w:r>
    </w:p>
    <w:p>
      <w:pPr>
        <w:spacing w:after="0" w:line="112" w:lineRule="exact"/>
        <w:rPr>
          <w:sz w:val="20"/>
          <w:szCs w:val="20"/>
          <w:color w:val="auto"/>
        </w:rPr>
      </w:pPr>
    </w:p>
    <w:p>
      <w:pPr>
        <w:ind w:left="1080" w:right="180" w:hanging="424"/>
        <w:spacing w:after="0" w:line="266"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12">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September 30, 2021, filed with the SEC on November 17, 2021 and amended on March 30, 2022, including the information specifically incorporated by reference to the Form 10-K from our Definitive Proxy Statement on </w:t>
      </w:r>
      <w:hyperlink r:id="rId113">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December 9, 2021;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114">
        <w:r>
          <w:rPr>
            <w:rFonts w:ascii="Times New Roman" w:cs="Times New Roman" w:eastAsia="Times New Roman" w:hAnsi="Times New Roman"/>
            <w:sz w:val="18"/>
            <w:szCs w:val="18"/>
            <w:u w:val="single" w:color="auto"/>
            <w:color w:val="0000EE"/>
          </w:rPr>
          <w:t>Form 10-Q</w:t>
        </w:r>
      </w:hyperlink>
      <w:r>
        <w:rPr>
          <w:rFonts w:ascii="Times New Roman" w:cs="Times New Roman" w:eastAsia="Times New Roman" w:hAnsi="Times New Roman"/>
          <w:sz w:val="18"/>
          <w:szCs w:val="18"/>
          <w:color w:val="auto"/>
        </w:rPr>
        <w:t>, filed with the SEC for the quarterly period ended December 31, 2021 filed on February 9, 2022;</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w:t>
      </w:r>
      <w:hyperlink r:id="rId115">
        <w:r>
          <w:rPr>
            <w:rFonts w:ascii="Times New Roman" w:cs="Times New Roman" w:eastAsia="Times New Roman" w:hAnsi="Times New Roman"/>
            <w:sz w:val="18"/>
            <w:szCs w:val="18"/>
            <w:u w:val="single" w:color="auto"/>
            <w:color w:val="0000EE"/>
          </w:rPr>
          <w:t>Form 8-K</w:t>
        </w:r>
      </w:hyperlink>
      <w:r>
        <w:rPr>
          <w:rFonts w:ascii="Times New Roman" w:cs="Times New Roman" w:eastAsia="Times New Roman" w:hAnsi="Times New Roman"/>
          <w:sz w:val="18"/>
          <w:szCs w:val="18"/>
          <w:color w:val="auto"/>
        </w:rPr>
        <w:t>, filed with the SEC on March 30, 2022.</w:t>
      </w:r>
    </w:p>
    <w:p>
      <w:pPr>
        <w:spacing w:after="0" w:line="225"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To obtain copies of these filings, see “Available Information.”</w:t>
      </w:r>
    </w:p>
    <w:p>
      <w:pPr>
        <w:spacing w:after="0" w:line="200" w:lineRule="exact"/>
        <w:rPr>
          <w:rFonts w:ascii="Times New Roman" w:cs="Times New Roman" w:eastAsia="Times New Roman" w:hAnsi="Times New Roman"/>
          <w:sz w:val="18"/>
          <w:szCs w:val="18"/>
          <w:color w:val="auto"/>
        </w:rPr>
      </w:pPr>
    </w:p>
    <w:p>
      <w:pPr>
        <w:spacing w:after="0" w:line="237"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rFonts w:ascii="Times New Roman" w:cs="Times New Roman" w:eastAsia="Times New Roman" w:hAnsi="Times New Roman"/>
          <w:sz w:val="18"/>
          <w:szCs w:val="18"/>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We file with or submit to the SEC annual, quarterly and current periodic reports, proxy statements and other information meeting the informational requirements of the Exchange Act. This information is available free of charge by calling us collect at (212) 905-1000 or on our website at </w:t>
      </w:r>
      <w:r>
        <w:rPr>
          <w:rFonts w:ascii="Times New Roman" w:cs="Times New Roman" w:eastAsia="Times New Roman" w:hAnsi="Times New Roman"/>
          <w:sz w:val="18"/>
          <w:szCs w:val="18"/>
          <w:i w:val="1"/>
          <w:iCs w:val="1"/>
          <w:u w:val="single" w:color="auto"/>
          <w:color w:val="auto"/>
        </w:rPr>
        <w:t>www.pennantpark.com</w:t>
      </w:r>
      <w:r>
        <w:rPr>
          <w:rFonts w:ascii="Times New Roman" w:cs="Times New Roman" w:eastAsia="Times New Roman" w:hAnsi="Times New Roman"/>
          <w:sz w:val="18"/>
          <w:szCs w:val="18"/>
          <w:color w:val="auto"/>
        </w:rPr>
        <w:t>. Except for the documents incorporated by reference into this prospectus and any accompanying prospectus supplement,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information on our website is not part of this prospectus or any accompanying prospectus supplement. The SEC maintains an Internet website that contains reports, proxy and information statements and other information filed electronically by us with the SEC which are available free of charge on the SEC’s Internet website at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color w:val="auto"/>
        </w:rPr>
        <w:t>. Copies of these reports, proxy and information statements and other information may be obtained, after paying a duplicating fee, by sending a request by email to: publicinfo@sec.gov.</w:t>
      </w:r>
    </w:p>
    <w:p>
      <w:pPr>
        <w:spacing w:after="0" w:line="121"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00"/>
          </w:cols>
          <w:pgMar w:left="320" w:top="455" w:right="47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25.</w:t>
            </w:r>
          </w:p>
        </w:tc>
        <w:tc>
          <w:tcPr>
            <w:tcW w:w="10140" w:type="dxa"/>
            <w:vAlign w:val="bottom"/>
            <w:gridSpan w:val="23"/>
          </w:tcPr>
          <w:p>
            <w:pPr>
              <w:ind w:left="2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59"/>
        </w:trPr>
        <w:tc>
          <w:tcPr>
            <w:tcW w:w="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tcPr>
          <w:p>
            <w:pPr>
              <w:spacing w:after="0"/>
              <w:rPr>
                <w:sz w:val="24"/>
                <w:szCs w:val="24"/>
                <w:color w:val="auto"/>
              </w:rPr>
            </w:pPr>
          </w:p>
        </w:tc>
        <w:tc>
          <w:tcPr>
            <w:tcW w:w="9220" w:type="dxa"/>
            <w:vAlign w:val="bottom"/>
            <w:gridSpan w:val="22"/>
          </w:tcPr>
          <w:p>
            <w:pPr>
              <w:spacing w:after="0"/>
              <w:rPr>
                <w:sz w:val="20"/>
                <w:szCs w:val="20"/>
                <w:color w:val="auto"/>
              </w:rPr>
            </w:pPr>
            <w:r>
              <w:rPr>
                <w:rFonts w:ascii="Times New Roman" w:cs="Times New Roman" w:eastAsia="Times New Roman" w:hAnsi="Times New Roman"/>
                <w:sz w:val="18"/>
                <w:szCs w:val="18"/>
                <w:i w:val="1"/>
                <w:iCs w:val="1"/>
                <w:color w:val="auto"/>
              </w:rPr>
              <w:t>Financial Statements</w:t>
            </w:r>
          </w:p>
        </w:tc>
      </w:tr>
      <w:tr>
        <w:trPr>
          <w:trHeight w:val="283"/>
        </w:trPr>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20" w:type="dxa"/>
            <w:vAlign w:val="bottom"/>
            <w:gridSpan w:val="22"/>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financial statements included in the Company’s quarterly report on </w:t>
            </w:r>
            <w:hyperlink r:id="rId114">
              <w:r>
                <w:rPr>
                  <w:rFonts w:ascii="Times New Roman" w:cs="Times New Roman" w:eastAsia="Times New Roman" w:hAnsi="Times New Roman"/>
                  <w:sz w:val="18"/>
                  <w:szCs w:val="18"/>
                  <w:color w:val="0000EE"/>
                </w:rPr>
                <w:t>Form 10-Q</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for the quarter ended</w:t>
            </w:r>
          </w:p>
        </w:tc>
      </w:tr>
      <w:tr>
        <w:trPr>
          <w:trHeight w:val="20"/>
        </w:trPr>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December 31, 2021 have been incorporated by reference in this registration statement in “Part A—Information Required in a</w:t>
            </w:r>
          </w:p>
        </w:tc>
      </w:tr>
      <w:tr>
        <w:trPr>
          <w:trHeight w:val="234"/>
        </w:trPr>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Prospectus.”</w:t>
            </w:r>
          </w:p>
        </w:tc>
      </w:tr>
      <w:tr>
        <w:trPr>
          <w:trHeight w:val="319"/>
        </w:trPr>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The consolidated financial statements as of September 30, 2021 and September 30, 2020 and for each of the three years in the</w:t>
            </w:r>
          </w:p>
        </w:tc>
      </w:tr>
      <w:tr>
        <w:trPr>
          <w:trHeight w:val="216"/>
        </w:trPr>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20" w:type="dxa"/>
            <w:vAlign w:val="bottom"/>
            <w:gridSpan w:val="22"/>
          </w:tcPr>
          <w:p>
            <w:pPr>
              <w:spacing w:after="0"/>
              <w:rPr>
                <w:sz w:val="20"/>
                <w:szCs w:val="20"/>
                <w:color w:val="auto"/>
              </w:rPr>
            </w:pPr>
            <w:r>
              <w:rPr>
                <w:rFonts w:ascii="Times New Roman" w:cs="Times New Roman" w:eastAsia="Times New Roman" w:hAnsi="Times New Roman"/>
                <w:sz w:val="18"/>
                <w:szCs w:val="18"/>
                <w:color w:val="auto"/>
                <w:w w:val="99"/>
              </w:rPr>
              <w:t>period ended September 30, 2021 and management’s assessment of the effectiveness of internal control over financial reporting</w:t>
            </w:r>
          </w:p>
        </w:tc>
      </w:tr>
      <w:tr>
        <w:trPr>
          <w:trHeight w:val="216"/>
        </w:trPr>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(which is included in Management’s Report on Internal Control over Financial Reporting) as of September 30, 2021 have been</w:t>
            </w:r>
          </w:p>
        </w:tc>
      </w:tr>
      <w:tr>
        <w:trPr>
          <w:trHeight w:val="234"/>
        </w:trPr>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incorporated by reference in this registration statement in “Part A—Information Required in a Prospectus.”</w:t>
            </w:r>
          </w:p>
        </w:tc>
      </w:tr>
      <w:tr>
        <w:trPr>
          <w:trHeight w:val="338"/>
        </w:trPr>
        <w:tc>
          <w:tcPr>
            <w:tcW w:w="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w:t>
            </w:r>
          </w:p>
        </w:tc>
        <w:tc>
          <w:tcPr>
            <w:tcW w:w="920" w:type="dxa"/>
            <w:vAlign w:val="bottom"/>
          </w:tcPr>
          <w:p>
            <w:pPr>
              <w:spacing w:after="0"/>
              <w:rPr>
                <w:sz w:val="24"/>
                <w:szCs w:val="24"/>
                <w:color w:val="auto"/>
              </w:rPr>
            </w:pPr>
          </w:p>
        </w:tc>
        <w:tc>
          <w:tcPr>
            <w:tcW w:w="92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Exhibits</w:t>
            </w:r>
          </w:p>
        </w:tc>
      </w:tr>
      <w:tr>
        <w:trPr>
          <w:trHeight w:val="283"/>
        </w:trPr>
        <w:tc>
          <w:tcPr>
            <w:tcW w:w="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w:t>
            </w:r>
          </w:p>
        </w:tc>
        <w:tc>
          <w:tcPr>
            <w:tcW w:w="920" w:type="dxa"/>
            <w:vAlign w:val="bottom"/>
          </w:tcPr>
          <w:p>
            <w:pPr>
              <w:spacing w:after="0"/>
              <w:rPr>
                <w:sz w:val="24"/>
                <w:szCs w:val="24"/>
                <w:color w:val="auto"/>
              </w:rPr>
            </w:pPr>
          </w:p>
        </w:tc>
        <w:tc>
          <w:tcPr>
            <w:tcW w:w="9220" w:type="dxa"/>
            <w:vAlign w:val="bottom"/>
            <w:gridSpan w:val="22"/>
          </w:tcPr>
          <w:p>
            <w:pPr>
              <w:spacing w:after="0"/>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Articles of Amendment and Restatement of the Registrant (Incorporated by reference to Exhibit 99(a) to the Registrant’s</w:t>
              </w:r>
            </w:hyperlink>
          </w:p>
        </w:tc>
      </w:tr>
      <w:tr>
        <w:trPr>
          <w:trHeight w:val="20"/>
        </w:trPr>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20" w:type="dxa"/>
            <w:vAlign w:val="bottom"/>
            <w:gridSpan w:val="22"/>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Pre-Effective Amendment No. 3 to the Registration Statement on Form N-2/A (File No. 333-140092), filed on April 5, 2007).</w:t>
              </w:r>
            </w:hyperlink>
          </w:p>
        </w:tc>
      </w:tr>
      <w:tr>
        <w:trPr>
          <w:trHeight w:val="20"/>
        </w:trPr>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w:t>
            </w:r>
          </w:p>
        </w:tc>
        <w:tc>
          <w:tcPr>
            <w:tcW w:w="920" w:type="dxa"/>
            <w:vAlign w:val="bottom"/>
          </w:tcPr>
          <w:p>
            <w:pPr>
              <w:spacing w:after="0"/>
              <w:rPr>
                <w:sz w:val="24"/>
                <w:szCs w:val="24"/>
                <w:color w:val="auto"/>
              </w:rPr>
            </w:pPr>
          </w:p>
        </w:tc>
        <w:tc>
          <w:tcPr>
            <w:tcW w:w="92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Second Amended and Restated Bylaws of the Registrant (Incorporated by reference to Exhibit 3.2 to the Registrant’s Quarterly</w:t>
              </w:r>
            </w:hyperlink>
          </w:p>
        </w:tc>
        <w:tc>
          <w:tcPr>
            <w:tcW w:w="20" w:type="dxa"/>
            <w:vAlign w:val="bottom"/>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9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Report on Form 10-Q (File No. 814-00736), filed on May 11, 2020).</w:t>
              </w:r>
            </w:hyperlink>
          </w:p>
        </w:tc>
        <w:tc>
          <w:tcPr>
            <w:tcW w:w="4280" w:type="dxa"/>
            <w:vAlign w:val="bottom"/>
            <w:gridSpan w:val="18"/>
          </w:tcPr>
          <w:p>
            <w:pPr>
              <w:spacing w:after="0"/>
              <w:rPr>
                <w:sz w:val="17"/>
                <w:szCs w:val="17"/>
                <w:color w:val="auto"/>
              </w:rPr>
            </w:pPr>
          </w:p>
        </w:tc>
      </w:tr>
      <w:tr>
        <w:trPr>
          <w:trHeight w:val="304"/>
        </w:trPr>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(d)(1)</w:t>
            </w:r>
          </w:p>
        </w:tc>
        <w:tc>
          <w:tcPr>
            <w:tcW w:w="920" w:type="dxa"/>
            <w:vAlign w:val="bottom"/>
          </w:tcPr>
          <w:p>
            <w:pPr>
              <w:spacing w:after="0"/>
              <w:rPr>
                <w:sz w:val="24"/>
                <w:szCs w:val="24"/>
                <w:color w:val="auto"/>
              </w:rPr>
            </w:pPr>
          </w:p>
        </w:tc>
        <w:tc>
          <w:tcPr>
            <w:tcW w:w="89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Form of Share Certificate (Incorporated by reference to Exhibit 99.(d)(1) to the Registrant’s Registration Statement on Form</w:t>
              </w:r>
            </w:hyperlink>
          </w:p>
        </w:tc>
        <w:tc>
          <w:tcPr>
            <w:tcW w:w="260" w:type="dxa"/>
            <w:vAlign w:val="bottom"/>
            <w:gridSpan w:val="7"/>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20" w:type="dxa"/>
            <w:vAlign w:val="bottom"/>
            <w:gridSpan w:val="22"/>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N-2 (File No. 333-150033), filed on April 2, 2008).</w:t>
              </w:r>
            </w:hyperlink>
          </w:p>
        </w:tc>
      </w:tr>
      <w:tr>
        <w:trPr>
          <w:trHeight w:val="20"/>
        </w:trPr>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(d)(2)</w:t>
            </w:r>
          </w:p>
        </w:tc>
        <w:tc>
          <w:tcPr>
            <w:tcW w:w="920" w:type="dxa"/>
            <w:vAlign w:val="bottom"/>
          </w:tcPr>
          <w:p>
            <w:pPr>
              <w:spacing w:after="0"/>
              <w:rPr>
                <w:sz w:val="24"/>
                <w:szCs w:val="24"/>
                <w:color w:val="auto"/>
              </w:rPr>
            </w:pPr>
          </w:p>
        </w:tc>
        <w:tc>
          <w:tcPr>
            <w:tcW w:w="922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Form of Subscription Certificate (Incorporated by reference to Exhibit 99.(d)(2) to the Registrant’s Pre-Effective Amendment to</w:t>
              </w:r>
            </w:hyperlink>
          </w:p>
        </w:tc>
      </w:tr>
      <w:tr>
        <w:trPr>
          <w:trHeight w:val="196"/>
        </w:trPr>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5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the Registration Statement on Form N-2/A (File No. 333-150033), filed on May 30, 2008).</w:t>
              </w:r>
            </w:hyperlink>
          </w:p>
        </w:tc>
        <w:tc>
          <w:tcPr>
            <w:tcW w:w="2680" w:type="dxa"/>
            <w:vAlign w:val="bottom"/>
            <w:gridSpan w:val="14"/>
          </w:tcPr>
          <w:p>
            <w:pPr>
              <w:spacing w:after="0"/>
              <w:rPr>
                <w:sz w:val="17"/>
                <w:szCs w:val="17"/>
                <w:color w:val="auto"/>
              </w:rPr>
            </w:pPr>
          </w:p>
        </w:tc>
      </w:tr>
      <w:tr>
        <w:trPr>
          <w:trHeight w:val="304"/>
        </w:trPr>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(d)(3)</w:t>
            </w:r>
          </w:p>
        </w:tc>
        <w:tc>
          <w:tcPr>
            <w:tcW w:w="920" w:type="dxa"/>
            <w:vAlign w:val="bottom"/>
          </w:tcPr>
          <w:p>
            <w:pPr>
              <w:spacing w:after="0"/>
              <w:rPr>
                <w:sz w:val="24"/>
                <w:szCs w:val="24"/>
                <w:color w:val="auto"/>
              </w:rPr>
            </w:pPr>
          </w:p>
        </w:tc>
        <w:tc>
          <w:tcPr>
            <w:tcW w:w="86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Form of Subscription Agent Agreement (Incorporated by reference to Exhibit 99.(d)(4) to the Registrant’s Pre-Effective</w:t>
              </w:r>
            </w:hyperlink>
          </w:p>
        </w:tc>
        <w:tc>
          <w:tcPr>
            <w:tcW w:w="540" w:type="dxa"/>
            <w:vAlign w:val="bottom"/>
            <w:gridSpan w:val="9"/>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6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Amendment to the Registration Statement on Form N-2/A (File No. 333-150033), filed on May 30, 2008).</w:t>
              </w:r>
            </w:hyperlink>
          </w:p>
        </w:tc>
        <w:tc>
          <w:tcPr>
            <w:tcW w:w="1560" w:type="dxa"/>
            <w:vAlign w:val="bottom"/>
            <w:gridSpan w:val="11"/>
          </w:tcPr>
          <w:p>
            <w:pPr>
              <w:spacing w:after="0"/>
              <w:rPr>
                <w:sz w:val="17"/>
                <w:szCs w:val="17"/>
                <w:color w:val="auto"/>
              </w:rPr>
            </w:pPr>
          </w:p>
        </w:tc>
      </w:tr>
      <w:tr>
        <w:trPr>
          <w:trHeight w:val="304"/>
        </w:trPr>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(d)(4)</w:t>
            </w:r>
          </w:p>
        </w:tc>
        <w:tc>
          <w:tcPr>
            <w:tcW w:w="920" w:type="dxa"/>
            <w:vAlign w:val="bottom"/>
          </w:tcPr>
          <w:p>
            <w:pPr>
              <w:spacing w:after="0"/>
              <w:rPr>
                <w:sz w:val="24"/>
                <w:szCs w:val="24"/>
                <w:color w:val="auto"/>
              </w:rPr>
            </w:pPr>
          </w:p>
        </w:tc>
        <w:tc>
          <w:tcPr>
            <w:tcW w:w="92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Form of Warrant Agreement (Incorporated by reference to Exhibit 99.(d)(5) to the Registrant’s Pre-Effective Amendment to the</w:t>
              </w:r>
            </w:hyperlink>
          </w:p>
        </w:tc>
        <w:tc>
          <w:tcPr>
            <w:tcW w:w="20" w:type="dxa"/>
            <w:vAlign w:val="bottom"/>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Registration Statement on Form N-2/A (File No. 333-150033), filed on May 30, 2008).</w:t>
              </w:r>
            </w:hyperlink>
          </w:p>
        </w:tc>
        <w:tc>
          <w:tcPr>
            <w:tcW w:w="2940" w:type="dxa"/>
            <w:vAlign w:val="bottom"/>
            <w:gridSpan w:val="16"/>
          </w:tcPr>
          <w:p>
            <w:pPr>
              <w:spacing w:after="0"/>
              <w:rPr>
                <w:sz w:val="17"/>
                <w:szCs w:val="17"/>
                <w:color w:val="auto"/>
              </w:rPr>
            </w:pPr>
          </w:p>
        </w:tc>
      </w:tr>
      <w:tr>
        <w:trPr>
          <w:trHeight w:val="304"/>
        </w:trPr>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(d)(5)</w:t>
            </w:r>
          </w:p>
        </w:tc>
        <w:tc>
          <w:tcPr>
            <w:tcW w:w="920" w:type="dxa"/>
            <w:vAlign w:val="bottom"/>
          </w:tcPr>
          <w:p>
            <w:pPr>
              <w:spacing w:after="0"/>
              <w:rPr>
                <w:sz w:val="24"/>
                <w:szCs w:val="24"/>
                <w:color w:val="auto"/>
              </w:rPr>
            </w:pPr>
          </w:p>
        </w:tc>
        <w:tc>
          <w:tcPr>
            <w:tcW w:w="9220" w:type="dxa"/>
            <w:vAlign w:val="bottom"/>
            <w:gridSpan w:val="22"/>
          </w:tcPr>
          <w:p>
            <w:pPr>
              <w:spacing w:after="0"/>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Form T-1 Statement of Eligibility with respect to the Form of Indenture (Incorporated by reference to Exhibit 99.(d)(5) to the</w:t>
              </w:r>
            </w:hyperlink>
          </w:p>
        </w:tc>
      </w:tr>
      <w:tr>
        <w:trPr>
          <w:trHeight w:val="196"/>
        </w:trPr>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14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Registrant’s Registration Statement on Form N-2 (File No. 333-263564), filed on March 15, 2022).</w:t>
              </w:r>
            </w:hyperlink>
          </w:p>
        </w:tc>
        <w:tc>
          <w:tcPr>
            <w:tcW w:w="1860" w:type="dxa"/>
            <w:vAlign w:val="bottom"/>
            <w:tcBorders>
              <w:top w:val="single" w:sz="8" w:color="0000EE"/>
            </w:tcBorders>
            <w:gridSpan w:val="6"/>
          </w:tcPr>
          <w:p>
            <w:pPr>
              <w:spacing w:after="0"/>
              <w:rPr>
                <w:sz w:val="17"/>
                <w:szCs w:val="17"/>
                <w:color w:val="auto"/>
              </w:rPr>
            </w:pPr>
          </w:p>
        </w:tc>
        <w:tc>
          <w:tcPr>
            <w:tcW w:w="220" w:type="dxa"/>
            <w:vAlign w:val="bottom"/>
            <w:gridSpan w:val="6"/>
          </w:tcPr>
          <w:p>
            <w:pPr>
              <w:spacing w:after="0"/>
              <w:rPr>
                <w:sz w:val="17"/>
                <w:szCs w:val="17"/>
                <w:color w:val="auto"/>
              </w:rPr>
            </w:pPr>
          </w:p>
        </w:tc>
      </w:tr>
      <w:tr>
        <w:trPr>
          <w:trHeight w:val="304"/>
        </w:trPr>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(d)(6)</w:t>
            </w:r>
          </w:p>
        </w:tc>
        <w:tc>
          <w:tcPr>
            <w:tcW w:w="920" w:type="dxa"/>
            <w:vAlign w:val="bottom"/>
          </w:tcPr>
          <w:p>
            <w:pPr>
              <w:spacing w:after="0"/>
              <w:rPr>
                <w:sz w:val="24"/>
                <w:szCs w:val="24"/>
                <w:color w:val="auto"/>
              </w:rPr>
            </w:pPr>
          </w:p>
        </w:tc>
        <w:tc>
          <w:tcPr>
            <w:tcW w:w="9220" w:type="dxa"/>
            <w:vAlign w:val="bottom"/>
            <w:gridSpan w:val="22"/>
          </w:tcPr>
          <w:p>
            <w:pPr>
              <w:spacing w:after="0"/>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Form of Articles Supplementary (Incorporated by reference to Exhibit 2(d)(7) to the Registrant’s Pre-Effective Amendment to</w:t>
              </w:r>
            </w:hyperlink>
          </w:p>
        </w:tc>
      </w:tr>
      <w:tr>
        <w:trPr>
          <w:trHeight w:val="196"/>
        </w:trPr>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5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the Registration Statement on Form N-2/A (File No. 333-172524), filed August 22, 2011).</w:t>
              </w:r>
            </w:hyperlink>
          </w:p>
        </w:tc>
        <w:tc>
          <w:tcPr>
            <w:tcW w:w="2600" w:type="dxa"/>
            <w:vAlign w:val="bottom"/>
            <w:tcBorders>
              <w:top w:val="single" w:sz="8" w:color="0000EE"/>
            </w:tcBorders>
            <w:gridSpan w:val="10"/>
          </w:tcPr>
          <w:p>
            <w:pPr>
              <w:spacing w:after="0"/>
              <w:rPr>
                <w:sz w:val="17"/>
                <w:szCs w:val="17"/>
                <w:color w:val="auto"/>
              </w:rPr>
            </w:pPr>
          </w:p>
        </w:tc>
        <w:tc>
          <w:tcPr>
            <w:tcW w:w="120" w:type="dxa"/>
            <w:vAlign w:val="bottom"/>
            <w:gridSpan w:val="5"/>
          </w:tcPr>
          <w:p>
            <w:pPr>
              <w:spacing w:after="0"/>
              <w:rPr>
                <w:sz w:val="17"/>
                <w:szCs w:val="17"/>
                <w:color w:val="auto"/>
              </w:rPr>
            </w:pPr>
          </w:p>
        </w:tc>
      </w:tr>
      <w:tr>
        <w:trPr>
          <w:trHeight w:val="304"/>
        </w:trPr>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(d)(7)</w:t>
            </w:r>
          </w:p>
        </w:tc>
        <w:tc>
          <w:tcPr>
            <w:tcW w:w="920" w:type="dxa"/>
            <w:vAlign w:val="bottom"/>
          </w:tcPr>
          <w:p>
            <w:pPr>
              <w:spacing w:after="0"/>
              <w:rPr>
                <w:sz w:val="24"/>
                <w:szCs w:val="24"/>
                <w:color w:val="auto"/>
              </w:rPr>
            </w:pPr>
          </w:p>
        </w:tc>
        <w:tc>
          <w:tcPr>
            <w:tcW w:w="9220" w:type="dxa"/>
            <w:vAlign w:val="bottom"/>
            <w:gridSpan w:val="22"/>
          </w:tcPr>
          <w:p>
            <w:pPr>
              <w:spacing w:after="0"/>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Base Indenture, dated as of January 22, 2013, relating to the 6.25% Senior Notes due 2025, between the Registrant and</w:t>
              </w:r>
            </w:hyperlink>
          </w:p>
        </w:tc>
      </w:tr>
      <w:tr>
        <w:trPr>
          <w:trHeight w:val="20"/>
        </w:trPr>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5160" w:type="dxa"/>
            <w:vAlign w:val="bottom"/>
            <w:gridSpan w:val="10"/>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1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American Stock Transfer &amp; Trust Company, LLC, as trustee (Incorporated by reference to Exhibit 99.(d)(8) to the Registrant’s</w:t>
              </w:r>
            </w:hyperlink>
          </w:p>
        </w:tc>
        <w:tc>
          <w:tcPr>
            <w:tcW w:w="60" w:type="dxa"/>
            <w:vAlign w:val="bottom"/>
            <w:gridSpan w:val="3"/>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9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Post-Effective Amendment No. 4 to the Registration Statement on Form N-2/A (File No. 333-172524), filed on January 22,</w:t>
              </w:r>
            </w:hyperlink>
          </w:p>
        </w:tc>
        <w:tc>
          <w:tcPr>
            <w:tcW w:w="320" w:type="dxa"/>
            <w:vAlign w:val="bottom"/>
            <w:gridSpan w:val="8"/>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380" w:type="dxa"/>
            <w:vAlign w:val="bottom"/>
            <w:gridSpan w:val="2"/>
          </w:tcPr>
          <w:p>
            <w:pPr>
              <w:ind w:left="920"/>
              <w:spacing w:after="0" w:line="196" w:lineRule="exact"/>
              <w:rPr>
                <w:rFonts w:ascii="Times New Roman" w:cs="Times New Roman" w:eastAsia="Times New Roman" w:hAnsi="Times New Roman"/>
                <w:sz w:val="18"/>
                <w:szCs w:val="18"/>
                <w:color w:val="0000EE"/>
                <w:w w:val="94"/>
              </w:rPr>
            </w:pPr>
            <w:hyperlink r:id="rId125">
              <w:r>
                <w:rPr>
                  <w:rFonts w:ascii="Times New Roman" w:cs="Times New Roman" w:eastAsia="Times New Roman" w:hAnsi="Times New Roman"/>
                  <w:sz w:val="18"/>
                  <w:szCs w:val="18"/>
                  <w:color w:val="0000EE"/>
                  <w:w w:val="94"/>
                </w:rPr>
                <w:t>2013).</w:t>
              </w:r>
            </w:hyperlink>
          </w:p>
        </w:tc>
        <w:tc>
          <w:tcPr>
            <w:tcW w:w="2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700" w:type="dxa"/>
            <w:vAlign w:val="bottom"/>
            <w:gridSpan w:val="1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(d)(8)</w:t>
            </w:r>
          </w:p>
        </w:tc>
        <w:tc>
          <w:tcPr>
            <w:tcW w:w="920" w:type="dxa"/>
            <w:vAlign w:val="bottom"/>
          </w:tcPr>
          <w:p>
            <w:pPr>
              <w:spacing w:after="0"/>
              <w:rPr>
                <w:sz w:val="24"/>
                <w:szCs w:val="24"/>
                <w:color w:val="auto"/>
              </w:rPr>
            </w:pPr>
          </w:p>
        </w:tc>
        <w:tc>
          <w:tcPr>
            <w:tcW w:w="9220" w:type="dxa"/>
            <w:vAlign w:val="bottom"/>
            <w:gridSpan w:val="22"/>
          </w:tcPr>
          <w:p>
            <w:pPr>
              <w:spacing w:after="0"/>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Third Supplemental Indenture, dated as of September 27, 2019, by and between the Registrant and American Stock Transfer &amp;</w:t>
              </w:r>
            </w:hyperlink>
          </w:p>
        </w:tc>
      </w:tr>
      <w:tr>
        <w:trPr>
          <w:trHeight w:val="196"/>
        </w:trPr>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18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Trust Company, LLC, as trustee (Incorporated by reference to Exhibit 4.1 to the Registrant’s Current Report on Form 8-K (File</w:t>
              </w:r>
            </w:hyperlink>
          </w:p>
        </w:tc>
        <w:tc>
          <w:tcPr>
            <w:tcW w:w="40" w:type="dxa"/>
            <w:vAlign w:val="bottom"/>
            <w:gridSpan w:val="2"/>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14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No. 814-00736), filed on September 27, 2019).</w:t>
              </w:r>
            </w:hyperlink>
          </w:p>
        </w:tc>
        <w:tc>
          <w:tcPr>
            <w:tcW w:w="80" w:type="dxa"/>
            <w:vAlign w:val="bottom"/>
            <w:gridSpan w:val="4"/>
          </w:tcPr>
          <w:p>
            <w:pPr>
              <w:spacing w:after="0"/>
              <w:rPr>
                <w:sz w:val="17"/>
                <w:szCs w:val="17"/>
                <w:color w:val="auto"/>
              </w:rPr>
            </w:pPr>
          </w:p>
        </w:tc>
      </w:tr>
      <w:tr>
        <w:trPr>
          <w:trHeight w:val="385"/>
        </w:trPr>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980" w:type="dxa"/>
            <w:vAlign w:val="bottom"/>
            <w:tcBorders>
              <w:top w:val="single" w:sz="8" w:color="0000EE"/>
            </w:tcBorders>
          </w:tcPr>
          <w:p>
            <w:pPr>
              <w:spacing w:after="0"/>
              <w:rPr>
                <w:sz w:val="24"/>
                <w:szCs w:val="24"/>
                <w:color w:val="auto"/>
              </w:rPr>
            </w:pPr>
          </w:p>
        </w:tc>
        <w:tc>
          <w:tcPr>
            <w:tcW w:w="5780" w:type="dxa"/>
            <w:vAlign w:val="bottom"/>
            <w:gridSpan w:val="20"/>
          </w:tcPr>
          <w:p>
            <w:pPr>
              <w:ind w:left="140"/>
              <w:spacing w:after="0"/>
              <w:rPr>
                <w:sz w:val="20"/>
                <w:szCs w:val="20"/>
                <w:color w:val="auto"/>
              </w:rPr>
            </w:pPr>
            <w:r>
              <w:rPr>
                <w:rFonts w:ascii="Times New Roman" w:cs="Times New Roman" w:eastAsia="Times New Roman" w:hAnsi="Times New Roman"/>
                <w:sz w:val="18"/>
                <w:szCs w:val="18"/>
                <w:color w:val="auto"/>
              </w:rPr>
              <w:t>C-1</w:t>
            </w:r>
          </w:p>
        </w:tc>
      </w:tr>
    </w:tbl>
    <w:p>
      <w:pPr>
        <w:sectPr>
          <w:pgSz w:w="11900" w:h="16838" w:orient="portrait"/>
          <w:cols w:equalWidth="0" w:num="1">
            <w:col w:w="11120"/>
          </w:cols>
          <w:pgMar w:left="320" w:top="455" w:right="459" w:bottom="1440" w:gutter="0" w:footer="0" w:header="0"/>
        </w:sectPr>
      </w:pPr>
    </w:p>
    <w:bookmarkStart w:id="83" w:name="page84"/>
    <w:bookmarkEnd w:id="8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Times New Roman" w:cs="Times New Roman" w:eastAsia="Times New Roman" w:hAnsi="Times New Roman"/>
                <w:sz w:val="18"/>
                <w:szCs w:val="18"/>
                <w:b w:val="1"/>
                <w:bCs w:val="1"/>
                <w:color w:val="0000EE"/>
                <w:w w:val="97"/>
              </w:rPr>
            </w:pPr>
            <w:hyperlink w:anchor="page3">
              <w:r>
                <w:rPr>
                  <w:rFonts w:ascii="Times New Roman" w:cs="Times New Roman" w:eastAsia="Times New Roman" w:hAnsi="Times New Roman"/>
                  <w:sz w:val="18"/>
                  <w:szCs w:val="18"/>
                  <w:b w:val="1"/>
                  <w:bCs w:val="1"/>
                  <w:color w:val="0000EE"/>
                  <w:w w:val="97"/>
                </w:rPr>
                <w:t>Table of Contents</w:t>
              </w:r>
            </w:hyperlink>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93"/>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(d)(9)</w:t>
            </w:r>
          </w:p>
        </w:tc>
        <w:tc>
          <w:tcPr>
            <w:tcW w:w="520" w:type="dxa"/>
            <w:vAlign w:val="bottom"/>
          </w:tcPr>
          <w:p>
            <w:pPr>
              <w:spacing w:after="0"/>
              <w:rPr>
                <w:sz w:val="24"/>
                <w:szCs w:val="24"/>
                <w:color w:val="auto"/>
              </w:rPr>
            </w:pPr>
          </w:p>
        </w:tc>
        <w:tc>
          <w:tcPr>
            <w:tcW w:w="924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Fourth Supplemental Indenture, dated as of April 21, 2021, by and between the Company and American Stock Transfer &amp; Trust</w:t>
              </w:r>
            </w:hyperlink>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Company, LLC, as trustee (Incorporated by reference to Exhibit 4.1 to the Registrant’s Form 8-K (File No. 814-00736), filed</w:t>
              </w:r>
            </w:hyperlink>
          </w:p>
        </w:tc>
        <w:tc>
          <w:tcPr>
            <w:tcW w:w="240" w:type="dxa"/>
            <w:vAlign w:val="bottom"/>
            <w:gridSpan w:val="7"/>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28">
              <w:r>
                <w:rPr>
                  <w:rFonts w:ascii="Times New Roman" w:cs="Times New Roman" w:eastAsia="Times New Roman" w:hAnsi="Times New Roman"/>
                  <w:sz w:val="18"/>
                  <w:szCs w:val="18"/>
                  <w:color w:val="0000EE"/>
                  <w:w w:val="98"/>
                </w:rPr>
                <w:t>April 22, 2021).</w:t>
              </w:r>
            </w:hyperlink>
          </w:p>
        </w:tc>
        <w:tc>
          <w:tcPr>
            <w:tcW w:w="8080" w:type="dxa"/>
            <w:vAlign w:val="bottom"/>
            <w:gridSpan w:val="28"/>
          </w:tcPr>
          <w:p>
            <w:pPr>
              <w:spacing w:after="0"/>
              <w:rPr>
                <w:sz w:val="17"/>
                <w:szCs w:val="17"/>
                <w:color w:val="auto"/>
              </w:rPr>
            </w:pPr>
          </w:p>
        </w:tc>
      </w:tr>
      <w:tr>
        <w:trPr>
          <w:trHeight w:val="304"/>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(d)(10)</w:t>
            </w:r>
          </w:p>
        </w:tc>
        <w:tc>
          <w:tcPr>
            <w:tcW w:w="520" w:type="dxa"/>
            <w:vAlign w:val="bottom"/>
          </w:tcPr>
          <w:p>
            <w:pPr>
              <w:spacing w:after="0"/>
              <w:rPr>
                <w:sz w:val="24"/>
                <w:szCs w:val="24"/>
                <w:color w:val="auto"/>
              </w:rPr>
            </w:pPr>
          </w:p>
        </w:tc>
        <w:tc>
          <w:tcPr>
            <w:tcW w:w="9240" w:type="dxa"/>
            <w:vAlign w:val="bottom"/>
            <w:gridSpan w:val="30"/>
          </w:tcPr>
          <w:p>
            <w:pPr>
              <w:spacing w:after="0"/>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Form of 4.50% Notes due 2026 (included as part of Exhibit (d)(9)).</w:t>
              </w:r>
            </w:hyperlink>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(d)(11)</w:t>
            </w:r>
          </w:p>
        </w:tc>
        <w:tc>
          <w:tcPr>
            <w:tcW w:w="520" w:type="dxa"/>
            <w:vAlign w:val="bottom"/>
          </w:tcPr>
          <w:p>
            <w:pPr>
              <w:spacing w:after="0"/>
              <w:rPr>
                <w:sz w:val="24"/>
                <w:szCs w:val="24"/>
                <w:color w:val="auto"/>
              </w:rPr>
            </w:pPr>
          </w:p>
        </w:tc>
        <w:tc>
          <w:tcPr>
            <w:tcW w:w="89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Fifth Supplemental Indenture, dated as of October 21, 2021, by and between the Company and American Stock Transfer &amp;</w:t>
              </w:r>
            </w:hyperlink>
          </w:p>
        </w:tc>
        <w:tc>
          <w:tcPr>
            <w:tcW w:w="320" w:type="dxa"/>
            <w:vAlign w:val="bottom"/>
            <w:gridSpan w:val="11"/>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40" w:type="dxa"/>
            <w:vAlign w:val="bottom"/>
            <w:gridSpan w:val="30"/>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Trust Company, LLC, as trustee (Incorporated by reference to Exhibit 4.1 to the Registrant’s Form 8-K (File No. 814-00736),</w:t>
              </w:r>
            </w:hyperlink>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filed on October 21, 2021).</w:t>
              </w:r>
            </w:hyperlink>
          </w:p>
        </w:tc>
        <w:tc>
          <w:tcPr>
            <w:tcW w:w="7020" w:type="dxa"/>
            <w:vAlign w:val="bottom"/>
            <w:tcBorders>
              <w:top w:val="single" w:sz="8" w:color="0000EE"/>
            </w:tcBorders>
            <w:gridSpan w:val="21"/>
          </w:tcPr>
          <w:p>
            <w:pPr>
              <w:spacing w:after="0"/>
              <w:rPr>
                <w:sz w:val="17"/>
                <w:szCs w:val="17"/>
                <w:color w:val="auto"/>
              </w:rPr>
            </w:pPr>
          </w:p>
        </w:tc>
        <w:tc>
          <w:tcPr>
            <w:tcW w:w="220" w:type="dxa"/>
            <w:vAlign w:val="bottom"/>
            <w:gridSpan w:val="6"/>
          </w:tcPr>
          <w:p>
            <w:pPr>
              <w:spacing w:after="0"/>
              <w:rPr>
                <w:sz w:val="17"/>
                <w:szCs w:val="17"/>
                <w:color w:val="auto"/>
              </w:rPr>
            </w:pPr>
          </w:p>
        </w:tc>
      </w:tr>
      <w:tr>
        <w:trPr>
          <w:trHeight w:val="304"/>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(d)(12)</w:t>
            </w:r>
          </w:p>
        </w:tc>
        <w:tc>
          <w:tcPr>
            <w:tcW w:w="520" w:type="dxa"/>
            <w:vAlign w:val="bottom"/>
          </w:tcPr>
          <w:p>
            <w:pPr>
              <w:spacing w:after="0"/>
              <w:rPr>
                <w:sz w:val="24"/>
                <w:szCs w:val="24"/>
                <w:color w:val="auto"/>
              </w:rPr>
            </w:pPr>
          </w:p>
        </w:tc>
        <w:tc>
          <w:tcPr>
            <w:tcW w:w="9240" w:type="dxa"/>
            <w:vAlign w:val="bottom"/>
            <w:gridSpan w:val="30"/>
          </w:tcPr>
          <w:p>
            <w:pPr>
              <w:spacing w:after="0"/>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Form of 4.00% Notes due 2026 (included as part of Exhibit (d)(11)).</w:t>
              </w:r>
            </w:hyperlink>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4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3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(e)</w:t>
            </w:r>
          </w:p>
        </w:tc>
        <w:tc>
          <w:tcPr>
            <w:tcW w:w="520" w:type="dxa"/>
            <w:vAlign w:val="bottom"/>
          </w:tcPr>
          <w:p>
            <w:pPr>
              <w:spacing w:after="0"/>
              <w:rPr>
                <w:sz w:val="24"/>
                <w:szCs w:val="24"/>
                <w:color w:val="auto"/>
              </w:rPr>
            </w:pPr>
          </w:p>
        </w:tc>
        <w:tc>
          <w:tcPr>
            <w:tcW w:w="900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Dividend Reinvestment Plan (Incorporated by reference to Exhibit 99.(E) to the Registrant’s Registration Statement on Form</w:t>
              </w:r>
            </w:hyperlink>
          </w:p>
        </w:tc>
        <w:tc>
          <w:tcPr>
            <w:tcW w:w="240" w:type="dxa"/>
            <w:vAlign w:val="bottom"/>
            <w:gridSpan w:val="7"/>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7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N-2 (File No. 333-150033), filed on April 2, 2008).</w:t>
              </w:r>
            </w:hyperlink>
          </w:p>
        </w:tc>
        <w:tc>
          <w:tcPr>
            <w:tcW w:w="5540" w:type="dxa"/>
            <w:vAlign w:val="bottom"/>
            <w:gridSpan w:val="26"/>
          </w:tcPr>
          <w:p>
            <w:pPr>
              <w:spacing w:after="0"/>
              <w:rPr>
                <w:sz w:val="17"/>
                <w:szCs w:val="17"/>
                <w:color w:val="auto"/>
              </w:rPr>
            </w:pPr>
          </w:p>
        </w:tc>
      </w:tr>
      <w:tr>
        <w:trPr>
          <w:trHeight w:val="304"/>
        </w:trPr>
        <w:tc>
          <w:tcPr>
            <w:tcW w:w="13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(g)</w:t>
            </w:r>
          </w:p>
        </w:tc>
        <w:tc>
          <w:tcPr>
            <w:tcW w:w="520" w:type="dxa"/>
            <w:vAlign w:val="bottom"/>
          </w:tcPr>
          <w:p>
            <w:pPr>
              <w:spacing w:after="0"/>
              <w:rPr>
                <w:sz w:val="24"/>
                <w:szCs w:val="24"/>
                <w:color w:val="auto"/>
              </w:rPr>
            </w:pPr>
          </w:p>
        </w:tc>
        <w:tc>
          <w:tcPr>
            <w:tcW w:w="924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Third Amended and Restated Investment Advisory Management Agreement, dated as of April 12, 2019, between the Registrant</w:t>
              </w:r>
            </w:hyperlink>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98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and PennantPark Investment Advisers, LLC (Incorporated by reference to Exhibit 99.(G)(3) to the Registrant’s Pre-Effective</w:t>
              </w:r>
            </w:hyperlink>
          </w:p>
        </w:tc>
        <w:tc>
          <w:tcPr>
            <w:tcW w:w="260" w:type="dxa"/>
            <w:vAlign w:val="bottom"/>
            <w:gridSpan w:val="8"/>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Amendment No. 1 to the Registration Statement on Form N-2/A (File No. 333-230014), filed on April 12, 2019).</w:t>
              </w:r>
            </w:hyperlink>
          </w:p>
        </w:tc>
        <w:tc>
          <w:tcPr>
            <w:tcW w:w="1040" w:type="dxa"/>
            <w:vAlign w:val="bottom"/>
            <w:gridSpan w:val="19"/>
          </w:tcPr>
          <w:p>
            <w:pPr>
              <w:spacing w:after="0"/>
              <w:rPr>
                <w:sz w:val="17"/>
                <w:szCs w:val="17"/>
                <w:color w:val="auto"/>
              </w:rPr>
            </w:pPr>
          </w:p>
        </w:tc>
      </w:tr>
      <w:tr>
        <w:trPr>
          <w:trHeight w:val="304"/>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(h)(1)</w:t>
            </w:r>
          </w:p>
        </w:tc>
        <w:tc>
          <w:tcPr>
            <w:tcW w:w="520" w:type="dxa"/>
            <w:vAlign w:val="bottom"/>
          </w:tcPr>
          <w:p>
            <w:pPr>
              <w:spacing w:after="0"/>
              <w:rPr>
                <w:sz w:val="24"/>
                <w:szCs w:val="24"/>
                <w:color w:val="auto"/>
              </w:rPr>
            </w:pPr>
          </w:p>
        </w:tc>
        <w:tc>
          <w:tcPr>
            <w:tcW w:w="9240" w:type="dxa"/>
            <w:vAlign w:val="bottom"/>
            <w:gridSpan w:val="30"/>
          </w:tcPr>
          <w:p>
            <w:pPr>
              <w:spacing w:after="0"/>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Form of Underwriting Agreement for equity (Incorporated by reference to Exhibit 99.(H)(1) to the Registrant’s Post-Effective</w:t>
              </w:r>
            </w:hyperlink>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Amendment No. 4 to the Registration Statement on Form N-2/A (File No. 333-150033), filed on February 22, 2010).</w:t>
              </w:r>
            </w:hyperlink>
          </w:p>
        </w:tc>
        <w:tc>
          <w:tcPr>
            <w:tcW w:w="640" w:type="dxa"/>
            <w:vAlign w:val="bottom"/>
            <w:tcBorders>
              <w:top w:val="single" w:sz="8" w:color="0000EE"/>
            </w:tcBorders>
            <w:gridSpan w:val="13"/>
          </w:tcPr>
          <w:p>
            <w:pPr>
              <w:spacing w:after="0"/>
              <w:rPr>
                <w:sz w:val="17"/>
                <w:szCs w:val="17"/>
                <w:color w:val="auto"/>
              </w:rPr>
            </w:pPr>
          </w:p>
        </w:tc>
        <w:tc>
          <w:tcPr>
            <w:tcW w:w="180" w:type="dxa"/>
            <w:vAlign w:val="bottom"/>
            <w:gridSpan w:val="4"/>
          </w:tcPr>
          <w:p>
            <w:pPr>
              <w:spacing w:after="0"/>
              <w:rPr>
                <w:sz w:val="17"/>
                <w:szCs w:val="17"/>
                <w:color w:val="auto"/>
              </w:rPr>
            </w:pPr>
          </w:p>
        </w:tc>
      </w:tr>
      <w:tr>
        <w:trPr>
          <w:trHeight w:val="304"/>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(h)(2)</w:t>
            </w:r>
          </w:p>
        </w:tc>
        <w:tc>
          <w:tcPr>
            <w:tcW w:w="520" w:type="dxa"/>
            <w:vAlign w:val="bottom"/>
          </w:tcPr>
          <w:p>
            <w:pPr>
              <w:spacing w:after="0"/>
              <w:rPr>
                <w:sz w:val="24"/>
                <w:szCs w:val="24"/>
                <w:color w:val="auto"/>
              </w:rPr>
            </w:pPr>
          </w:p>
        </w:tc>
        <w:tc>
          <w:tcPr>
            <w:tcW w:w="88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Form of Underwriting Agreement for debt (Incorporated by reference to Exhibit 99.(H)(2) to the Registrant’s Pre-Effective</w:t>
              </w:r>
            </w:hyperlink>
          </w:p>
        </w:tc>
        <w:tc>
          <w:tcPr>
            <w:tcW w:w="380" w:type="dxa"/>
            <w:vAlign w:val="bottom"/>
            <w:gridSpan w:val="13"/>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Amendment to the Registration Statement on Form N-2/A (File No. 333-150033), filed on May 30, 2008).</w:t>
              </w:r>
            </w:hyperlink>
          </w:p>
        </w:tc>
        <w:tc>
          <w:tcPr>
            <w:tcW w:w="1580" w:type="dxa"/>
            <w:vAlign w:val="bottom"/>
            <w:gridSpan w:val="20"/>
          </w:tcPr>
          <w:p>
            <w:pPr>
              <w:spacing w:after="0"/>
              <w:rPr>
                <w:sz w:val="17"/>
                <w:szCs w:val="17"/>
                <w:color w:val="auto"/>
              </w:rPr>
            </w:pPr>
          </w:p>
        </w:tc>
      </w:tr>
      <w:tr>
        <w:trPr>
          <w:trHeight w:val="304"/>
        </w:trPr>
        <w:tc>
          <w:tcPr>
            <w:tcW w:w="13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(j)</w:t>
            </w:r>
          </w:p>
        </w:tc>
        <w:tc>
          <w:tcPr>
            <w:tcW w:w="520" w:type="dxa"/>
            <w:vAlign w:val="bottom"/>
          </w:tcPr>
          <w:p>
            <w:pPr>
              <w:spacing w:after="0"/>
              <w:rPr>
                <w:sz w:val="24"/>
                <w:szCs w:val="24"/>
                <w:color w:val="auto"/>
              </w:rPr>
            </w:pPr>
          </w:p>
        </w:tc>
        <w:tc>
          <w:tcPr>
            <w:tcW w:w="904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Custodian Agreement between the Registrant and PFPC Trust Company (Incorporated by reference to Exhibit 99.(J)(1) to the</w:t>
              </w:r>
            </w:hyperlink>
          </w:p>
        </w:tc>
        <w:tc>
          <w:tcPr>
            <w:tcW w:w="200" w:type="dxa"/>
            <w:vAlign w:val="bottom"/>
            <w:gridSpan w:val="5"/>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9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Registrant’s Registration Statement on Form N-2 (File No. 333-150033), filed on April 2, 2008).</w:t>
              </w:r>
            </w:hyperlink>
          </w:p>
        </w:tc>
        <w:tc>
          <w:tcPr>
            <w:tcW w:w="2280" w:type="dxa"/>
            <w:vAlign w:val="bottom"/>
            <w:gridSpan w:val="21"/>
          </w:tcPr>
          <w:p>
            <w:pPr>
              <w:spacing w:after="0"/>
              <w:rPr>
                <w:sz w:val="17"/>
                <w:szCs w:val="17"/>
                <w:color w:val="auto"/>
              </w:rPr>
            </w:pPr>
          </w:p>
        </w:tc>
      </w:tr>
      <w:tr>
        <w:trPr>
          <w:trHeight w:val="304"/>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(k)(1)</w:t>
            </w:r>
          </w:p>
        </w:tc>
        <w:tc>
          <w:tcPr>
            <w:tcW w:w="520" w:type="dxa"/>
            <w:vAlign w:val="bottom"/>
          </w:tcPr>
          <w:p>
            <w:pPr>
              <w:spacing w:after="0"/>
              <w:rPr>
                <w:sz w:val="24"/>
                <w:szCs w:val="24"/>
                <w:color w:val="auto"/>
              </w:rPr>
            </w:pPr>
          </w:p>
        </w:tc>
        <w:tc>
          <w:tcPr>
            <w:tcW w:w="924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Administration Agreement between the Registrant and PennantPark Investment Administration, LLC (Incorporated by reference</w:t>
              </w:r>
            </w:hyperlink>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9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to Exhibit 99.(K)(1) to the Registrant’s Registration Statement on Form N-2 (File No. 333-150033), filed on April 2, 2008).</w:t>
              </w:r>
            </w:hyperlink>
          </w:p>
        </w:tc>
        <w:tc>
          <w:tcPr>
            <w:tcW w:w="340" w:type="dxa"/>
            <w:vAlign w:val="bottom"/>
            <w:gridSpan w:val="12"/>
          </w:tcPr>
          <w:p>
            <w:pPr>
              <w:spacing w:after="0"/>
              <w:rPr>
                <w:sz w:val="17"/>
                <w:szCs w:val="17"/>
                <w:color w:val="auto"/>
              </w:rPr>
            </w:pPr>
          </w:p>
        </w:tc>
      </w:tr>
      <w:tr>
        <w:trPr>
          <w:trHeight w:val="304"/>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(k)(2)</w:t>
            </w:r>
          </w:p>
        </w:tc>
        <w:tc>
          <w:tcPr>
            <w:tcW w:w="520" w:type="dxa"/>
            <w:vAlign w:val="bottom"/>
          </w:tcPr>
          <w:p>
            <w:pPr>
              <w:spacing w:after="0"/>
              <w:rPr>
                <w:sz w:val="24"/>
                <w:szCs w:val="24"/>
                <w:color w:val="auto"/>
              </w:rPr>
            </w:pPr>
          </w:p>
        </w:tc>
        <w:tc>
          <w:tcPr>
            <w:tcW w:w="908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Stock Transfer Agency Agreement between the Registrant and American Stock Transfer and Trust Company (Incorporated by</w:t>
              </w:r>
            </w:hyperlink>
          </w:p>
        </w:tc>
        <w:tc>
          <w:tcPr>
            <w:tcW w:w="160" w:type="dxa"/>
            <w:vAlign w:val="bottom"/>
            <w:gridSpan w:val="3"/>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10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reference to Exhibit 99.(K)(2) to the Registrant’s Registration Statement on Form N-2 (File No. 333-150033), filed on April 2,</w:t>
              </w:r>
            </w:hyperlink>
          </w:p>
        </w:tc>
        <w:tc>
          <w:tcPr>
            <w:tcW w:w="140" w:type="dxa"/>
            <w:vAlign w:val="bottom"/>
            <w:gridSpan w:val="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0" w:type="dxa"/>
            <w:vAlign w:val="bottom"/>
            <w:gridSpan w:val="2"/>
          </w:tcPr>
          <w:p>
            <w:pPr>
              <w:ind w:left="520"/>
              <w:spacing w:after="0" w:line="196" w:lineRule="exact"/>
              <w:rPr>
                <w:rFonts w:ascii="Times New Roman" w:cs="Times New Roman" w:eastAsia="Times New Roman" w:hAnsi="Times New Roman"/>
                <w:sz w:val="18"/>
                <w:szCs w:val="18"/>
                <w:color w:val="0000EE"/>
                <w:w w:val="94"/>
              </w:rPr>
            </w:pPr>
            <w:hyperlink r:id="rId136">
              <w:r>
                <w:rPr>
                  <w:rFonts w:ascii="Times New Roman" w:cs="Times New Roman" w:eastAsia="Times New Roman" w:hAnsi="Times New Roman"/>
                  <w:sz w:val="18"/>
                  <w:szCs w:val="18"/>
                  <w:color w:val="0000EE"/>
                  <w:w w:val="94"/>
                </w:rPr>
                <w:t>2008).</w:t>
              </w:r>
            </w:hyperlink>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80" w:type="dxa"/>
            <w:vAlign w:val="bottom"/>
            <w:gridSpan w:val="4"/>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(k)(3)</w:t>
            </w:r>
          </w:p>
        </w:tc>
        <w:tc>
          <w:tcPr>
            <w:tcW w:w="520" w:type="dxa"/>
            <w:vAlign w:val="bottom"/>
          </w:tcPr>
          <w:p>
            <w:pPr>
              <w:spacing w:after="0"/>
              <w:rPr>
                <w:sz w:val="24"/>
                <w:szCs w:val="24"/>
                <w:color w:val="auto"/>
              </w:rPr>
            </w:pPr>
          </w:p>
        </w:tc>
        <w:tc>
          <w:tcPr>
            <w:tcW w:w="9240" w:type="dxa"/>
            <w:vAlign w:val="bottom"/>
            <w:gridSpan w:val="30"/>
          </w:tcPr>
          <w:p>
            <w:pPr>
              <w:spacing w:after="0"/>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Trademark License Agreement (Incorporated by reference to Exhibit 99.(K)(3) to the Registrant’s Registration Statement on</w:t>
              </w:r>
            </w:hyperlink>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14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Form N-2 (File No. 333-150033), filed on April 2, 2008).</w:t>
              </w:r>
            </w:hyperlink>
          </w:p>
        </w:tc>
        <w:tc>
          <w:tcPr>
            <w:tcW w:w="4800" w:type="dxa"/>
            <w:vAlign w:val="bottom"/>
            <w:tcBorders>
              <w:top w:val="single" w:sz="8" w:color="0000EE"/>
            </w:tcBorders>
            <w:gridSpan w:val="15"/>
          </w:tcPr>
          <w:p>
            <w:pPr>
              <w:spacing w:after="0"/>
              <w:rPr>
                <w:sz w:val="17"/>
                <w:szCs w:val="17"/>
                <w:color w:val="auto"/>
              </w:rPr>
            </w:pPr>
          </w:p>
        </w:tc>
        <w:tc>
          <w:tcPr>
            <w:tcW w:w="300" w:type="dxa"/>
            <w:vAlign w:val="bottom"/>
            <w:gridSpan w:val="10"/>
          </w:tcPr>
          <w:p>
            <w:pPr>
              <w:spacing w:after="0"/>
              <w:rPr>
                <w:sz w:val="17"/>
                <w:szCs w:val="17"/>
                <w:color w:val="auto"/>
              </w:rPr>
            </w:pPr>
          </w:p>
        </w:tc>
      </w:tr>
      <w:tr>
        <w:trPr>
          <w:trHeight w:val="304"/>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(k)(4)</w:t>
            </w:r>
          </w:p>
        </w:tc>
        <w:tc>
          <w:tcPr>
            <w:tcW w:w="520" w:type="dxa"/>
            <w:vAlign w:val="bottom"/>
          </w:tcPr>
          <w:p>
            <w:pPr>
              <w:spacing w:after="0"/>
              <w:rPr>
                <w:sz w:val="24"/>
                <w:szCs w:val="24"/>
                <w:color w:val="auto"/>
              </w:rPr>
            </w:pPr>
          </w:p>
        </w:tc>
        <w:tc>
          <w:tcPr>
            <w:tcW w:w="86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First Omnibus Amendment to Second Amended and Restated Senior Secured Revolving Credit Agreement and Second</w:t>
              </w:r>
            </w:hyperlink>
          </w:p>
        </w:tc>
        <w:tc>
          <w:tcPr>
            <w:tcW w:w="640" w:type="dxa"/>
            <w:vAlign w:val="bottom"/>
            <w:gridSpan w:val="15"/>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8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Amended and Restated Guarantee and Security Agreement, dated as of May 25, 2017, among the Registrant, the lenders party</w:t>
              </w:r>
            </w:hyperlink>
          </w:p>
        </w:tc>
        <w:tc>
          <w:tcPr>
            <w:tcW w:w="16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96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thereto and Truist Bank, as administrative agent for the lenders (Incorporated by reference to Exhibit 10.1 to the Registrant’s</w:t>
              </w:r>
            </w:hyperlink>
          </w:p>
        </w:tc>
        <w:tc>
          <w:tcPr>
            <w:tcW w:w="280" w:type="dxa"/>
            <w:vAlign w:val="bottom"/>
            <w:gridSpan w:val="9"/>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40" w:type="dxa"/>
            <w:vAlign w:val="bottom"/>
            <w:gridSpan w:val="30"/>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Quarterly Report on Form 10-Q (File No. 814-00736), filed on August 7, 2017).</w:t>
              </w:r>
            </w:hyperlink>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760" w:type="dxa"/>
            <w:vAlign w:val="bottom"/>
            <w:gridSpan w:val="8"/>
            <w:shd w:val="clear" w:color="auto" w:fill="0000EE"/>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80" w:type="dxa"/>
            <w:vAlign w:val="bottom"/>
            <w:gridSpan w:val="1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(k)(5)</w:t>
            </w:r>
          </w:p>
        </w:tc>
        <w:tc>
          <w:tcPr>
            <w:tcW w:w="520" w:type="dxa"/>
            <w:vAlign w:val="bottom"/>
          </w:tcPr>
          <w:p>
            <w:pPr>
              <w:spacing w:after="0"/>
              <w:rPr>
                <w:sz w:val="24"/>
                <w:szCs w:val="24"/>
                <w:color w:val="auto"/>
              </w:rPr>
            </w:pPr>
          </w:p>
        </w:tc>
        <w:tc>
          <w:tcPr>
            <w:tcW w:w="912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Second Amendment to Second Amended and Restated Senior Secured Revolving Credit Agreement, dated as of September 4,</w:t>
              </w:r>
            </w:hyperlink>
          </w:p>
        </w:tc>
        <w:tc>
          <w:tcPr>
            <w:tcW w:w="12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3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2019, by and among PennantPark Investment Corporation, as borrower, the lenders party thereto, SunTrust Bank, as</w:t>
              </w:r>
            </w:hyperlink>
          </w:p>
        </w:tc>
        <w:tc>
          <w:tcPr>
            <w:tcW w:w="880" w:type="dxa"/>
            <w:vAlign w:val="bottom"/>
            <w:gridSpan w:val="18"/>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40" w:type="dxa"/>
            <w:vAlign w:val="bottom"/>
            <w:gridSpan w:val="30"/>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administrative agent and collateral agent, and solely with respect to Section 4.9, PNNT CI (GALLS) Prime Investment</w:t>
              </w:r>
            </w:hyperlink>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580" w:type="dxa"/>
            <w:vAlign w:val="bottom"/>
            <w:gridSpan w:val="14"/>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0" w:type="dxa"/>
            <w:vAlign w:val="bottom"/>
            <w:gridSpan w:val="14"/>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Holdings, LLC, PNNT Investment Holdings, LLC, PNNT New Gulf Resources, LLC, PNNT ecoserve, LLC and PNNT</w:t>
              </w:r>
            </w:hyperlink>
          </w:p>
        </w:tc>
        <w:tc>
          <w:tcPr>
            <w:tcW w:w="600" w:type="dxa"/>
            <w:vAlign w:val="bottom"/>
            <w:gridSpan w:val="14"/>
          </w:tcPr>
          <w:p>
            <w:pPr>
              <w:spacing w:after="0"/>
              <w:rPr>
                <w:sz w:val="17"/>
                <w:szCs w:val="17"/>
                <w:color w:val="auto"/>
              </w:rPr>
            </w:pPr>
          </w:p>
        </w:tc>
      </w:tr>
    </w:tbl>
    <w:p>
      <w:pPr>
        <w:spacing w:after="0" w:line="9" w:lineRule="exact"/>
        <w:rPr>
          <w:sz w:val="20"/>
          <w:szCs w:val="20"/>
          <w:color w:val="auto"/>
        </w:rPr>
      </w:pPr>
    </w:p>
    <w:p>
      <w:pPr>
        <w:ind w:left="1880" w:right="780"/>
        <w:spacing w:after="0" w:line="282" w:lineRule="auto"/>
        <w:rPr>
          <w:rFonts w:ascii="Times New Roman" w:cs="Times New Roman" w:eastAsia="Times New Roman" w:hAnsi="Times New Roman"/>
          <w:sz w:val="18"/>
          <w:szCs w:val="18"/>
          <w:u w:val="single" w:color="auto"/>
          <w:color w:val="0000EE"/>
        </w:rPr>
      </w:pPr>
      <w:hyperlink r:id="rId139">
        <w:r>
          <w:rPr>
            <w:rFonts w:ascii="Times New Roman" w:cs="Times New Roman" w:eastAsia="Times New Roman" w:hAnsi="Times New Roman"/>
            <w:sz w:val="18"/>
            <w:szCs w:val="18"/>
            <w:u w:val="single" w:color="auto"/>
            <w:color w:val="0000EE"/>
          </w:rPr>
          <w:t>Cascade Environmental Holdings, LLC (Incorporated by reference to Exhibit 10.1 to the Registrant’s Form 8-K (File</w:t>
        </w:r>
      </w:hyperlink>
      <w:r>
        <w:rPr>
          <w:rFonts w:ascii="Times New Roman" w:cs="Times New Roman" w:eastAsia="Times New Roman" w:hAnsi="Times New Roman"/>
          <w:sz w:val="18"/>
          <w:szCs w:val="18"/>
          <w:u w:val="single" w:color="auto"/>
          <w:color w:val="0000EE"/>
        </w:rPr>
        <w:t xml:space="preserve"> </w:t>
      </w:r>
      <w:hyperlink r:id="rId139">
        <w:r>
          <w:rPr>
            <w:rFonts w:ascii="Times New Roman" w:cs="Times New Roman" w:eastAsia="Times New Roman" w:hAnsi="Times New Roman"/>
            <w:sz w:val="18"/>
            <w:szCs w:val="18"/>
            <w:u w:val="single" w:color="auto"/>
            <w:color w:val="0000EE"/>
          </w:rPr>
          <w:t>No. 814-00736), filed on September 4, 2019).</w:t>
        </w:r>
      </w:hyperlink>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1120"/>
          </w:cols>
          <w:pgMar w:left="320" w:top="446" w:right="45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Times New Roman" w:cs="Times New Roman" w:eastAsia="Times New Roman" w:hAnsi="Times New Roman"/>
                <w:sz w:val="18"/>
                <w:szCs w:val="18"/>
                <w:b w:val="1"/>
                <w:bCs w:val="1"/>
                <w:color w:val="0000EE"/>
                <w:w w:val="97"/>
              </w:rPr>
            </w:pPr>
            <w:hyperlink w:anchor="page3">
              <w:r>
                <w:rPr>
                  <w:rFonts w:ascii="Times New Roman" w:cs="Times New Roman" w:eastAsia="Times New Roman" w:hAnsi="Times New Roman"/>
                  <w:sz w:val="18"/>
                  <w:szCs w:val="18"/>
                  <w:b w:val="1"/>
                  <w:bCs w:val="1"/>
                  <w:color w:val="0000EE"/>
                  <w:w w:val="97"/>
                </w:rPr>
                <w:t>Table of Contents</w:t>
              </w:r>
            </w:hyperlink>
          </w:p>
        </w:tc>
        <w:tc>
          <w:tcPr>
            <w:tcW w:w="5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93"/>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(k)(6)</w:t>
            </w:r>
          </w:p>
        </w:tc>
        <w:tc>
          <w:tcPr>
            <w:tcW w:w="520" w:type="dxa"/>
            <w:vAlign w:val="bottom"/>
          </w:tcPr>
          <w:p>
            <w:pPr>
              <w:spacing w:after="0"/>
              <w:rPr>
                <w:sz w:val="24"/>
                <w:szCs w:val="24"/>
                <w:color w:val="auto"/>
              </w:rPr>
            </w:pPr>
          </w:p>
        </w:tc>
        <w:tc>
          <w:tcPr>
            <w:tcW w:w="9240" w:type="dxa"/>
            <w:vAlign w:val="bottom"/>
            <w:gridSpan w:val="24"/>
          </w:tcPr>
          <w:p>
            <w:pPr>
              <w:spacing w:after="0"/>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Amended and Restated Limited Liability Company Agreement of PennantPark Senior Loan Fund, LLC, dated as of July 31,</w:t>
              </w:r>
            </w:hyperlink>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2020, by and among PennantPark Investment Corporation, Pantheon Private Debt Program SCSp SICAV – RAIF In Respect Of</w:t>
              </w:r>
            </w:hyperlink>
          </w:p>
        </w:tc>
        <w:tc>
          <w:tcPr>
            <w:tcW w:w="40" w:type="dxa"/>
            <w:vAlign w:val="bottom"/>
            <w:gridSpan w:val="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40" w:type="dxa"/>
            <w:vAlign w:val="bottom"/>
            <w:gridSpan w:val="24"/>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Its Compartment Pantheon Senior Debt Secondaries II (USD) and Solutio Premium Private Debt I SCSp (Incorporated by</w:t>
              </w:r>
            </w:hyperlink>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38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reference to Exhibit 10.1 to the Registrant’s Form 8-K (File No. 814-00736), filed on August 4, 2020).</w:t>
              </w:r>
            </w:hyperlink>
          </w:p>
        </w:tc>
        <w:tc>
          <w:tcPr>
            <w:tcW w:w="1380" w:type="dxa"/>
            <w:vAlign w:val="bottom"/>
            <w:tcBorders>
              <w:top w:val="single" w:sz="8" w:color="0000EE"/>
            </w:tcBorders>
            <w:gridSpan w:val="3"/>
          </w:tcPr>
          <w:p>
            <w:pPr>
              <w:spacing w:after="0"/>
              <w:rPr>
                <w:sz w:val="17"/>
                <w:szCs w:val="17"/>
                <w:color w:val="auto"/>
              </w:rPr>
            </w:pPr>
          </w:p>
        </w:tc>
        <w:tc>
          <w:tcPr>
            <w:tcW w:w="480" w:type="dxa"/>
            <w:vAlign w:val="bottom"/>
            <w:gridSpan w:val="13"/>
          </w:tcPr>
          <w:p>
            <w:pPr>
              <w:spacing w:after="0"/>
              <w:rPr>
                <w:sz w:val="17"/>
                <w:szCs w:val="17"/>
                <w:color w:val="auto"/>
              </w:rPr>
            </w:pPr>
          </w:p>
        </w:tc>
      </w:tr>
      <w:tr>
        <w:trPr>
          <w:trHeight w:val="304"/>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(k)(7)</w:t>
            </w:r>
          </w:p>
        </w:tc>
        <w:tc>
          <w:tcPr>
            <w:tcW w:w="520" w:type="dxa"/>
            <w:vAlign w:val="bottom"/>
          </w:tcPr>
          <w:p>
            <w:pPr>
              <w:spacing w:after="0"/>
              <w:rPr>
                <w:sz w:val="24"/>
                <w:szCs w:val="24"/>
                <w:color w:val="auto"/>
              </w:rPr>
            </w:pPr>
          </w:p>
        </w:tc>
        <w:tc>
          <w:tcPr>
            <w:tcW w:w="9240" w:type="dxa"/>
            <w:vAlign w:val="bottom"/>
            <w:gridSpan w:val="24"/>
          </w:tcPr>
          <w:p>
            <w:pPr>
              <w:spacing w:after="0"/>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First Amendment to the Amended and Restated Limited Liability Company Agreement of PennantPark Senior Loan Fund,</w:t>
              </w:r>
            </w:hyperlink>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1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LLC, dated as of October 31, 2020, by and among PennantPark Investment Corporation, Pantheon Private Debt Program SCSp</w:t>
              </w:r>
            </w:hyperlink>
          </w:p>
        </w:tc>
        <w:tc>
          <w:tcPr>
            <w:tcW w:w="80" w:type="dxa"/>
            <w:vAlign w:val="bottom"/>
            <w:gridSpan w:val="4"/>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40" w:type="dxa"/>
            <w:vAlign w:val="bottom"/>
            <w:gridSpan w:val="24"/>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SICAV – RAIF In Respect Of Its Compartment Pantheon Senior Debt Secondaries II (USD), Pantheon Private Debt Program</w:t>
              </w:r>
            </w:hyperlink>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40" w:type="dxa"/>
            <w:vAlign w:val="bottom"/>
            <w:gridSpan w:val="24"/>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SCSp SICAV-RAIF In Respect Of Its Compartment Pantheon Credit Opportunities II (USD), Pantheon Private Debt Program</w:t>
              </w:r>
            </w:hyperlink>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6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SCSp SICAV-RAIF In Respect Of Its Compartment Tubera Credit 2020 and Solutio Premium Private Debt I SCSp</w:t>
              </w:r>
            </w:hyperlink>
          </w:p>
        </w:tc>
        <w:tc>
          <w:tcPr>
            <w:tcW w:w="760" w:type="dxa"/>
            <w:vAlign w:val="bottom"/>
            <w:tcBorders>
              <w:top w:val="single" w:sz="8" w:color="0000EE"/>
            </w:tcBorders>
            <w:gridSpan w:val="6"/>
          </w:tcPr>
          <w:p>
            <w:pPr>
              <w:spacing w:after="0"/>
              <w:rPr>
                <w:sz w:val="17"/>
                <w:szCs w:val="17"/>
                <w:color w:val="auto"/>
              </w:rPr>
            </w:pPr>
          </w:p>
        </w:tc>
        <w:tc>
          <w:tcPr>
            <w:tcW w:w="220" w:type="dxa"/>
            <w:vAlign w:val="bottom"/>
            <w:gridSpan w:val="9"/>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1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(Incorporated by reference to Exhibit 10.12 to the Registrant’s Form 10-K (File No. 814-00736), filed on November 19, 2020).</w:t>
              </w:r>
            </w:hyperlink>
          </w:p>
        </w:tc>
        <w:tc>
          <w:tcPr>
            <w:tcW w:w="100" w:type="dxa"/>
            <w:vAlign w:val="bottom"/>
            <w:gridSpan w:val="5"/>
          </w:tcPr>
          <w:p>
            <w:pPr>
              <w:spacing w:after="0"/>
              <w:rPr>
                <w:sz w:val="17"/>
                <w:szCs w:val="17"/>
                <w:color w:val="auto"/>
              </w:rPr>
            </w:pPr>
          </w:p>
        </w:tc>
      </w:tr>
      <w:tr>
        <w:trPr>
          <w:trHeight w:val="304"/>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(k)(8)</w:t>
            </w:r>
          </w:p>
        </w:tc>
        <w:tc>
          <w:tcPr>
            <w:tcW w:w="520" w:type="dxa"/>
            <w:vAlign w:val="bottom"/>
          </w:tcPr>
          <w:p>
            <w:pPr>
              <w:spacing w:after="0"/>
              <w:rPr>
                <w:sz w:val="24"/>
                <w:szCs w:val="24"/>
                <w:color w:val="auto"/>
              </w:rPr>
            </w:pPr>
          </w:p>
        </w:tc>
        <w:tc>
          <w:tcPr>
            <w:tcW w:w="9240" w:type="dxa"/>
            <w:vAlign w:val="bottom"/>
            <w:gridSpan w:val="24"/>
          </w:tcPr>
          <w:p>
            <w:pPr>
              <w:spacing w:after="0"/>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First Omnibus Amendment, dated as of July 31, 2020, by and among PennantPark Investment Funding I, LLC, as borrower,</w:t>
              </w:r>
            </w:hyperlink>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98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PennantPark Senior Loan Fund, LLC, as equityholder of the borrower, PennantPark Investment Corporation, PennantPark</w:t>
              </w:r>
            </w:hyperlink>
          </w:p>
        </w:tc>
        <w:tc>
          <w:tcPr>
            <w:tcW w:w="260" w:type="dxa"/>
            <w:vAlign w:val="bottom"/>
            <w:gridSpan w:val="10"/>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40" w:type="dxa"/>
            <w:vAlign w:val="bottom"/>
            <w:gridSpan w:val="24"/>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Investment Advisers, LLC, as servicer, and The Bank of New York Mellon Trust Company, National Association, as collateral</w:t>
              </w:r>
            </w:hyperlink>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10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agent, Sterling National Bank, as lender and BNP Paribas, as administrative agent and as lender (Incorporated by reference to</w:t>
              </w:r>
            </w:hyperlink>
          </w:p>
        </w:tc>
        <w:tc>
          <w:tcPr>
            <w:tcW w:w="140" w:type="dxa"/>
            <w:vAlign w:val="bottom"/>
            <w:gridSpan w:val="7"/>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8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Exhibit 10.2 to the Registrant’s Form 8-K (File No. 814-00736), filed on August 4, 2020).</w:t>
              </w:r>
            </w:hyperlink>
          </w:p>
        </w:tc>
        <w:tc>
          <w:tcPr>
            <w:tcW w:w="2540" w:type="dxa"/>
            <w:vAlign w:val="bottom"/>
            <w:tcBorders>
              <w:top w:val="single" w:sz="8" w:color="0000EE"/>
            </w:tcBorders>
            <w:gridSpan w:val="8"/>
          </w:tcPr>
          <w:p>
            <w:pPr>
              <w:spacing w:after="0"/>
              <w:rPr>
                <w:sz w:val="17"/>
                <w:szCs w:val="17"/>
                <w:color w:val="auto"/>
              </w:rPr>
            </w:pPr>
          </w:p>
        </w:tc>
        <w:tc>
          <w:tcPr>
            <w:tcW w:w="220" w:type="dxa"/>
            <w:vAlign w:val="bottom"/>
            <w:gridSpan w:val="9"/>
          </w:tcPr>
          <w:p>
            <w:pPr>
              <w:spacing w:after="0"/>
              <w:rPr>
                <w:sz w:val="17"/>
                <w:szCs w:val="17"/>
                <w:color w:val="auto"/>
              </w:rPr>
            </w:pPr>
          </w:p>
        </w:tc>
      </w:tr>
      <w:tr>
        <w:trPr>
          <w:trHeight w:val="304"/>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(k)(9)</w:t>
            </w:r>
          </w:p>
        </w:tc>
        <w:tc>
          <w:tcPr>
            <w:tcW w:w="520" w:type="dxa"/>
            <w:vAlign w:val="bottom"/>
          </w:tcPr>
          <w:p>
            <w:pPr>
              <w:spacing w:after="0"/>
              <w:rPr>
                <w:sz w:val="24"/>
                <w:szCs w:val="24"/>
                <w:color w:val="auto"/>
              </w:rPr>
            </w:pPr>
          </w:p>
        </w:tc>
        <w:tc>
          <w:tcPr>
            <w:tcW w:w="89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Indemnification Agreement, dated as of November 15, 2016, between PennantPark Investment Corporation and each of the</w:t>
              </w:r>
            </w:hyperlink>
          </w:p>
        </w:tc>
        <w:tc>
          <w:tcPr>
            <w:tcW w:w="320" w:type="dxa"/>
            <w:vAlign w:val="bottom"/>
            <w:gridSpan w:val="11"/>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40" w:type="dxa"/>
            <w:vAlign w:val="bottom"/>
            <w:gridSpan w:val="24"/>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directors and officers listed on Schedule A attached thereto (Incorporated by reference to Exhibit 10.5 on the Registrant’s</w:t>
              </w:r>
            </w:hyperlink>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94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Annual Report on Form 10-K (File No. 814-00891), filed on November 21, 2016).</w:t>
              </w:r>
            </w:hyperlink>
          </w:p>
        </w:tc>
        <w:tc>
          <w:tcPr>
            <w:tcW w:w="2780" w:type="dxa"/>
            <w:vAlign w:val="bottom"/>
            <w:tcBorders>
              <w:top w:val="single" w:sz="8" w:color="0000EE"/>
            </w:tcBorders>
            <w:gridSpan w:val="4"/>
          </w:tcPr>
          <w:p>
            <w:pPr>
              <w:spacing w:after="0"/>
              <w:rPr>
                <w:sz w:val="17"/>
                <w:szCs w:val="17"/>
                <w:color w:val="auto"/>
              </w:rPr>
            </w:pPr>
          </w:p>
        </w:tc>
        <w:tc>
          <w:tcPr>
            <w:tcW w:w="520" w:type="dxa"/>
            <w:vAlign w:val="bottom"/>
            <w:gridSpan w:val="14"/>
          </w:tcPr>
          <w:p>
            <w:pPr>
              <w:spacing w:after="0"/>
              <w:rPr>
                <w:sz w:val="17"/>
                <w:szCs w:val="17"/>
                <w:color w:val="auto"/>
              </w:rPr>
            </w:pPr>
          </w:p>
        </w:tc>
      </w:tr>
      <w:tr>
        <w:trPr>
          <w:trHeight w:val="304"/>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(k)(10)</w:t>
            </w:r>
          </w:p>
        </w:tc>
        <w:tc>
          <w:tcPr>
            <w:tcW w:w="520" w:type="dxa"/>
            <w:vAlign w:val="bottom"/>
          </w:tcPr>
          <w:p>
            <w:pPr>
              <w:spacing w:after="0"/>
              <w:rPr>
                <w:sz w:val="24"/>
                <w:szCs w:val="24"/>
                <w:color w:val="auto"/>
              </w:rPr>
            </w:pPr>
          </w:p>
        </w:tc>
        <w:tc>
          <w:tcPr>
            <w:tcW w:w="924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Account Control Agreement by and among PennantPark Investment Funding I, LLC, as pledgor, The Bank of New York Mellon</w:t>
              </w:r>
            </w:hyperlink>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Trust Company, National Association, as secured party, PennantPark Investment Advisers, LLC, as servicer, and The Bank of</w:t>
              </w:r>
            </w:hyperlink>
          </w:p>
        </w:tc>
        <w:tc>
          <w:tcPr>
            <w:tcW w:w="200" w:type="dxa"/>
            <w:vAlign w:val="bottom"/>
            <w:gridSpan w:val="8"/>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40" w:type="dxa"/>
            <w:vAlign w:val="bottom"/>
            <w:gridSpan w:val="24"/>
          </w:tcPr>
          <w:p>
            <w:pPr>
              <w:spacing w:after="0" w:line="196" w:lineRule="exact"/>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New York Mellon Trust Company, National Association, as securities intermediary, dated as of February 22, 2019 (Incorporated</w:t>
              </w:r>
            </w:hyperlink>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180" w:type="dxa"/>
            <w:vAlign w:val="bottom"/>
            <w:tcBorders>
              <w:top w:val="single" w:sz="8" w:color="0000EE"/>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by reference to Exhibit 10.2 to the Registrant’s Current Report on Form 8-K (File No. 814-00736), filed on February 26, 2019).</w:t>
              </w:r>
            </w:hyperlink>
          </w:p>
        </w:tc>
        <w:tc>
          <w:tcPr>
            <w:tcW w:w="4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(k)(11)</w:t>
            </w:r>
          </w:p>
        </w:tc>
        <w:tc>
          <w:tcPr>
            <w:tcW w:w="520" w:type="dxa"/>
            <w:vAlign w:val="bottom"/>
          </w:tcPr>
          <w:p>
            <w:pPr>
              <w:spacing w:after="0"/>
              <w:rPr>
                <w:sz w:val="24"/>
                <w:szCs w:val="24"/>
                <w:color w:val="auto"/>
              </w:rPr>
            </w:pPr>
          </w:p>
        </w:tc>
        <w:tc>
          <w:tcPr>
            <w:tcW w:w="91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Custodian Agreement by and among PennantPark Investment Funding I, LLC, The Bank of New York Mellon Trust Company,</w:t>
              </w:r>
            </w:hyperlink>
          </w:p>
        </w:tc>
        <w:tc>
          <w:tcPr>
            <w:tcW w:w="80" w:type="dxa"/>
            <w:vAlign w:val="bottom"/>
            <w:gridSpan w:val="4"/>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40" w:type="dxa"/>
            <w:vAlign w:val="bottom"/>
            <w:gridSpan w:val="24"/>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National Association, as custodian, and The Bank of New York Mellon Trust Company, National Association, as collateral</w:t>
              </w:r>
            </w:hyperlink>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420" w:type="dxa"/>
            <w:vAlign w:val="bottom"/>
            <w:gridSpan w:val="7"/>
            <w:shd w:val="clear" w:color="auto" w:fill="0000EE"/>
          </w:tcPr>
          <w:p>
            <w:pPr>
              <w:spacing w:after="0" w:line="20" w:lineRule="exact"/>
              <w:rPr>
                <w:sz w:val="1"/>
                <w:szCs w:val="1"/>
                <w:color w:val="auto"/>
              </w:rPr>
            </w:pPr>
          </w:p>
        </w:tc>
        <w:tc>
          <w:tcPr>
            <w:tcW w:w="320" w:type="dxa"/>
            <w:vAlign w:val="bottom"/>
            <w:tcBorders>
              <w:left w:val="single" w:sz="8" w:color="0000EE"/>
            </w:tcBorders>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40" w:type="dxa"/>
            <w:vAlign w:val="bottom"/>
            <w:gridSpan w:val="24"/>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agent, dated as of February 22, 2019 (Incorporated by reference to Exhibit 10.3 to the Registrant’s Current Report on Form 8-K</w:t>
              </w:r>
            </w:hyperlink>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16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(File No. 814-00736), filed on February 26, 2019).</w:t>
              </w:r>
            </w:hyperlink>
          </w:p>
        </w:tc>
        <w:tc>
          <w:tcPr>
            <w:tcW w:w="80" w:type="dxa"/>
            <w:vAlign w:val="bottom"/>
            <w:gridSpan w:val="4"/>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74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304"/>
        </w:trPr>
        <w:tc>
          <w:tcPr>
            <w:tcW w:w="1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(l)(1)</w:t>
            </w:r>
          </w:p>
        </w:tc>
        <w:tc>
          <w:tcPr>
            <w:tcW w:w="520" w:type="dxa"/>
            <w:vAlign w:val="bottom"/>
          </w:tcPr>
          <w:p>
            <w:pPr>
              <w:spacing w:after="0"/>
              <w:rPr>
                <w:sz w:val="24"/>
                <w:szCs w:val="24"/>
                <w:color w:val="auto"/>
              </w:rPr>
            </w:pPr>
          </w:p>
        </w:tc>
        <w:tc>
          <w:tcPr>
            <w:tcW w:w="91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Opinion and Consent of Venable LLP (Incorporated by reference to Exhibit 99.(l)(1) to the Registrant’s Registration Statement</w:t>
              </w:r>
            </w:hyperlink>
          </w:p>
        </w:tc>
        <w:tc>
          <w:tcPr>
            <w:tcW w:w="120" w:type="dxa"/>
            <w:vAlign w:val="bottom"/>
            <w:gridSpan w:val="6"/>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5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on Form N-2 (File No. 333-263564), filed on March 15, 2022).</w:t>
              </w:r>
            </w:hyperlink>
          </w:p>
        </w:tc>
        <w:tc>
          <w:tcPr>
            <w:tcW w:w="4680" w:type="dxa"/>
            <w:vAlign w:val="bottom"/>
            <w:gridSpan w:val="20"/>
          </w:tcPr>
          <w:p>
            <w:pPr>
              <w:spacing w:after="0"/>
              <w:rPr>
                <w:sz w:val="17"/>
                <w:szCs w:val="17"/>
                <w:color w:val="auto"/>
              </w:rPr>
            </w:pPr>
          </w:p>
        </w:tc>
      </w:tr>
      <w:tr>
        <w:trPr>
          <w:trHeight w:val="304"/>
        </w:trPr>
        <w:tc>
          <w:tcPr>
            <w:tcW w:w="1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(l)(2)</w:t>
            </w:r>
          </w:p>
        </w:tc>
        <w:tc>
          <w:tcPr>
            <w:tcW w:w="520" w:type="dxa"/>
            <w:vAlign w:val="bottom"/>
          </w:tcPr>
          <w:p>
            <w:pPr>
              <w:spacing w:after="0"/>
              <w:rPr>
                <w:sz w:val="24"/>
                <w:szCs w:val="24"/>
                <w:color w:val="auto"/>
              </w:rPr>
            </w:pPr>
          </w:p>
        </w:tc>
        <w:tc>
          <w:tcPr>
            <w:tcW w:w="9240" w:type="dxa"/>
            <w:vAlign w:val="bottom"/>
            <w:gridSpan w:val="24"/>
          </w:tcPr>
          <w:p>
            <w:pPr>
              <w:spacing w:after="0"/>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Opinion and Consent of Dechert LLP (Incorporated by reference to Exhibit 99.(l)(2) to the Registrant’s Registration Statement</w:t>
              </w:r>
            </w:hyperlink>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5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on Form N-2 (File No. 333-263564), filed on March 15, 2022).</w:t>
              </w:r>
            </w:hyperlink>
          </w:p>
        </w:tc>
        <w:tc>
          <w:tcPr>
            <w:tcW w:w="4560" w:type="dxa"/>
            <w:vAlign w:val="bottom"/>
            <w:tcBorders>
              <w:top w:val="single" w:sz="8" w:color="0000EE"/>
            </w:tcBorders>
            <w:gridSpan w:val="14"/>
          </w:tcPr>
          <w:p>
            <w:pPr>
              <w:spacing w:after="0"/>
              <w:rPr>
                <w:sz w:val="17"/>
                <w:szCs w:val="17"/>
                <w:color w:val="auto"/>
              </w:rPr>
            </w:pPr>
          </w:p>
        </w:tc>
        <w:tc>
          <w:tcPr>
            <w:tcW w:w="140" w:type="dxa"/>
            <w:vAlign w:val="bottom"/>
            <w:gridSpan w:val="7"/>
          </w:tcPr>
          <w:p>
            <w:pPr>
              <w:spacing w:after="0"/>
              <w:rPr>
                <w:sz w:val="17"/>
                <w:szCs w:val="17"/>
                <w:color w:val="auto"/>
              </w:rPr>
            </w:pPr>
          </w:p>
        </w:tc>
      </w:tr>
      <w:tr>
        <w:trPr>
          <w:trHeight w:val="304"/>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(n)(1)*</w:t>
            </w:r>
          </w:p>
        </w:tc>
        <w:tc>
          <w:tcPr>
            <w:tcW w:w="520" w:type="dxa"/>
            <w:vAlign w:val="bottom"/>
          </w:tcPr>
          <w:p>
            <w:pPr>
              <w:spacing w:after="0"/>
              <w:rPr>
                <w:sz w:val="24"/>
                <w:szCs w:val="24"/>
                <w:color w:val="auto"/>
              </w:rPr>
            </w:pPr>
          </w:p>
        </w:tc>
        <w:tc>
          <w:tcPr>
            <w:tcW w:w="9240" w:type="dxa"/>
            <w:vAlign w:val="bottom"/>
            <w:gridSpan w:val="24"/>
          </w:tcPr>
          <w:p>
            <w:pPr>
              <w:spacing w:after="0"/>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Consent of RSM US LLP.</w:t>
              </w:r>
            </w:hyperlink>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3500" w:type="dxa"/>
            <w:vAlign w:val="bottom"/>
            <w:gridSpan w:val="4"/>
          </w:tcPr>
          <w:p>
            <w:pPr>
              <w:spacing w:after="0" w:line="20" w:lineRule="exact"/>
              <w:rPr>
                <w:sz w:val="1"/>
                <w:szCs w:val="1"/>
                <w:color w:val="auto"/>
              </w:rPr>
            </w:pPr>
          </w:p>
        </w:tc>
        <w:tc>
          <w:tcPr>
            <w:tcW w:w="3780" w:type="dxa"/>
            <w:vAlign w:val="bottom"/>
            <w:gridSpan w:val="1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304"/>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(n)(2)</w:t>
            </w:r>
          </w:p>
        </w:tc>
        <w:tc>
          <w:tcPr>
            <w:tcW w:w="520" w:type="dxa"/>
            <w:vAlign w:val="bottom"/>
          </w:tcPr>
          <w:p>
            <w:pPr>
              <w:spacing w:after="0"/>
              <w:rPr>
                <w:sz w:val="24"/>
                <w:szCs w:val="24"/>
                <w:color w:val="auto"/>
              </w:rPr>
            </w:pPr>
          </w:p>
        </w:tc>
        <w:tc>
          <w:tcPr>
            <w:tcW w:w="91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Report of RSM US LLP regarding senior securities table (Incorporated by reference to Exhibit 99.5 to the Registrant’s Annual</w:t>
              </w:r>
            </w:hyperlink>
          </w:p>
        </w:tc>
        <w:tc>
          <w:tcPr>
            <w:tcW w:w="100" w:type="dxa"/>
            <w:vAlign w:val="bottom"/>
            <w:gridSpan w:val="5"/>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40" w:type="dxa"/>
            <w:vAlign w:val="bottom"/>
            <w:gridSpan w:val="24"/>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Report on Form 10-K (File No. 814-00736), filed on November 17, 2021).</w:t>
              </w:r>
            </w:hyperlink>
          </w:p>
        </w:tc>
      </w:tr>
      <w:tr>
        <w:trPr>
          <w:trHeight w:val="385"/>
        </w:trPr>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60" w:type="dxa"/>
            <w:vAlign w:val="bottom"/>
            <w:tcBorders>
              <w:top w:val="single" w:sz="8" w:color="0000EE"/>
            </w:tcBorders>
          </w:tcPr>
          <w:p>
            <w:pPr>
              <w:spacing w:after="0"/>
              <w:rPr>
                <w:sz w:val="24"/>
                <w:szCs w:val="24"/>
                <w:color w:val="auto"/>
              </w:rPr>
            </w:pPr>
          </w:p>
        </w:tc>
        <w:tc>
          <w:tcPr>
            <w:tcW w:w="3500" w:type="dxa"/>
            <w:vAlign w:val="bottom"/>
            <w:tcBorders>
              <w:top w:val="single" w:sz="8" w:color="0000EE"/>
            </w:tcBorders>
            <w:gridSpan w:val="4"/>
          </w:tcPr>
          <w:p>
            <w:pPr>
              <w:ind w:left="1740"/>
              <w:spacing w:after="0"/>
              <w:rPr>
                <w:sz w:val="20"/>
                <w:szCs w:val="20"/>
                <w:color w:val="auto"/>
              </w:rPr>
            </w:pPr>
            <w:r>
              <w:rPr>
                <w:rFonts w:ascii="Times New Roman" w:cs="Times New Roman" w:eastAsia="Times New Roman" w:hAnsi="Times New Roman"/>
                <w:sz w:val="18"/>
                <w:szCs w:val="18"/>
                <w:color w:val="auto"/>
              </w:rPr>
              <w:t>C-3</w:t>
            </w:r>
          </w:p>
        </w:tc>
        <w:tc>
          <w:tcPr>
            <w:tcW w:w="3880" w:type="dxa"/>
            <w:vAlign w:val="bottom"/>
            <w:gridSpan w:val="19"/>
          </w:tcPr>
          <w:p>
            <w:pPr>
              <w:spacing w:after="0"/>
              <w:rPr>
                <w:sz w:val="24"/>
                <w:szCs w:val="24"/>
                <w:color w:val="auto"/>
              </w:rPr>
            </w:pPr>
          </w:p>
        </w:tc>
      </w:tr>
    </w:tbl>
    <w:p>
      <w:pPr>
        <w:spacing w:after="0"/>
        <w:rPr>
          <w:sz w:val="20"/>
          <w:szCs w:val="20"/>
          <w:color w:val="auto"/>
        </w:rPr>
        <w:sectPr>
          <w:pgSz w:w="11900" w:h="16838" w:orient="portrait"/>
          <w:cols w:equalWidth="0" w:num="1">
            <w:col w:w="11120"/>
          </w:cols>
          <w:pgMar w:left="320" w:top="446"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85" w:name="page86"/>
    <w:bookmarkEnd w:id="8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Times New Roman" w:cs="Times New Roman" w:eastAsia="Times New Roman" w:hAnsi="Times New Roman"/>
                <w:sz w:val="18"/>
                <w:szCs w:val="18"/>
                <w:b w:val="1"/>
                <w:bCs w:val="1"/>
                <w:color w:val="0000EE"/>
                <w:w w:val="97"/>
              </w:rPr>
            </w:pPr>
            <w:hyperlink w:anchor="page3">
              <w:r>
                <w:rPr>
                  <w:rFonts w:ascii="Times New Roman" w:cs="Times New Roman" w:eastAsia="Times New Roman" w:hAnsi="Times New Roman"/>
                  <w:sz w:val="18"/>
                  <w:szCs w:val="18"/>
                  <w:b w:val="1"/>
                  <w:bCs w:val="1"/>
                  <w:color w:val="0000EE"/>
                  <w:w w:val="97"/>
                </w:rPr>
                <w:t>Table of Contents</w:t>
              </w:r>
            </w:hyperlink>
          </w:p>
        </w:tc>
        <w:tc>
          <w:tcPr>
            <w:tcW w:w="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93"/>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(n)(3)*</w:t>
            </w:r>
          </w:p>
        </w:tc>
        <w:tc>
          <w:tcPr>
            <w:tcW w:w="520" w:type="dxa"/>
            <w:vAlign w:val="bottom"/>
          </w:tcPr>
          <w:p>
            <w:pPr>
              <w:spacing w:after="0"/>
              <w:rPr>
                <w:sz w:val="24"/>
                <w:szCs w:val="24"/>
                <w:color w:val="auto"/>
              </w:rPr>
            </w:pPr>
          </w:p>
        </w:tc>
        <w:tc>
          <w:tcPr>
            <w:tcW w:w="9240" w:type="dxa"/>
            <w:vAlign w:val="bottom"/>
            <w:gridSpan w:val="18"/>
          </w:tcPr>
          <w:p>
            <w:pPr>
              <w:spacing w:after="0"/>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Consent of BDO USA, LLP.</w:t>
              </w:r>
            </w:hyperlink>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(n)(4)*</w:t>
            </w:r>
          </w:p>
        </w:tc>
        <w:tc>
          <w:tcPr>
            <w:tcW w:w="520" w:type="dxa"/>
            <w:vAlign w:val="bottom"/>
          </w:tcPr>
          <w:p>
            <w:pPr>
              <w:spacing w:after="0"/>
              <w:rPr>
                <w:sz w:val="24"/>
                <w:szCs w:val="24"/>
                <w:color w:val="auto"/>
              </w:rPr>
            </w:pPr>
          </w:p>
        </w:tc>
        <w:tc>
          <w:tcPr>
            <w:tcW w:w="9240" w:type="dxa"/>
            <w:vAlign w:val="bottom"/>
            <w:gridSpan w:val="18"/>
          </w:tcPr>
          <w:p>
            <w:pPr>
              <w:spacing w:after="0"/>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Consent of Dixon Hughes Goodman LLP.</w:t>
              </w:r>
            </w:hyperlink>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w:t>
            </w:r>
          </w:p>
        </w:tc>
        <w:tc>
          <w:tcPr>
            <w:tcW w:w="520" w:type="dxa"/>
            <w:vAlign w:val="bottom"/>
          </w:tcPr>
          <w:p>
            <w:pPr>
              <w:spacing w:after="0"/>
              <w:rPr>
                <w:sz w:val="24"/>
                <w:szCs w:val="24"/>
                <w:color w:val="auto"/>
              </w:rPr>
            </w:pPr>
          </w:p>
        </w:tc>
        <w:tc>
          <w:tcPr>
            <w:tcW w:w="84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Joint Code of Ethics (Incorporated by reference to Exhibit 14.1 to the Registrants Annual Report on Form 10-K (File</w:t>
              </w:r>
            </w:hyperlink>
          </w:p>
        </w:tc>
        <w:tc>
          <w:tcPr>
            <w:tcW w:w="820" w:type="dxa"/>
            <w:vAlign w:val="bottom"/>
            <w:gridSpan w:val="10"/>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40" w:type="dxa"/>
            <w:vAlign w:val="bottom"/>
            <w:gridSpan w:val="18"/>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No. 814-00736), filed on November 17, 2021).</w:t>
              </w:r>
            </w:hyperlink>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(s)(1)</w:t>
            </w:r>
          </w:p>
        </w:tc>
        <w:tc>
          <w:tcPr>
            <w:tcW w:w="520" w:type="dxa"/>
            <w:vAlign w:val="bottom"/>
          </w:tcPr>
          <w:p>
            <w:pPr>
              <w:spacing w:after="0"/>
              <w:rPr>
                <w:sz w:val="24"/>
                <w:szCs w:val="24"/>
                <w:color w:val="auto"/>
              </w:rPr>
            </w:pPr>
          </w:p>
        </w:tc>
        <w:tc>
          <w:tcPr>
            <w:tcW w:w="90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Form of Prospectus Supplement For Common Stock Offerings (Incorporated by reference to Exhibit (s)(1) to the Registrant’s</w:t>
              </w:r>
            </w:hyperlink>
          </w:p>
        </w:tc>
        <w:tc>
          <w:tcPr>
            <w:tcW w:w="200" w:type="dxa"/>
            <w:vAlign w:val="bottom"/>
            <w:gridSpan w:val="5"/>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Pre-Effective Amendment to the Registration Statement on Form N-2/A (File No. 333-172524), filed on August 22, 2011).</w:t>
              </w:r>
            </w:hyperlink>
          </w:p>
        </w:tc>
        <w:tc>
          <w:tcPr>
            <w:tcW w:w="400" w:type="dxa"/>
            <w:vAlign w:val="bottom"/>
            <w:gridSpan w:val="8"/>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(s)(2)</w:t>
            </w:r>
          </w:p>
        </w:tc>
        <w:tc>
          <w:tcPr>
            <w:tcW w:w="520" w:type="dxa"/>
            <w:vAlign w:val="bottom"/>
          </w:tcPr>
          <w:p>
            <w:pPr>
              <w:spacing w:after="0"/>
              <w:rPr>
                <w:sz w:val="24"/>
                <w:szCs w:val="24"/>
                <w:color w:val="auto"/>
              </w:rPr>
            </w:pPr>
          </w:p>
        </w:tc>
        <w:tc>
          <w:tcPr>
            <w:tcW w:w="9240" w:type="dxa"/>
            <w:vAlign w:val="bottom"/>
            <w:gridSpan w:val="18"/>
          </w:tcPr>
          <w:p>
            <w:pPr>
              <w:spacing w:after="0"/>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Form of Prospectus Supplement For Preferred Stock Offerings (Incorporated by reference to Exhibit (s)(2) to the Registrant’s</w:t>
              </w:r>
            </w:hyperlink>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4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Pre-Effective Amendment to the Registration Statement on Form N-2/A (File No. 333-172524), filed on August 22, 2011).</w:t>
              </w:r>
            </w:hyperlink>
          </w:p>
        </w:tc>
        <w:tc>
          <w:tcPr>
            <w:tcW w:w="180" w:type="dxa"/>
            <w:vAlign w:val="bottom"/>
            <w:tcBorders>
              <w:top w:val="single" w:sz="8" w:color="0000EE"/>
            </w:tcBorders>
            <w:gridSpan w:val="2"/>
          </w:tcPr>
          <w:p>
            <w:pPr>
              <w:spacing w:after="0"/>
              <w:rPr>
                <w:sz w:val="17"/>
                <w:szCs w:val="17"/>
                <w:color w:val="auto"/>
              </w:rPr>
            </w:pPr>
          </w:p>
        </w:tc>
        <w:tc>
          <w:tcPr>
            <w:tcW w:w="220" w:type="dxa"/>
            <w:vAlign w:val="bottom"/>
            <w:gridSpan w:val="6"/>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(s)(3)</w:t>
            </w:r>
          </w:p>
        </w:tc>
        <w:tc>
          <w:tcPr>
            <w:tcW w:w="520" w:type="dxa"/>
            <w:vAlign w:val="bottom"/>
          </w:tcPr>
          <w:p>
            <w:pPr>
              <w:spacing w:after="0"/>
              <w:rPr>
                <w:sz w:val="24"/>
                <w:szCs w:val="24"/>
                <w:color w:val="auto"/>
              </w:rPr>
            </w:pPr>
          </w:p>
        </w:tc>
        <w:tc>
          <w:tcPr>
            <w:tcW w:w="92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Form of Prospectus Supplement For Debt Offerings (Incorporated by reference to Exhibit (s)(3) to the Registrant’s Pre-Effective</w:t>
              </w:r>
            </w:hyperlink>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Amendment to the Registration Statement on Form N-2/A (File No. 333-172524), filed on August 22, 2011).</w:t>
              </w:r>
            </w:hyperlink>
          </w:p>
        </w:tc>
        <w:tc>
          <w:tcPr>
            <w:tcW w:w="1400" w:type="dxa"/>
            <w:vAlign w:val="bottom"/>
            <w:gridSpan w:val="11"/>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(s)(4)</w:t>
            </w:r>
          </w:p>
        </w:tc>
        <w:tc>
          <w:tcPr>
            <w:tcW w:w="520" w:type="dxa"/>
            <w:vAlign w:val="bottom"/>
          </w:tcPr>
          <w:p>
            <w:pPr>
              <w:spacing w:after="0"/>
              <w:rPr>
                <w:sz w:val="24"/>
                <w:szCs w:val="24"/>
                <w:color w:val="auto"/>
              </w:rPr>
            </w:pPr>
          </w:p>
        </w:tc>
        <w:tc>
          <w:tcPr>
            <w:tcW w:w="84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Form of Prospectus Supplement For Rights Offerings (Incorporated by reference to Exhibit (s)(4) to the Registrant’s</w:t>
              </w:r>
            </w:hyperlink>
          </w:p>
        </w:tc>
        <w:tc>
          <w:tcPr>
            <w:tcW w:w="820" w:type="dxa"/>
            <w:vAlign w:val="bottom"/>
            <w:gridSpan w:val="10"/>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40" w:type="dxa"/>
            <w:vAlign w:val="bottom"/>
            <w:gridSpan w:val="18"/>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Pre-Effective Amendment to the Registration Statement on Form N-2/A (File No. 333-172524), filed on August 22, 2011).</w:t>
              </w:r>
            </w:hyperlink>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(s)(5)</w:t>
            </w:r>
          </w:p>
        </w:tc>
        <w:tc>
          <w:tcPr>
            <w:tcW w:w="520" w:type="dxa"/>
            <w:vAlign w:val="bottom"/>
          </w:tcPr>
          <w:p>
            <w:pPr>
              <w:spacing w:after="0"/>
              <w:rPr>
                <w:sz w:val="24"/>
                <w:szCs w:val="24"/>
                <w:color w:val="auto"/>
              </w:rPr>
            </w:pPr>
          </w:p>
        </w:tc>
        <w:tc>
          <w:tcPr>
            <w:tcW w:w="852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Form of Prospectus Supplement For Warrant Offerings (Incorporated by reference to Exhibit (s)(5) to the Registrant’s</w:t>
              </w:r>
            </w:hyperlink>
          </w:p>
        </w:tc>
        <w:tc>
          <w:tcPr>
            <w:tcW w:w="360" w:type="dxa"/>
            <w:vAlign w:val="bottom"/>
            <w:tcBorders>
              <w:top w:val="single" w:sz="8" w:color="0000EE"/>
            </w:tcBorders>
            <w:gridSpan w:val="2"/>
          </w:tcPr>
          <w:p>
            <w:pPr>
              <w:spacing w:after="0"/>
              <w:rPr>
                <w:sz w:val="24"/>
                <w:szCs w:val="24"/>
                <w:color w:val="auto"/>
              </w:rPr>
            </w:pPr>
          </w:p>
        </w:tc>
        <w:tc>
          <w:tcPr>
            <w:tcW w:w="360" w:type="dxa"/>
            <w:vAlign w:val="bottom"/>
            <w:gridSpan w:val="7"/>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40" w:type="dxa"/>
            <w:vAlign w:val="bottom"/>
            <w:gridSpan w:val="18"/>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Pre-Effective Amendment to the Registration Statement on Form N-2/A (File No. 333-172524), filed on August 22, 2011).</w:t>
              </w:r>
            </w:hyperlink>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340" w:type="dxa"/>
            <w:vAlign w:val="bottom"/>
            <w:gridSpan w:val="4"/>
            <w:shd w:val="clear" w:color="auto" w:fill="0000EE"/>
          </w:tcPr>
          <w:p>
            <w:pPr>
              <w:spacing w:after="0" w:line="20" w:lineRule="exact"/>
              <w:rPr>
                <w:sz w:val="1"/>
                <w:szCs w:val="1"/>
                <w:color w:val="auto"/>
              </w:rPr>
            </w:pPr>
          </w:p>
        </w:tc>
        <w:tc>
          <w:tcPr>
            <w:tcW w:w="5000" w:type="dxa"/>
            <w:vAlign w:val="bottom"/>
            <w:gridSpan w:val="5"/>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(s)(6)</w:t>
            </w:r>
          </w:p>
        </w:tc>
        <w:tc>
          <w:tcPr>
            <w:tcW w:w="520" w:type="dxa"/>
            <w:vAlign w:val="bottom"/>
          </w:tcPr>
          <w:p>
            <w:pPr>
              <w:spacing w:after="0"/>
              <w:rPr>
                <w:sz w:val="24"/>
                <w:szCs w:val="24"/>
                <w:color w:val="auto"/>
              </w:rPr>
            </w:pPr>
          </w:p>
        </w:tc>
        <w:tc>
          <w:tcPr>
            <w:tcW w:w="91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Audited Consolidated Financial Statements of RAM Energy Holdings LLC and Subsidiaries for the Year Ended September 30,</w:t>
              </w:r>
            </w:hyperlink>
          </w:p>
        </w:tc>
        <w:tc>
          <w:tcPr>
            <w:tcW w:w="60" w:type="dxa"/>
            <w:vAlign w:val="bottom"/>
            <w:gridSpan w:val="2"/>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2021 (Incorporated by reference to Exhibit 99.2 to the Registrant’s Annual Report on Form 10-K (File No. 814-00736), filed on</w:t>
              </w:r>
            </w:hyperlink>
          </w:p>
        </w:tc>
        <w:tc>
          <w:tcPr>
            <w:tcW w:w="4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56">
              <w:r>
                <w:rPr>
                  <w:rFonts w:ascii="Times New Roman" w:cs="Times New Roman" w:eastAsia="Times New Roman" w:hAnsi="Times New Roman"/>
                  <w:sz w:val="18"/>
                  <w:szCs w:val="18"/>
                  <w:color w:val="0000EE"/>
                  <w:w w:val="98"/>
                </w:rPr>
                <w:t>November 17, 2021).</w:t>
              </w:r>
            </w:hyperlink>
          </w:p>
        </w:tc>
        <w:tc>
          <w:tcPr>
            <w:tcW w:w="7700" w:type="dxa"/>
            <w:vAlign w:val="bottom"/>
            <w:gridSpan w:val="16"/>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(s)(7)</w:t>
            </w:r>
          </w:p>
        </w:tc>
        <w:tc>
          <w:tcPr>
            <w:tcW w:w="520" w:type="dxa"/>
            <w:vAlign w:val="bottom"/>
          </w:tcPr>
          <w:p>
            <w:pPr>
              <w:spacing w:after="0"/>
              <w:rPr>
                <w:sz w:val="24"/>
                <w:szCs w:val="24"/>
                <w:color w:val="auto"/>
              </w:rPr>
            </w:pPr>
          </w:p>
        </w:tc>
        <w:tc>
          <w:tcPr>
            <w:tcW w:w="9240" w:type="dxa"/>
            <w:vAlign w:val="bottom"/>
            <w:gridSpan w:val="18"/>
          </w:tcPr>
          <w:p>
            <w:pPr>
              <w:spacing w:after="0"/>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Audited Consolidated Financial Statements of RAM Energy Holdings LLC and Subsidiaries for the Year Ended September 30,</w:t>
              </w:r>
            </w:hyperlink>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360" w:type="dxa"/>
            <w:vAlign w:val="bottom"/>
            <w:gridSpan w:val="5"/>
            <w:shd w:val="clear" w:color="auto" w:fill="0000EE"/>
          </w:tcPr>
          <w:p>
            <w:pPr>
              <w:spacing w:after="0" w:line="20" w:lineRule="exact"/>
              <w:rPr>
                <w:sz w:val="1"/>
                <w:szCs w:val="1"/>
                <w:color w:val="auto"/>
              </w:rPr>
            </w:pPr>
          </w:p>
        </w:tc>
        <w:tc>
          <w:tcPr>
            <w:tcW w:w="5240" w:type="dxa"/>
            <w:vAlign w:val="bottom"/>
            <w:gridSpan w:val="8"/>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2020 (Incorporated by reference to Exhibit 99.3 to the Registrant’s Annual Report on Form 10-K (File No. 814-00736), filed on</w:t>
              </w:r>
            </w:hyperlink>
          </w:p>
        </w:tc>
        <w:tc>
          <w:tcPr>
            <w:tcW w:w="4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57">
              <w:r>
                <w:rPr>
                  <w:rFonts w:ascii="Times New Roman" w:cs="Times New Roman" w:eastAsia="Times New Roman" w:hAnsi="Times New Roman"/>
                  <w:sz w:val="18"/>
                  <w:szCs w:val="18"/>
                  <w:color w:val="0000EE"/>
                  <w:w w:val="98"/>
                </w:rPr>
                <w:t>November 17, 2021).</w:t>
              </w:r>
            </w:hyperlink>
          </w:p>
        </w:tc>
        <w:tc>
          <w:tcPr>
            <w:tcW w:w="7700" w:type="dxa"/>
            <w:vAlign w:val="bottom"/>
            <w:gridSpan w:val="16"/>
          </w:tcPr>
          <w:p>
            <w:pPr>
              <w:spacing w:after="0"/>
              <w:rPr>
                <w:sz w:val="17"/>
                <w:szCs w:val="17"/>
                <w:color w:val="auto"/>
              </w:rPr>
            </w:pPr>
          </w:p>
        </w:tc>
      </w:tr>
      <w:tr>
        <w:trPr>
          <w:trHeight w:val="318"/>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(s)(8)</w:t>
            </w:r>
          </w:p>
        </w:tc>
        <w:tc>
          <w:tcPr>
            <w:tcW w:w="520" w:type="dxa"/>
            <w:vAlign w:val="bottom"/>
          </w:tcPr>
          <w:p>
            <w:pPr>
              <w:spacing w:after="0"/>
              <w:rPr>
                <w:sz w:val="24"/>
                <w:szCs w:val="24"/>
                <w:color w:val="auto"/>
              </w:rPr>
            </w:pPr>
          </w:p>
        </w:tc>
        <w:tc>
          <w:tcPr>
            <w:tcW w:w="9240" w:type="dxa"/>
            <w:vAlign w:val="bottom"/>
            <w:gridSpan w:val="18"/>
          </w:tcPr>
          <w:p>
            <w:pPr>
              <w:spacing w:after="0"/>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Audited Consolidated Financial Statements of RAM Energy Holdings LLC and Subsidiaries for the Year Ended September 30,</w:t>
              </w:r>
            </w:hyperlink>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360" w:type="dxa"/>
            <w:vAlign w:val="bottom"/>
            <w:gridSpan w:val="5"/>
            <w:shd w:val="clear" w:color="auto" w:fill="0000EE"/>
          </w:tcPr>
          <w:p>
            <w:pPr>
              <w:spacing w:after="0" w:line="20" w:lineRule="exact"/>
              <w:rPr>
                <w:sz w:val="1"/>
                <w:szCs w:val="1"/>
                <w:color w:val="auto"/>
              </w:rPr>
            </w:pPr>
          </w:p>
        </w:tc>
        <w:tc>
          <w:tcPr>
            <w:tcW w:w="5240" w:type="dxa"/>
            <w:vAlign w:val="bottom"/>
            <w:gridSpan w:val="8"/>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2019 (Incorporated by reference to Exhibit 99.4 to the Registrant’s Annual Report on Form 10-K (File No. 814-00736), filed on</w:t>
              </w:r>
            </w:hyperlink>
          </w:p>
        </w:tc>
        <w:tc>
          <w:tcPr>
            <w:tcW w:w="4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40" w:type="dxa"/>
            <w:vAlign w:val="bottom"/>
            <w:gridSpan w:val="18"/>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November 17, 2021).</w:t>
              </w:r>
            </w:hyperlink>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5280" w:type="dxa"/>
            <w:vAlign w:val="bottom"/>
            <w:gridSpan w:val="9"/>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18"/>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(s)(9)</w:t>
            </w:r>
          </w:p>
        </w:tc>
        <w:tc>
          <w:tcPr>
            <w:tcW w:w="520" w:type="dxa"/>
            <w:vAlign w:val="bottom"/>
          </w:tcPr>
          <w:p>
            <w:pPr>
              <w:spacing w:after="0"/>
              <w:rPr>
                <w:sz w:val="24"/>
                <w:szCs w:val="24"/>
                <w:color w:val="auto"/>
              </w:rPr>
            </w:pPr>
          </w:p>
        </w:tc>
        <w:tc>
          <w:tcPr>
            <w:tcW w:w="91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Calculation of Filing Fee Table. (Incorporated by reference to Exhibit (s)(9) to the Registrant’s Registration Statement on Form</w:t>
              </w:r>
            </w:hyperlink>
          </w:p>
        </w:tc>
        <w:tc>
          <w:tcPr>
            <w:tcW w:w="80" w:type="dxa"/>
            <w:vAlign w:val="bottom"/>
            <w:gridSpan w:val="3"/>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N-2 (File No. 333-263564), filed on March 15, 2022).</w:t>
              </w:r>
            </w:hyperlink>
          </w:p>
        </w:tc>
        <w:tc>
          <w:tcPr>
            <w:tcW w:w="5360" w:type="dxa"/>
            <w:vAlign w:val="bottom"/>
            <w:gridSpan w:val="12"/>
          </w:tcPr>
          <w:p>
            <w:pPr>
              <w:spacing w:after="0"/>
              <w:rPr>
                <w:sz w:val="17"/>
                <w:szCs w:val="17"/>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  Filed herewith.</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26.</w:t>
      </w:r>
      <w:r>
        <w:rPr>
          <w:sz w:val="20"/>
          <w:szCs w:val="20"/>
          <w:color w:val="auto"/>
        </w:rPr>
        <w:tab/>
      </w:r>
      <w:r>
        <w:rPr>
          <w:rFonts w:ascii="Times New Roman" w:cs="Times New Roman" w:eastAsia="Times New Roman" w:hAnsi="Times New Roman"/>
          <w:sz w:val="18"/>
          <w:szCs w:val="18"/>
          <w:b w:val="1"/>
          <w:bCs w:val="1"/>
          <w:color w:val="auto"/>
        </w:rPr>
        <w:t>Marketing arrangements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information contained under the heading “Plan of Distribution” in this Registration Statement is hereby incorporated by reference.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27.</w:t>
      </w:r>
      <w:r>
        <w:rPr>
          <w:sz w:val="20"/>
          <w:szCs w:val="20"/>
          <w:color w:val="auto"/>
        </w:rPr>
        <w:tab/>
      </w:r>
      <w:r>
        <w:rPr>
          <w:rFonts w:ascii="Times New Roman" w:cs="Times New Roman" w:eastAsia="Times New Roman" w:hAnsi="Times New Roman"/>
          <w:sz w:val="18"/>
          <w:szCs w:val="18"/>
          <w:b w:val="1"/>
          <w:bCs w:val="1"/>
          <w:color w:val="auto"/>
        </w:rPr>
        <w:t>Other expenses of issuance and distribution</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estimated expenses to be incurred by the Registrant in connection with the offering described in this registration statement:</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37,195.88*</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Printing (other than certificates)</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fees and expenses</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r>
      <w:tr>
        <w:trPr>
          <w:trHeight w:val="20"/>
        </w:trPr>
        <w:tc>
          <w:tcPr>
            <w:tcW w:w="30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8"/>
        </w:trPr>
        <w:tc>
          <w:tcPr>
            <w:tcW w:w="3000" w:type="dxa"/>
            <w:vAlign w:val="bottom"/>
          </w:tcPr>
          <w:p>
            <w:pPr>
              <w:spacing w:after="0"/>
              <w:rPr>
                <w:sz w:val="24"/>
                <w:szCs w:val="24"/>
                <w:color w:val="auto"/>
              </w:rPr>
            </w:pPr>
          </w:p>
        </w:tc>
        <w:tc>
          <w:tcPr>
            <w:tcW w:w="3620" w:type="dxa"/>
            <w:vAlign w:val="bottom"/>
            <w:gridSpan w:val="2"/>
          </w:tcPr>
          <w:p>
            <w:pPr>
              <w:jc w:val="right"/>
              <w:ind w:right="2650"/>
              <w:spacing w:after="0"/>
              <w:rPr>
                <w:sz w:val="20"/>
                <w:szCs w:val="20"/>
                <w:color w:val="auto"/>
              </w:rPr>
            </w:pPr>
            <w:r>
              <w:rPr>
                <w:rFonts w:ascii="Times New Roman" w:cs="Times New Roman" w:eastAsia="Times New Roman" w:hAnsi="Times New Roman"/>
                <w:sz w:val="18"/>
                <w:szCs w:val="18"/>
                <w:color w:val="auto"/>
              </w:rPr>
              <w:t>C-4</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120"/>
          </w:cols>
          <w:pgMar w:left="320" w:top="446" w:right="45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of the expenses set forth above shall be borne by the Registrant.</w:t>
      </w:r>
    </w:p>
    <w:p>
      <w:pPr>
        <w:spacing w:after="0" w:line="131" w:lineRule="exact"/>
        <w:rPr>
          <w:sz w:val="20"/>
          <w:szCs w:val="20"/>
          <w:color w:val="auto"/>
        </w:rPr>
      </w:pPr>
    </w:p>
    <w:p>
      <w:pPr>
        <w:ind w:left="660" w:hanging="544"/>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has been offset against a filing fee associated with unsold securities registered under a previous registration statement.</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To be provided by amendment.</w:t>
      </w:r>
    </w:p>
    <w:p>
      <w:pPr>
        <w:spacing w:after="0" w:line="351"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28.</w:t>
            </w:r>
          </w:p>
        </w:tc>
        <w:tc>
          <w:tcPr>
            <w:tcW w:w="86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Persons controlled by or under common control with the Registrant</w:t>
            </w: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94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entity and place of jurisdiction</w:t>
            </w:r>
          </w:p>
        </w:tc>
        <w:tc>
          <w:tcPr>
            <w:tcW w:w="15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Voting Securities</w:t>
            </w:r>
          </w:p>
        </w:tc>
        <w:tc>
          <w:tcPr>
            <w:tcW w:w="0" w:type="dxa"/>
            <w:vAlign w:val="bottom"/>
          </w:tcPr>
          <w:p>
            <w:pPr>
              <w:spacing w:after="0"/>
              <w:rPr>
                <w:sz w:val="1"/>
                <w:szCs w:val="1"/>
                <w:color w:val="auto"/>
              </w:rPr>
            </w:pPr>
          </w:p>
        </w:tc>
      </w:tr>
      <w:tr>
        <w:trPr>
          <w:trHeight w:val="160"/>
        </w:trPr>
        <w:tc>
          <w:tcPr>
            <w:tcW w:w="9480" w:type="dxa"/>
            <w:vAlign w:val="bottom"/>
            <w:gridSpan w:val="3"/>
            <w:vMerge w:val="continue"/>
          </w:tcPr>
          <w:p>
            <w:pPr>
              <w:spacing w:after="0"/>
              <w:rPr>
                <w:sz w:val="13"/>
                <w:szCs w:val="13"/>
                <w:color w:val="auto"/>
              </w:rPr>
            </w:pPr>
          </w:p>
        </w:tc>
        <w:tc>
          <w:tcPr>
            <w:tcW w:w="1540" w:type="dxa"/>
            <w:vAlign w:val="bottom"/>
            <w:gridSpan w:val="2"/>
          </w:tcPr>
          <w:p>
            <w:pPr>
              <w:jc w:val="right"/>
              <w:ind w:right="400"/>
              <w:spacing w:after="0" w:line="160" w:lineRule="exact"/>
              <w:rPr>
                <w:sz w:val="20"/>
                <w:szCs w:val="20"/>
                <w:color w:val="auto"/>
              </w:rPr>
            </w:pPr>
            <w:r>
              <w:rPr>
                <w:rFonts w:ascii="Times New Roman" w:cs="Times New Roman" w:eastAsia="Times New Roman" w:hAnsi="Times New Roman"/>
                <w:sz w:val="14"/>
                <w:szCs w:val="14"/>
                <w:b w:val="1"/>
                <w:bCs w:val="1"/>
                <w:color w:val="auto"/>
                <w:w w:val="99"/>
              </w:rPr>
              <w:t>Owned Percentage</w:t>
            </w:r>
          </w:p>
        </w:tc>
        <w:tc>
          <w:tcPr>
            <w:tcW w:w="0" w:type="dxa"/>
            <w:vAlign w:val="bottom"/>
          </w:tcPr>
          <w:p>
            <w:pPr>
              <w:spacing w:after="0"/>
              <w:rPr>
                <w:sz w:val="1"/>
                <w:szCs w:val="1"/>
                <w:color w:val="auto"/>
              </w:rPr>
            </w:pPr>
          </w:p>
        </w:tc>
      </w:tr>
      <w:tr>
        <w:trPr>
          <w:trHeight w:val="20"/>
        </w:trPr>
        <w:tc>
          <w:tcPr>
            <w:tcW w:w="860" w:type="dxa"/>
            <w:vAlign w:val="bottom"/>
            <w:tcBorders>
              <w:bottom w:val="single" w:sz="8" w:color="CCEEFF"/>
            </w:tcBorders>
            <w:shd w:val="clear" w:color="auto" w:fill="000000"/>
          </w:tcPr>
          <w:p>
            <w:pPr>
              <w:spacing w:after="0" w:line="20" w:lineRule="exact"/>
              <w:rPr>
                <w:sz w:val="1"/>
                <w:szCs w:val="1"/>
                <w:color w:val="auto"/>
              </w:rPr>
            </w:pPr>
          </w:p>
        </w:tc>
        <w:tc>
          <w:tcPr>
            <w:tcW w:w="1560" w:type="dxa"/>
            <w:vAlign w:val="bottom"/>
            <w:tcBorders>
              <w:bottom w:val="single" w:sz="8" w:color="CCEEFF"/>
            </w:tcBorders>
            <w:shd w:val="clear" w:color="auto" w:fill="000000"/>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480" w:type="dxa"/>
            <w:vAlign w:val="bottom"/>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PennantPark Investment Funding I, LLC (Delaware)</w:t>
            </w:r>
          </w:p>
        </w:tc>
        <w:tc>
          <w:tcPr>
            <w:tcW w:w="1540" w:type="dxa"/>
            <w:vAlign w:val="bottom"/>
            <w:gridSpan w:val="2"/>
            <w:shd w:val="clear" w:color="auto" w:fill="CCEEFF"/>
          </w:tcPr>
          <w:p>
            <w:pPr>
              <w:jc w:val="right"/>
              <w:ind w:right="240"/>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9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PennantPark SBIC GP II, LLC (Delaware)</w:t>
            </w: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9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PennantPark SBIC II LP (Delaware)</w:t>
            </w: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16"/>
        </w:trPr>
        <w:tc>
          <w:tcPr>
            <w:tcW w:w="9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PNNT Alabama Holdings Inc. (Delaware)</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16"/>
        </w:trPr>
        <w:tc>
          <w:tcPr>
            <w:tcW w:w="9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PNNT CI (GALLS) Prime Investment Holdings, LLC (Delaware)</w:t>
            </w: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16"/>
        </w:trPr>
        <w:tc>
          <w:tcPr>
            <w:tcW w:w="9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PNNT Investment Holdings, LLC (Delaware)</w:t>
            </w: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9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RAM Energy Holdings LLC (Delaware)</w:t>
            </w: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16"/>
        </w:trPr>
        <w:tc>
          <w:tcPr>
            <w:tcW w:w="9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PennantPark Senior Loan Fund, LLC</w:t>
            </w:r>
            <w:r>
              <w:rPr>
                <w:rFonts w:ascii="Times New Roman" w:cs="Times New Roman" w:eastAsia="Times New Roman" w:hAnsi="Times New Roman"/>
                <w:sz w:val="15"/>
                <w:szCs w:val="15"/>
                <w:color w:val="auto"/>
              </w:rPr>
              <w:t>(4)</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w:t>
            </w: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16"/>
        </w:trPr>
        <w:tc>
          <w:tcPr>
            <w:tcW w:w="9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AKW Holdings Limited (Isle of Man)</w:t>
            </w: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w:t>
            </w: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34"/>
        </w:trPr>
        <w:tc>
          <w:tcPr>
            <w:tcW w:w="9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PT Network Intermediate Holdings, LLC (Delaware)</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w:t>
            </w: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ind w:left="540" w:hanging="424"/>
        <w:spacing w:after="0"/>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is directly owned 99% by us and 1% by PennantPark SBIC GP II, LLC, which is effectively wholly-owned by us.</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entity is not operational.</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is a controlled affiliated investment.</w:t>
      </w:r>
    </w:p>
    <w:p>
      <w:pPr>
        <w:spacing w:after="0" w:line="9" w:lineRule="exact"/>
        <w:rPr>
          <w:rFonts w:ascii="Times New Roman" w:cs="Times New Roman" w:eastAsia="Times New Roman" w:hAnsi="Times New Roman"/>
          <w:sz w:val="18"/>
          <w:szCs w:val="18"/>
          <w:color w:val="auto"/>
        </w:rPr>
      </w:pPr>
    </w:p>
    <w:p>
      <w:pPr>
        <w:ind w:left="540" w:right="700" w:hanging="424"/>
        <w:spacing w:after="0" w:line="260"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an equity owner of PSLF, a joint venture between the registrant and Pantheon. Pursuant to the terms of PSLF’s operating agreement, the registrant and Pantheon each have 50% voting control of PSLF.</w:t>
      </w:r>
    </w:p>
    <w:p>
      <w:pPr>
        <w:spacing w:after="0" w:line="326"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29.</w:t>
            </w: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Number of holders of securities</w:t>
            </w:r>
          </w:p>
        </w:tc>
        <w:tc>
          <w:tcPr>
            <w:tcW w:w="16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24"/>
        </w:trPr>
        <w:tc>
          <w:tcPr>
            <w:tcW w:w="92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As of March 31, 2022</w:t>
            </w:r>
          </w:p>
        </w:tc>
        <w:tc>
          <w:tcPr>
            <w:tcW w:w="1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1"/>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Title of Class</w:t>
            </w:r>
          </w:p>
        </w:tc>
        <w:tc>
          <w:tcPr>
            <w:tcW w:w="8480" w:type="dxa"/>
            <w:vAlign w:val="bottom"/>
          </w:tcPr>
          <w:p>
            <w:pPr>
              <w:spacing w:after="0"/>
              <w:rPr>
                <w:sz w:val="24"/>
                <w:szCs w:val="24"/>
                <w:color w:val="auto"/>
              </w:rPr>
            </w:pPr>
          </w:p>
        </w:tc>
        <w:tc>
          <w:tcPr>
            <w:tcW w:w="1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Number of Record Holders</w:t>
            </w:r>
          </w:p>
        </w:tc>
      </w:tr>
      <w:tr>
        <w:trPr>
          <w:trHeight w:val="203"/>
        </w:trPr>
        <w:tc>
          <w:tcPr>
            <w:tcW w:w="92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Common Stock, $0.001 par value</w:t>
            </w:r>
          </w:p>
        </w:tc>
        <w:tc>
          <w:tcPr>
            <w:tcW w:w="1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w:t>
            </w:r>
          </w:p>
        </w:tc>
        <w:tc>
          <w:tcPr>
            <w:tcW w:w="60" w:type="dxa"/>
            <w:vAlign w:val="bottom"/>
            <w:tcBorders>
              <w:top w:val="single" w:sz="8" w:color="CCEEFF"/>
            </w:tcBorders>
            <w:shd w:val="clear" w:color="auto" w:fill="CCEEFF"/>
          </w:tcPr>
          <w:p>
            <w:pPr>
              <w:spacing w:after="0"/>
              <w:rPr>
                <w:sz w:val="17"/>
                <w:szCs w:val="17"/>
                <w:color w:val="auto"/>
              </w:rPr>
            </w:pPr>
          </w:p>
        </w:tc>
      </w:tr>
    </w:tbl>
    <w:p>
      <w:pPr>
        <w:spacing w:after="0" w:line="34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w:t>
      </w:r>
      <w:r>
        <w:rPr>
          <w:sz w:val="20"/>
          <w:szCs w:val="20"/>
          <w:color w:val="auto"/>
        </w:rPr>
        <w:tab/>
      </w: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ind w:left="120" w:right="1140" w:firstLine="440"/>
        <w:spacing w:after="0" w:line="282" w:lineRule="auto"/>
        <w:rPr>
          <w:sz w:val="20"/>
          <w:szCs w:val="20"/>
          <w:color w:val="auto"/>
        </w:rPr>
      </w:pPr>
      <w:r>
        <w:rPr>
          <w:rFonts w:ascii="Times New Roman" w:cs="Times New Roman" w:eastAsia="Times New Roman" w:hAnsi="Times New Roman"/>
          <w:sz w:val="18"/>
          <w:szCs w:val="18"/>
          <w:color w:val="auto"/>
        </w:rPr>
        <w:t>The information contained under the heading “Description of our Capital Stock—Limitation on Liability of Directors and Officers; Indemnification and Advance of Expenses” is incorporated herein by reference.</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31.</w:t>
      </w:r>
      <w:r>
        <w:rPr>
          <w:sz w:val="20"/>
          <w:szCs w:val="20"/>
          <w:color w:val="auto"/>
        </w:rPr>
        <w:tab/>
      </w:r>
      <w:r>
        <w:rPr>
          <w:rFonts w:ascii="Times New Roman" w:cs="Times New Roman" w:eastAsia="Times New Roman" w:hAnsi="Times New Roman"/>
          <w:sz w:val="17"/>
          <w:szCs w:val="17"/>
          <w:b w:val="1"/>
          <w:bCs w:val="1"/>
          <w:color w:val="auto"/>
        </w:rPr>
        <w:t>Business and other connections of Investment Adviser</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Neither the Investment Adviser nor any officer, director or partner of the Investment Adviser has been substantially engaged in any business, profession, vocation or employment since the inception of the Investment Adviser other than as set forth under the headings “Portfolio Management” or is otherwise incorporated by reference. Additional information regarding the Adviser and its officers and directors is set forth in its Form ADV, as filed with the SEC (SEC File No. 801-67622), and is incorporated herein by reference.</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C-5</w:t>
      </w:r>
    </w:p>
    <w:p>
      <w:pPr>
        <w:sectPr>
          <w:pgSz w:w="11900" w:h="16838" w:orient="portrait"/>
          <w:cols w:equalWidth="0" w:num="1">
            <w:col w:w="11140"/>
          </w:cols>
          <w:pgMar w:left="320" w:top="455" w:right="4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32.</w:t>
      </w:r>
      <w:r>
        <w:rPr>
          <w:sz w:val="20"/>
          <w:szCs w:val="20"/>
          <w:color w:val="auto"/>
        </w:rPr>
        <w:tab/>
      </w:r>
      <w:r>
        <w:rPr>
          <w:rFonts w:ascii="Times New Roman" w:cs="Times New Roman" w:eastAsia="Times New Roman" w:hAnsi="Times New Roman"/>
          <w:sz w:val="18"/>
          <w:szCs w:val="18"/>
          <w:b w:val="1"/>
          <w:bCs w:val="1"/>
          <w:color w:val="auto"/>
        </w:rPr>
        <w:t>Location of accounts and records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All accounts, books and other documents required to be maintained by Section 31(a) of the 1940 Act, and the rules thereunder are maintained at the offices of:</w:t>
      </w:r>
    </w:p>
    <w:p>
      <w:pPr>
        <w:spacing w:after="0" w:line="54" w:lineRule="exact"/>
        <w:rPr>
          <w:sz w:val="20"/>
          <w:szCs w:val="20"/>
          <w:color w:val="auto"/>
        </w:rPr>
      </w:pPr>
    </w:p>
    <w:p>
      <w:pPr>
        <w:ind w:left="820" w:hanging="264"/>
        <w:spacing w:after="0"/>
        <w:tabs>
          <w:tab w:leader="none" w:pos="8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PennantPark Investment Corporation, 1691 Michigan Avenue, Miami Beach, FL 33139;</w:t>
      </w:r>
    </w:p>
    <w:p>
      <w:pPr>
        <w:spacing w:after="0" w:line="117"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Agent, American Stock Transfer &amp; Trust Company, LLC, 6201 15th Avenue, Brooklyn, NY 11219;</w:t>
      </w:r>
    </w:p>
    <w:p>
      <w:pPr>
        <w:spacing w:after="0" w:line="117"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Custodian, The Bank of New York Mellon, 240 Greenwich Street, New York, NY 10286; and</w:t>
      </w:r>
    </w:p>
    <w:p>
      <w:pPr>
        <w:spacing w:after="0" w:line="117"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Adviser, PennantPark Investment Advisers, LLC, 1691 Michigan Avenue, Miami Beach, FL 33139.</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33.</w:t>
      </w:r>
      <w:r>
        <w:rPr>
          <w:sz w:val="20"/>
          <w:szCs w:val="20"/>
          <w:color w:val="auto"/>
        </w:rPr>
        <w:tab/>
      </w:r>
      <w:r>
        <w:rPr>
          <w:rFonts w:ascii="Times New Roman" w:cs="Times New Roman" w:eastAsia="Times New Roman" w:hAnsi="Times New Roman"/>
          <w:sz w:val="18"/>
          <w:szCs w:val="18"/>
          <w:b w:val="1"/>
          <w:bCs w:val="1"/>
          <w:color w:val="auto"/>
        </w:rPr>
        <w:t>Management services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34.</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Registrant hereby undertakes:</w:t>
      </w:r>
    </w:p>
    <w:p>
      <w:pPr>
        <w:spacing w:after="0" w:line="131" w:lineRule="exact"/>
        <w:rPr>
          <w:sz w:val="20"/>
          <w:szCs w:val="20"/>
          <w:color w:val="auto"/>
        </w:rPr>
      </w:pPr>
    </w:p>
    <w:p>
      <w:pPr>
        <w:ind w:left="1080" w:hanging="532"/>
        <w:spacing w:after="0" w:line="266"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suspend the offering of shares until the prospectus filed as part of this registration statement is amended if (1) subsequent to the effective date of its registration statement, the net asset value declines more than ten percent from its net asset value as of the effective date of the registration statement; or (2) the net asset value increases to an amount greater than the net proceeds as stated in the prospectus.</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30" w:lineRule="exact"/>
        <w:rPr>
          <w:rFonts w:ascii="Times New Roman" w:cs="Times New Roman" w:eastAsia="Times New Roman" w:hAnsi="Times New Roman"/>
          <w:sz w:val="18"/>
          <w:szCs w:val="18"/>
          <w:color w:val="auto"/>
        </w:rPr>
      </w:pPr>
    </w:p>
    <w:p>
      <w:pPr>
        <w:jc w:val="both"/>
        <w:ind w:left="1080" w:right="120" w:hanging="532"/>
        <w:spacing w:after="0" w:line="261"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 the purpose of determining any liability under the Securities Act, the information omitted from the form of prospectus filed as part of this registration statement in reliance upon Rule 430A and contained in a form of prospectus filed by the Registrant under Rule 424(b)</w:t>
      </w:r>
    </w:p>
    <w:p>
      <w:pPr>
        <w:ind w:left="1080" w:right="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under the Securities Act shall be deemed to be part of this registration statement as of the time it was declared effective; and (b) for the purpose of determining any liability under the Securities Act, each post-effective amendment that contains a form of prospectus shall be deemed to be a new registration statement relating to the securities offered therein, and the offering of the securities at that time shall be deemed to be the initial bona fide offering thereof.</w:t>
      </w:r>
    </w:p>
    <w:p>
      <w:pPr>
        <w:spacing w:after="0" w:line="94"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54"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93"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send by first class mail or other means designed to ensure equally prompt delivery, within two business days of receipt of a written or oral request, any prospectus or Statement of Additional Information.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C-6</w:t>
      </w:r>
    </w:p>
    <w:p>
      <w:pPr>
        <w:sectPr>
          <w:pgSz w:w="11900" w:h="16838" w:orient="portrait"/>
          <w:cols w:equalWidth="0" w:num="1">
            <w:col w:w="11100"/>
          </w:cols>
          <w:pgMar w:left="320" w:top="455" w:right="47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Amendment No. 1 to the Registration Statement on Form N-2 to be signed on its behalf by the undersigned, thereunto duly authorized, in the City of Miami Beach, and State of Florida on the 20th day of April, 2022.</w:t>
      </w:r>
    </w:p>
    <w:p>
      <w:pPr>
        <w:spacing w:after="0" w:line="200" w:lineRule="exact"/>
        <w:rPr>
          <w:sz w:val="20"/>
          <w:szCs w:val="20"/>
          <w:color w:val="auto"/>
        </w:rPr>
      </w:pP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RTHUR</w:t>
            </w:r>
            <w:r>
              <w:rPr>
                <w:rFonts w:ascii="Times New Roman" w:cs="Times New Roman" w:eastAsia="Times New Roman" w:hAnsi="Times New Roman"/>
                <w:sz w:val="18"/>
                <w:szCs w:val="18"/>
                <w:color w:val="auto"/>
              </w:rPr>
              <w:t xml:space="preserve"> H. P</w:t>
            </w:r>
            <w:r>
              <w:rPr>
                <w:rFonts w:ascii="Times New Roman" w:cs="Times New Roman" w:eastAsia="Times New Roman" w:hAnsi="Times New Roman"/>
                <w:sz w:val="14"/>
                <w:szCs w:val="14"/>
                <w:color w:val="auto"/>
              </w:rPr>
              <w:t>ENN</w:t>
            </w:r>
          </w:p>
        </w:tc>
      </w:tr>
      <w:tr>
        <w:trPr>
          <w:trHeight w:val="178"/>
        </w:trPr>
        <w:tc>
          <w:tcPr>
            <w:tcW w:w="5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Arthur H. Penn</w:t>
            </w:r>
          </w:p>
        </w:tc>
      </w:tr>
      <w:tr>
        <w:trPr>
          <w:trHeight w:val="25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Chief Executive Officer and Chairman of the Board</w:t>
            </w:r>
          </w:p>
        </w:tc>
      </w:tr>
    </w:tbl>
    <w:p>
      <w:pPr>
        <w:spacing w:after="0" w:line="18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Amendment No. 1 to the Registration Statement on Form N-2 has been signed by the following persons in the capacities set forth below on the 20th day of April, 2022.</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6"/>
                <w:szCs w:val="16"/>
                <w:color w:val="auto"/>
              </w:rPr>
            </w:pPr>
          </w:p>
        </w:tc>
        <w:tc>
          <w:tcPr>
            <w:tcW w:w="6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12"/>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ARTHUR H. PENN</w:t>
            </w:r>
          </w:p>
        </w:tc>
        <w:tc>
          <w:tcPr>
            <w:tcW w:w="2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and Chairman of the Board of Directors</w:t>
            </w:r>
          </w:p>
        </w:tc>
      </w:tr>
      <w:tr>
        <w:trPr>
          <w:trHeight w:val="232"/>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Arthur H. Penn</w:t>
            </w:r>
          </w:p>
        </w:tc>
        <w:tc>
          <w:tcPr>
            <w:tcW w:w="220" w:type="dxa"/>
            <w:vAlign w:val="bottom"/>
          </w:tcPr>
          <w:p>
            <w:pPr>
              <w:spacing w:after="0"/>
              <w:rPr>
                <w:sz w:val="20"/>
                <w:szCs w:val="20"/>
                <w:color w:val="auto"/>
              </w:rPr>
            </w:pPr>
          </w:p>
        </w:tc>
        <w:tc>
          <w:tcPr>
            <w:tcW w:w="662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3"/>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RICHARD CHEUNG</w:t>
            </w:r>
          </w:p>
        </w:tc>
        <w:tc>
          <w:tcPr>
            <w:tcW w:w="2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 and Treasurer</w:t>
            </w:r>
          </w:p>
        </w:tc>
      </w:tr>
      <w:tr>
        <w:trPr>
          <w:trHeight w:val="232"/>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Richard Cheung</w:t>
            </w:r>
          </w:p>
        </w:tc>
        <w:tc>
          <w:tcPr>
            <w:tcW w:w="220" w:type="dxa"/>
            <w:vAlign w:val="bottom"/>
          </w:tcPr>
          <w:p>
            <w:pPr>
              <w:spacing w:after="0"/>
              <w:rPr>
                <w:sz w:val="20"/>
                <w:szCs w:val="20"/>
                <w:color w:val="auto"/>
              </w:rPr>
            </w:pPr>
          </w:p>
        </w:tc>
        <w:tc>
          <w:tcPr>
            <w:tcW w:w="662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r>
      <w:tr>
        <w:trPr>
          <w:trHeight w:val="423"/>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2"/>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Adam K. Bernstein</w:t>
            </w:r>
          </w:p>
        </w:tc>
        <w:tc>
          <w:tcPr>
            <w:tcW w:w="220" w:type="dxa"/>
            <w:vAlign w:val="bottom"/>
          </w:tcPr>
          <w:p>
            <w:pPr>
              <w:spacing w:after="0"/>
              <w:rPr>
                <w:sz w:val="20"/>
                <w:szCs w:val="20"/>
                <w:color w:val="auto"/>
              </w:rPr>
            </w:pPr>
          </w:p>
        </w:tc>
        <w:tc>
          <w:tcPr>
            <w:tcW w:w="6620" w:type="dxa"/>
            <w:vAlign w:val="bottom"/>
          </w:tcPr>
          <w:p>
            <w:pPr>
              <w:spacing w:after="0"/>
              <w:rPr>
                <w:sz w:val="20"/>
                <w:szCs w:val="20"/>
                <w:color w:val="auto"/>
              </w:rPr>
            </w:pPr>
          </w:p>
        </w:tc>
      </w:tr>
      <w:tr>
        <w:trPr>
          <w:trHeight w:val="423"/>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2"/>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Jeffrey Flug</w:t>
            </w:r>
          </w:p>
        </w:tc>
        <w:tc>
          <w:tcPr>
            <w:tcW w:w="220" w:type="dxa"/>
            <w:vAlign w:val="bottom"/>
          </w:tcPr>
          <w:p>
            <w:pPr>
              <w:spacing w:after="0"/>
              <w:rPr>
                <w:sz w:val="20"/>
                <w:szCs w:val="20"/>
                <w:color w:val="auto"/>
              </w:rPr>
            </w:pPr>
          </w:p>
        </w:tc>
        <w:tc>
          <w:tcPr>
            <w:tcW w:w="6620" w:type="dxa"/>
            <w:vAlign w:val="bottom"/>
          </w:tcPr>
          <w:p>
            <w:pPr>
              <w:spacing w:after="0"/>
              <w:rPr>
                <w:sz w:val="20"/>
                <w:szCs w:val="20"/>
                <w:color w:val="auto"/>
              </w:rPr>
            </w:pPr>
          </w:p>
        </w:tc>
      </w:tr>
      <w:tr>
        <w:trPr>
          <w:trHeight w:val="423"/>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2"/>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Marshall Brozost</w:t>
            </w:r>
          </w:p>
        </w:tc>
        <w:tc>
          <w:tcPr>
            <w:tcW w:w="220" w:type="dxa"/>
            <w:vAlign w:val="bottom"/>
          </w:tcPr>
          <w:p>
            <w:pPr>
              <w:spacing w:after="0"/>
              <w:rPr>
                <w:sz w:val="20"/>
                <w:szCs w:val="20"/>
                <w:color w:val="auto"/>
              </w:rPr>
            </w:pPr>
          </w:p>
        </w:tc>
        <w:tc>
          <w:tcPr>
            <w:tcW w:w="6620" w:type="dxa"/>
            <w:vAlign w:val="bottom"/>
          </w:tcPr>
          <w:p>
            <w:pPr>
              <w:spacing w:after="0"/>
              <w:rPr>
                <w:sz w:val="20"/>
                <w:szCs w:val="20"/>
                <w:color w:val="auto"/>
              </w:rPr>
            </w:pPr>
          </w:p>
        </w:tc>
      </w:tr>
      <w:tr>
        <w:trPr>
          <w:trHeight w:val="423"/>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2"/>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Samuel L. Katz</w:t>
            </w:r>
          </w:p>
        </w:tc>
        <w:tc>
          <w:tcPr>
            <w:tcW w:w="220" w:type="dxa"/>
            <w:vAlign w:val="bottom"/>
          </w:tcPr>
          <w:p>
            <w:pPr>
              <w:spacing w:after="0"/>
              <w:rPr>
                <w:sz w:val="20"/>
                <w:szCs w:val="20"/>
                <w:color w:val="auto"/>
              </w:rPr>
            </w:pPr>
          </w:p>
        </w:tc>
        <w:tc>
          <w:tcPr>
            <w:tcW w:w="66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7715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2" w:lineRule="exact"/>
        <w:rPr>
          <w:sz w:val="20"/>
          <w:szCs w:val="20"/>
          <w:color w:val="auto"/>
        </w:rPr>
      </w:pPr>
    </w:p>
    <w:p>
      <w:pPr>
        <w:ind w:left="5480" w:right="1480" w:hanging="5364"/>
        <w:spacing w:after="0" w:line="454" w:lineRule="auto"/>
        <w:tabs>
          <w:tab w:leader="none" w:pos="32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Signed by Richard Cheung on behalf of those identified pursuant to his designation as attorney-in-fact signed on March 15, 2022. C-7</w:t>
      </w:r>
    </w:p>
    <w:p>
      <w:pPr>
        <w:sectPr>
          <w:pgSz w:w="11900" w:h="16838" w:orient="portrait"/>
          <w:cols w:equalWidth="0" w:num="1">
            <w:col w:w="11140"/>
          </w:cols>
          <w:pgMar w:left="320" w:top="455" w:right="4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color w:val="auto"/>
        </w:rPr>
        <w:t>Exhibit (n)(1)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2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this Pre-Effective Amendment No. 1 to the Registration Statement (No. 333-263564) on Form N-2 of PennantPark Investment Corporation and Subsidiaries (the Company) of our reports dated November 17, 2021, relating to the consolidated financial statements and the effectiveness of internal control over financial reporting of the Company, appearing in the Annual Report on Form 10-K of the Company for the year ended September 30, 2021. We also consent to the incorporation by reference in such Registration Statement of our report dated November 17, 2021, relating to the senior securities table appearing elsewhere in this Registration Statement.</w:t>
      </w:r>
    </w:p>
    <w:p>
      <w:pPr>
        <w:spacing w:after="0" w:line="183"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We also consent to the reference to our firm under the headings “Senior Securities” and “Independent Registered Public Accounting Firm” in this Registration Statement on Form N-2.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20, 2022</w:t>
      </w:r>
    </w:p>
    <w:p>
      <w:pPr>
        <w:sectPr>
          <w:pgSz w:w="11900" w:h="16838" w:orient="portrait"/>
          <w:cols w:equalWidth="0" w:num="1">
            <w:col w:w="11020"/>
          </w:cols>
          <w:pgMar w:left="440" w:top="121" w:right="4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color w:val="auto"/>
        </w:rPr>
        <w:t>Exhibit (n)(3)</w:t>
      </w:r>
    </w:p>
    <w:p>
      <w:pPr>
        <w:spacing w:after="0" w:line="22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Consent of Independent Auditor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hereby consent to the incorporation by reference in the Prospectus constituting a part of this Registration Statement of our reports dated</w:t>
      </w:r>
    </w:p>
    <w:p>
      <w:pPr>
        <w:spacing w:after="0" w:line="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November 16, 2021, November 16, 2020, and November 15, 2019, relating to the consolidated financial statements of RAM Energy Holdings LLC as of and for the years ended September 30, 2021, 2020 and 2019, respectively, appearing in PennantPark Investment Corporation’s Annual Report on Form 10-K for the year ended September 30, 2021.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us under the caption “Independent Auditors” in the Prospectus.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20, 2022</w:t>
      </w:r>
    </w:p>
    <w:p>
      <w:pPr>
        <w:sectPr>
          <w:pgSz w:w="11900" w:h="16838" w:orient="portrait"/>
          <w:cols w:equalWidth="0" w:num="1">
            <w:col w:w="11020"/>
          </w:cols>
          <w:pgMar w:left="440" w:top="121" w:right="4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4"/>
          <w:szCs w:val="14"/>
          <w:b w:val="1"/>
          <w:bCs w:val="1"/>
          <w:color w:val="auto"/>
        </w:rPr>
        <w:t>EXHIBIT (n)(4)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Auditor</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N-2 of PennantPark Investment Corporation (the “Company”) of our report dated March 30, 2022 relating to the consolidated financial statements of PT Network Intermediate Holdings, LLC as of December 31, 2021 and 2020, and for each of the three years in the period ended December 31, 2021, which appear in the Company’s Annual Report on Form 10-K, filed on March 30,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us under the caption “Independent Auditors” in the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Dixon Hughes Goodman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Tampa,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20, 2022</w:t>
      </w:r>
    </w:p>
    <w:sectPr>
      <w:pgSz w:w="11900" w:h="16838" w:orient="portrait"/>
      <w:cols w:equalWidth="0" w:num="1">
        <w:col w:w="11020"/>
      </w:cols>
      <w:pgMar w:left="440" w:top="11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1)"/>
      <w:numFmt w:val="decimal"/>
      <w:start w:val="212"/>
    </w:lvl>
  </w:abstractNum>
  <w:abstractNum w:abstractNumId="10">
    <w:nsid w:val="77465F01"/>
    <w:multiLevelType w:val="hybridMultilevel"/>
    <w:lvl w:ilvl="0">
      <w:lvlJc w:val="left"/>
      <w:lvlText w:val="(%1)"/>
      <w:numFmt w:val="decimal"/>
      <w:start w:val="1"/>
    </w:lvl>
  </w:abstractNum>
  <w:abstractNum w:abstractNumId="11">
    <w:nsid w:val="7724C67E"/>
    <w:multiLevelType w:val="hybridMultilevel"/>
    <w:lvl w:ilvl="0">
      <w:lvlJc w:val="left"/>
      <w:lvlText w:val="(%1)"/>
      <w:numFmt w:val="decimal"/>
      <w:start w:val="8"/>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1)"/>
      <w:numFmt w:val="decimal"/>
      <w:start w:val="1"/>
    </w:lvl>
  </w:abstractNum>
  <w:abstractNum w:abstractNumId="14">
    <w:nsid w:val="5E884ADC"/>
    <w:multiLevelType w:val="hybridMultilevel"/>
    <w:lvl w:ilvl="0">
      <w:lvlJc w:val="left"/>
      <w:lvlText w:val="(%1)"/>
      <w:numFmt w:val="decimal"/>
      <w:start w:val="8"/>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1)"/>
      <w:numFmt w:val="upperLetter"/>
      <w:start w:val="2"/>
    </w:lvl>
  </w:abstractNum>
  <w:abstractNum w:abstractNumId="17">
    <w:nsid w:val="580BD78F"/>
    <w:multiLevelType w:val="hybridMultilevel"/>
    <w:lvl w:ilvl="0">
      <w:lvlJc w:val="left"/>
      <w:lvlText w:val="(%1)"/>
      <w:numFmt w:val="decimal"/>
      <w:start w:val="1"/>
    </w:lvl>
  </w:abstractNum>
  <w:abstractNum w:abstractNumId="18">
    <w:nsid w:val="153EA438"/>
    <w:multiLevelType w:val="hybridMultilevel"/>
    <w:lvl w:ilvl="0">
      <w:lvlJc w:val="left"/>
      <w:lvlText w:val="(%1)"/>
      <w:numFmt w:val="decimal"/>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1)"/>
      <w:numFmt w:val="decimal"/>
      <w:start w:val="1"/>
    </w:lvl>
  </w:abstractNum>
  <w:abstractNum w:abstractNumId="22">
    <w:nsid w:val="2A487CB0"/>
    <w:multiLevelType w:val="hybridMultilevel"/>
    <w:lvl w:ilvl="0">
      <w:lvlJc w:val="left"/>
      <w:lvlText w:val="(%1)"/>
      <w:numFmt w:val="decimal"/>
      <w:start w:val="1"/>
    </w:lvl>
  </w:abstractNum>
  <w:abstractNum w:abstractNumId="23">
    <w:nsid w:val="1D4ED43B"/>
    <w:multiLevelType w:val="hybridMultilevel"/>
    <w:lvl w:ilvl="0">
      <w:lvlJc w:val="left"/>
      <w:lvlText w:val="(%1)"/>
      <w:numFmt w:val="decimal"/>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
      <w:numFmt w:val="bullet"/>
      <w:start w:val="1"/>
    </w:lvl>
  </w:abstractNum>
  <w:abstractNum w:abstractNumId="37">
    <w:nsid w:val="3DC240FB"/>
    <w:multiLevelType w:val="hybridMultilevel"/>
    <w:lvl w:ilvl="0">
      <w:lvlJc w:val="left"/>
      <w:lvlText w:val="•"/>
      <w:numFmt w:val="bullet"/>
      <w:start w:val="1"/>
    </w:lvl>
  </w:abstractNum>
  <w:abstractNum w:abstractNumId="38">
    <w:nsid w:val="1BA026FA"/>
    <w:multiLevelType w:val="hybridMultilevel"/>
    <w:lvl w:ilvl="0">
      <w:lvlJc w:val="left"/>
      <w:lvlText w:val="•"/>
      <w:numFmt w:val="bullet"/>
      <w:start w:val="1"/>
    </w:lvl>
  </w:abstractNum>
  <w:abstractNum w:abstractNumId="39">
    <w:nsid w:val="79A1DEAA"/>
    <w:multiLevelType w:val="hybridMultilevel"/>
    <w:lvl w:ilvl="0">
      <w:lvlJc w:val="left"/>
      <w:lvlText w:val="•"/>
      <w:numFmt w:val="bullet"/>
      <w:start w:val="1"/>
    </w:lvl>
  </w:abstractNum>
  <w:abstractNum w:abstractNumId="40">
    <w:nsid w:val="75C6C33A"/>
    <w:multiLevelType w:val="hybridMultilevel"/>
    <w:lvl w:ilvl="0">
      <w:lvlJc w:val="left"/>
      <w:lvlText w:val="•"/>
      <w:numFmt w:val="bullet"/>
      <w:start w:val="1"/>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
      <w:numFmt w:val="bullet"/>
      <w:start w:val="1"/>
    </w:lvl>
  </w:abstractNum>
  <w:abstractNum w:abstractNumId="43">
    <w:nsid w:val="520EEDD1"/>
    <w:multiLevelType w:val="hybridMultilevel"/>
    <w:lvl w:ilvl="0">
      <w:lvlJc w:val="left"/>
      <w:lvlText w:val="•"/>
      <w:numFmt w:val="bullet"/>
      <w:start w:val="1"/>
    </w:lvl>
  </w:abstractNum>
  <w:abstractNum w:abstractNumId="44">
    <w:nsid w:val="374A3FE6"/>
    <w:multiLevelType w:val="hybridMultilevel"/>
    <w:lvl w:ilvl="0">
      <w:lvlJc w:val="left"/>
      <w:lvlText w:val="•"/>
      <w:numFmt w:val="bullet"/>
      <w:start w:val="1"/>
    </w:lvl>
  </w:abstractNum>
  <w:abstractNum w:abstractNumId="45">
    <w:nsid w:val="4F4EF005"/>
    <w:multiLevelType w:val="hybridMultilevel"/>
    <w:lvl w:ilvl="0">
      <w:lvlJc w:val="left"/>
      <w:lvlText w:val="•"/>
      <w:numFmt w:val="bullet"/>
      <w:start w:val="1"/>
    </w:lvl>
  </w:abstractNum>
  <w:abstractNum w:abstractNumId="46">
    <w:nsid w:val="23F9C13C"/>
    <w:multiLevelType w:val="hybridMultilevel"/>
    <w:lvl w:ilvl="0">
      <w:lvlJc w:val="left"/>
      <w:lvlText w:val="•"/>
      <w:numFmt w:val="bullet"/>
      <w:start w:val="1"/>
    </w:lvl>
  </w:abstractNum>
  <w:abstractNum w:abstractNumId="47">
    <w:nsid w:val="649BB77C"/>
    <w:multiLevelType w:val="hybridMultilevel"/>
    <w:lvl w:ilvl="0">
      <w:lvlJc w:val="left"/>
      <w:lvlText w:val="•"/>
      <w:numFmt w:val="bullet"/>
      <w:start w:val="1"/>
    </w:lvl>
  </w:abstractNum>
  <w:abstractNum w:abstractNumId="48">
    <w:nsid w:val="275AC794"/>
    <w:multiLevelType w:val="hybridMultilevel"/>
    <w:lvl w:ilvl="0">
      <w:lvlJc w:val="left"/>
      <w:lvlText w:val="•"/>
      <w:numFmt w:val="bullet"/>
      <w:start w:val="1"/>
    </w:lvl>
  </w:abstractNum>
  <w:abstractNum w:abstractNumId="49">
    <w:nsid w:val="39386575"/>
    <w:multiLevelType w:val="hybridMultilevel"/>
    <w:lvl w:ilvl="0">
      <w:lvlJc w:val="left"/>
      <w:lvlText w:val="•"/>
      <w:numFmt w:val="bullet"/>
      <w:start w:val="1"/>
    </w:lvl>
  </w:abstractNum>
  <w:abstractNum w:abstractNumId="50">
    <w:nsid w:val="1CF10FD8"/>
    <w:multiLevelType w:val="hybridMultilevel"/>
    <w:lvl w:ilvl="0">
      <w:lvlJc w:val="left"/>
      <w:lvlText w:val="•"/>
      <w:numFmt w:val="bullet"/>
      <w:start w:val="1"/>
    </w:lvl>
  </w:abstractNum>
  <w:abstractNum w:abstractNumId="51">
    <w:nsid w:val="180115BE"/>
    <w:multiLevelType w:val="hybridMultilevel"/>
    <w:lvl w:ilvl="0">
      <w:lvlJc w:val="left"/>
      <w:lvlText w:val="(%1)"/>
      <w:numFmt w:val="decimal"/>
      <w:start w:val="3"/>
    </w:lvl>
  </w:abstractNum>
  <w:abstractNum w:abstractNumId="52">
    <w:nsid w:val="235BA861"/>
    <w:multiLevelType w:val="hybridMultilevel"/>
    <w:lvl w:ilvl="0">
      <w:lvlJc w:val="left"/>
      <w:lvlText w:val="•"/>
      <w:numFmt w:val="bullet"/>
      <w:start w:val="1"/>
    </w:lvl>
  </w:abstractNum>
  <w:abstractNum w:abstractNumId="53">
    <w:nsid w:val="47398C89"/>
    <w:multiLevelType w:val="hybridMultilevel"/>
    <w:lvl w:ilvl="0">
      <w:lvlJc w:val="left"/>
      <w:lvlText w:val="•"/>
      <w:numFmt w:val="bullet"/>
      <w:start w:val="1"/>
    </w:lvl>
    <w:lvl w:ilvl="1">
      <w:lvlJc w:val="left"/>
      <w:lvlText w:val="%2)"/>
      <w:numFmt w:val="decimal"/>
      <w:start w:val="1"/>
    </w:lvl>
  </w:abstractNum>
  <w:abstractNum w:abstractNumId="54">
    <w:nsid w:val="354FE9F9"/>
    <w:multiLevelType w:val="hybridMultilevel"/>
    <w:lvl w:ilvl="0">
      <w:lvlJc w:val="left"/>
      <w:lvlText w:val="(%1)"/>
      <w:numFmt w:val="lowerLetter"/>
      <w:start w:val="1"/>
    </w:lvl>
  </w:abstractNum>
  <w:abstractNum w:abstractNumId="55">
    <w:nsid w:val="15B5AF5C"/>
    <w:multiLevelType w:val="hybridMultilevel"/>
    <w:lvl w:ilvl="0">
      <w:lvlJc w:val="left"/>
      <w:lvlText w:val="(%1)"/>
      <w:numFmt w:val="lowerLetter"/>
      <w:start w:val="5"/>
    </w:lvl>
  </w:abstractNum>
  <w:abstractNum w:abstractNumId="56">
    <w:nsid w:val="741226BB"/>
    <w:multiLevelType w:val="hybridMultilevel"/>
    <w:lvl w:ilvl="0">
      <w:lvlJc w:val="left"/>
      <w:lvlText w:val="•"/>
      <w:numFmt w:val="bullet"/>
      <w:start w:val="1"/>
    </w:lvl>
  </w:abstractNum>
  <w:abstractNum w:abstractNumId="57">
    <w:nsid w:val="D34B6A8"/>
    <w:multiLevelType w:val="hybridMultilevel"/>
    <w:lvl w:ilvl="0">
      <w:lvlJc w:val="left"/>
      <w:lvlText w:val="•"/>
      <w:numFmt w:val="bullet"/>
      <w:start w:val="1"/>
    </w:lvl>
  </w:abstractNum>
  <w:abstractNum w:abstractNumId="58">
    <w:nsid w:val="10233C99"/>
    <w:multiLevelType w:val="hybridMultilevel"/>
    <w:lvl w:ilvl="0">
      <w:lvlJc w:val="left"/>
      <w:lvlText w:val="*"/>
      <w:numFmt w:val="bullet"/>
      <w:start w:val="1"/>
    </w:lvl>
  </w:abstractNum>
  <w:abstractNum w:abstractNumId="59">
    <w:nsid w:val="3F6AB60F"/>
    <w:multiLevelType w:val="hybridMultilevel"/>
    <w:lvl w:ilvl="0">
      <w:lvlJc w:val="left"/>
      <w:lvlText w:val="(%1)"/>
      <w:numFmt w:val="decimal"/>
      <w:start w:val="1"/>
    </w:lvl>
  </w:abstractNum>
  <w:abstractNum w:abstractNumId="60">
    <w:nsid w:val="61574095"/>
    <w:multiLevelType w:val="hybridMultilevel"/>
    <w:lvl w:ilvl="0">
      <w:lvlJc w:val="left"/>
      <w:lvlText w:val="(%1)"/>
      <w:numFmt w:val="decimal"/>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6" Type="http://schemas.openxmlformats.org/officeDocument/2006/relationships/image" Target="media/image105.png"/><Relationship Id="rId127" Type="http://schemas.openxmlformats.org/officeDocument/2006/relationships/image" Target="media/image106.png"/><Relationship Id="rId149" Type="http://schemas.openxmlformats.org/officeDocument/2006/relationships/image" Target="media/image107.png"/><Relationship Id="rId160" Type="http://schemas.openxmlformats.org/officeDocument/2006/relationships/image" Target="media/image108.png"/><Relationship Id="rId161" Type="http://schemas.openxmlformats.org/officeDocument/2006/relationships/image" Target="media/image109.png"/><Relationship Id="rId162" Type="http://schemas.openxmlformats.org/officeDocument/2006/relationships/image" Target="media/image110.png"/><Relationship Id="rId163" Type="http://schemas.openxmlformats.org/officeDocument/2006/relationships/image" Target="media/image111.png"/><Relationship Id="rId164" Type="http://schemas.openxmlformats.org/officeDocument/2006/relationships/image" Target="media/image112.png"/><Relationship Id="rId165" Type="http://schemas.openxmlformats.org/officeDocument/2006/relationships/image" Target="media/image113.png"/><Relationship Id="rId112" Type="http://schemas.openxmlformats.org/officeDocument/2006/relationships/hyperlink" Target="http://www.sec.gov/Archives/edgar/data/1383414/000156459021057446/pnnt-10k_20210930.htm" TargetMode="External"/><Relationship Id="rId113" Type="http://schemas.openxmlformats.org/officeDocument/2006/relationships/hyperlink" Target="http://www.sec.gov/Archives/edgar/data/1383414/000095012321016092/pnnt-def14a_20220208.htm" TargetMode="External"/><Relationship Id="rId114" Type="http://schemas.openxmlformats.org/officeDocument/2006/relationships/hyperlink" Target="http://www.sec.gov/Archives/edgar/data/1383414/000095017022000974/pnnt-10q-20211231-no_xbr.htm" TargetMode="External"/><Relationship Id="rId115" Type="http://schemas.openxmlformats.org/officeDocument/2006/relationships/hyperlink" Target="http://www.sec.gov/Archives/edgar/data/1383414/000117184322002184/f8k_033022.htm" TargetMode="External"/><Relationship Id="rId117" Type="http://schemas.openxmlformats.org/officeDocument/2006/relationships/hyperlink" Target="http://www.sec.gov/Archives/edgar/data/1383414/000119312507046516/dex99a.htm" TargetMode="External"/><Relationship Id="rId118" Type="http://schemas.openxmlformats.org/officeDocument/2006/relationships/hyperlink" Target="http://www.sec.gov/Archives/edgar/data/1383414/000156459020024172/pnnt-ex32_163.htm" TargetMode="External"/><Relationship Id="rId119" Type="http://schemas.openxmlformats.org/officeDocument/2006/relationships/hyperlink" Target="http://www.sec.gov/Archives/edgar/data/1383414/000119312508072557/dex99d1.htm" TargetMode="External"/><Relationship Id="rId120" Type="http://schemas.openxmlformats.org/officeDocument/2006/relationships/hyperlink" Target="http://www.sec.gov/Archives/edgar/data/1383414/000119312508125678/dex99d2.htm" TargetMode="External"/><Relationship Id="rId121" Type="http://schemas.openxmlformats.org/officeDocument/2006/relationships/hyperlink" Target="http://www.sec.gov/Archives/edgar/data/1383414/000119312508125678/dex99d4.htm" TargetMode="External"/><Relationship Id="rId122" Type="http://schemas.openxmlformats.org/officeDocument/2006/relationships/hyperlink" Target="http://www.sec.gov/Archives/edgar/data/1383414/000119312508125678/dex99d5.htm" TargetMode="External"/><Relationship Id="rId123" Type="http://schemas.openxmlformats.org/officeDocument/2006/relationships/hyperlink" Target="http://www.sec.gov/Archives/edgar/data/1383414/000119312522076017/d628343dex99d5.htm" TargetMode="External"/><Relationship Id="rId124" Type="http://schemas.openxmlformats.org/officeDocument/2006/relationships/hyperlink" Target="http://www.sec.gov/Archives/edgar/data/1383414/000150461911000038/exhibitd7formofarticlessup.htm" TargetMode="External"/><Relationship Id="rId125" Type="http://schemas.openxmlformats.org/officeDocument/2006/relationships/hyperlink" Target="http://www.sec.gov/Archives/edgar/data/1383414/000119312513018556/d470556dex99d8.htm" TargetMode="External"/><Relationship Id="rId126" Type="http://schemas.openxmlformats.org/officeDocument/2006/relationships/hyperlink" Target="http://www.sec.gov/Archives/edgar/data/1383414/000119312519257341/d812658dex41.htm" TargetMode="External"/><Relationship Id="rId128" Type="http://schemas.openxmlformats.org/officeDocument/2006/relationships/hyperlink" Target="http://www.sec.gov/Archives/edgar/data/1383414/000119312521125241/d124015dex41.htm" TargetMode="External"/><Relationship Id="rId129" Type="http://schemas.openxmlformats.org/officeDocument/2006/relationships/hyperlink" Target="http://www.sec.gov/Archives/edgar/data/1383414/000119312521303994/d236895dex41.htm" TargetMode="External"/><Relationship Id="rId130" Type="http://schemas.openxmlformats.org/officeDocument/2006/relationships/hyperlink" Target="http://www.sec.gov/Archives/edgar/data/1383414/000119312508072557/dex99e.htm" TargetMode="External"/><Relationship Id="rId131" Type="http://schemas.openxmlformats.org/officeDocument/2006/relationships/hyperlink" Target="http://www.sec.gov/Archives/edgar/data/1383414/000119312519105161/d630383dex99g3.htm" TargetMode="External"/><Relationship Id="rId132" Type="http://schemas.openxmlformats.org/officeDocument/2006/relationships/hyperlink" Target="http://www.sec.gov/Archives/edgar/data/1383414/000119312510035957/dex99h1.htm" TargetMode="External"/><Relationship Id="rId133" Type="http://schemas.openxmlformats.org/officeDocument/2006/relationships/hyperlink" Target="http://www.sec.gov/Archives/edgar/data/1383414/000119312508125678/dex99h2.htm" TargetMode="External"/><Relationship Id="rId134" Type="http://schemas.openxmlformats.org/officeDocument/2006/relationships/hyperlink" Target="http://www.sec.gov/Archives/edgar/data/1383414/000119312508072557/dex99j1.htm" TargetMode="External"/><Relationship Id="rId135" Type="http://schemas.openxmlformats.org/officeDocument/2006/relationships/hyperlink" Target="http://www.sec.gov/Archives/edgar/data/1383414/000119312508072557/dex99k1.htm" TargetMode="External"/><Relationship Id="rId136" Type="http://schemas.openxmlformats.org/officeDocument/2006/relationships/hyperlink" Target="http://www.sec.gov/Archives/edgar/data/1383414/000119312508072557/dex99k2.htm" TargetMode="External"/><Relationship Id="rId137" Type="http://schemas.openxmlformats.org/officeDocument/2006/relationships/hyperlink" Target="http://www.sec.gov/Archives/edgar/data/1383414/000119312508072557/dex99k3.htm" TargetMode="External"/><Relationship Id="rId138" Type="http://schemas.openxmlformats.org/officeDocument/2006/relationships/hyperlink" Target="http://www.sec.gov/Archives/edgar/data/1383414/000156459017015976/pnnt-ex101_12.htm" TargetMode="External"/><Relationship Id="rId139" Type="http://schemas.openxmlformats.org/officeDocument/2006/relationships/hyperlink" Target="http://www.sec.gov/Archives/edgar/data/1383414/000119312519240958/d761962dex101.htm" TargetMode="External"/><Relationship Id="rId140" Type="http://schemas.openxmlformats.org/officeDocument/2006/relationships/hyperlink" Target="http://www.sec.gov/Archives/edgar/data/1383414/000119312520208851/d41849dex101.htm" TargetMode="External"/><Relationship Id="rId141" Type="http://schemas.openxmlformats.org/officeDocument/2006/relationships/hyperlink" Target="http://www.sec.gov/Archives/edgar/data/1383414/000156459020054639/pnnt-ex1012_753.htm" TargetMode="External"/><Relationship Id="rId142" Type="http://schemas.openxmlformats.org/officeDocument/2006/relationships/hyperlink" Target="http://www.sec.gov/Archives/edgar/data/1383414/000119312520208851/d41849dex102.htm" TargetMode="External"/><Relationship Id="rId143" Type="http://schemas.openxmlformats.org/officeDocument/2006/relationships/hyperlink" Target="http://www.sec.gov/Archives/edgar/data/1383414/000119312516773701/d285279dex105.htm" TargetMode="External"/><Relationship Id="rId144" Type="http://schemas.openxmlformats.org/officeDocument/2006/relationships/hyperlink" Target="http://www.sec.gov/Archives/edgar/data/1383414/000119312519052085/d704263dex102.htm" TargetMode="External"/><Relationship Id="rId145" Type="http://schemas.openxmlformats.org/officeDocument/2006/relationships/hyperlink" Target="http://www.sec.gov/Archives/edgar/data/1383414/000119312519052085/d704263dex103.htm" TargetMode="External"/><Relationship Id="rId146" Type="http://schemas.openxmlformats.org/officeDocument/2006/relationships/hyperlink" Target="http://www.sec.gov/Archives/edgar/data/1383414/000119312522076017/d628343dex99l1.htm" TargetMode="External"/><Relationship Id="rId147" Type="http://schemas.openxmlformats.org/officeDocument/2006/relationships/hyperlink" Target="http://www.sec.gov/Archives/edgar/data/1383414/000119312522076017/d628343dex99l2.htm" TargetMode="External"/><Relationship Id="rId148" Type="http://schemas.openxmlformats.org/officeDocument/2006/relationships/hyperlink" Target="http://www.sec.gov/Archives/edgar/data/1383414/000156459021057446/pnnt-ex995_18.htm" TargetMode="External"/><Relationship Id="rId150" Type="http://schemas.openxmlformats.org/officeDocument/2006/relationships/hyperlink" Target="http://www.sec.gov/Archives/edgar/data/1383414/000156459021057446/pnnt-ex141_13.htm" TargetMode="External"/><Relationship Id="rId151" Type="http://schemas.openxmlformats.org/officeDocument/2006/relationships/hyperlink" Target="http://www.sec.gov/Archives/edgar/data/1383414/000150461911000038/s1formofprospectussuppleme.htm" TargetMode="External"/><Relationship Id="rId152" Type="http://schemas.openxmlformats.org/officeDocument/2006/relationships/hyperlink" Target="http://www.sec.gov/Archives/edgar/data/1383414/000150461911000038/s2formofprospectussuppleme.htm" TargetMode="External"/><Relationship Id="rId153" Type="http://schemas.openxmlformats.org/officeDocument/2006/relationships/hyperlink" Target="http://www.sec.gov/Archives/edgar/data/1383414/000150461911000038/s3formofprospectussuppleme.htm" TargetMode="External"/><Relationship Id="rId154" Type="http://schemas.openxmlformats.org/officeDocument/2006/relationships/hyperlink" Target="http://www.sec.gov/Archives/edgar/data/1383414/000150461911000038/s4formofprospectussuppleme.htm" TargetMode="External"/><Relationship Id="rId155" Type="http://schemas.openxmlformats.org/officeDocument/2006/relationships/hyperlink" Target="http://www.sec.gov/Archives/edgar/data/1383414/000150461911000038/s5formofprospectussuppleme.htm" TargetMode="External"/><Relationship Id="rId156" Type="http://schemas.openxmlformats.org/officeDocument/2006/relationships/hyperlink" Target="http://www.sec.gov/Archives/edgar/data/1383414/000156459021057446/pnnt-ex992_708.htm" TargetMode="External"/><Relationship Id="rId157" Type="http://schemas.openxmlformats.org/officeDocument/2006/relationships/hyperlink" Target="http://www.sec.gov/Archives/edgar/data/1383414/000156459021057446/pnnt-ex993_15.htm" TargetMode="External"/><Relationship Id="rId158" Type="http://schemas.openxmlformats.org/officeDocument/2006/relationships/hyperlink" Target="http://www.sec.gov/Archives/edgar/data/1383414/000156459021057446/pnnt-ex994_8.htm" TargetMode="External"/><Relationship Id="rId159" Type="http://schemas.openxmlformats.org/officeDocument/2006/relationships/hyperlink" Target="http://www.sec.gov/Archives/edgar/data/1383414/000119312522076017/d628343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2022-04-20T15:16:14Z</dcterms:created>
  <dcterms:modified xsi:type="dcterms:W3CDTF">2022-04-20T15:16:14Z</dcterms:modified>
</cp:coreProperties>
</file>