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Arial" w:cs="Arial" w:eastAsia="Arial" w:hAnsi="Arial"/>
          <w:sz w:val="18"/>
          <w:szCs w:val="18"/>
          <w:color w:val="auto"/>
        </w:rPr>
        <w:t>1775 I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6"/>
          <w:szCs w:val="16"/>
          <w:color w:val="auto"/>
        </w:rPr>
        <w:t>Washington, DC 20006-2401</w:t>
      </w:r>
    </w:p>
    <w:p>
      <w:pPr>
        <w:spacing w:after="0" w:line="32"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5013325</wp:posOffset>
            </wp:positionH>
            <wp:positionV relativeFrom="paragraph">
              <wp:posOffset>161290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7900"/>
        <w:spacing w:after="0"/>
        <w:rPr>
          <w:sz w:val="20"/>
          <w:szCs w:val="20"/>
          <w:color w:val="auto"/>
        </w:rPr>
      </w:pPr>
      <w:r>
        <w:rPr>
          <w:rFonts w:ascii="Arial" w:cs="Arial" w:eastAsia="Arial" w:hAnsi="Arial"/>
          <w:sz w:val="18"/>
          <w:szCs w:val="18"/>
          <w:b w:val="1"/>
          <w:bCs w:val="1"/>
          <w:color w:val="auto"/>
        </w:rPr>
        <w:t>THOMAS FRIEDMANN</w:t>
      </w:r>
    </w:p>
    <w:p>
      <w:pPr>
        <w:spacing w:after="0" w:line="218" w:lineRule="exact"/>
        <w:rPr>
          <w:sz w:val="24"/>
          <w:szCs w:val="24"/>
          <w:color w:val="auto"/>
        </w:rPr>
      </w:pPr>
    </w:p>
    <w:p>
      <w:pPr>
        <w:ind w:left="7900"/>
        <w:spacing w:after="0"/>
        <w:rPr>
          <w:sz w:val="20"/>
          <w:szCs w:val="20"/>
          <w:color w:val="auto"/>
        </w:rPr>
      </w:pPr>
      <w:r>
        <w:rPr>
          <w:rFonts w:ascii="Arial" w:cs="Arial" w:eastAsia="Arial" w:hAnsi="Arial"/>
          <w:sz w:val="15"/>
          <w:szCs w:val="15"/>
          <w:color w:val="auto"/>
        </w:rPr>
        <w:t>thomas.friedmann@dechert.com</w:t>
      </w:r>
    </w:p>
    <w:p>
      <w:pPr>
        <w:spacing w:after="0" w:line="50" w:lineRule="exact"/>
        <w:rPr>
          <w:sz w:val="24"/>
          <w:szCs w:val="24"/>
          <w:color w:val="auto"/>
        </w:rPr>
      </w:pPr>
    </w:p>
    <w:p>
      <w:pPr>
        <w:ind w:left="7900" w:right="1820" w:hanging="7886"/>
        <w:spacing w:after="0" w:line="323" w:lineRule="auto"/>
        <w:tabs>
          <w:tab w:leader="none" w:pos="7880" w:val="left"/>
        </w:tabs>
        <w:rPr>
          <w:sz w:val="20"/>
          <w:szCs w:val="20"/>
          <w:color w:val="auto"/>
        </w:rPr>
      </w:pPr>
      <w:r>
        <w:rPr>
          <w:rFonts w:ascii="Arial" w:cs="Arial" w:eastAsia="Arial" w:hAnsi="Arial"/>
          <w:sz w:val="35"/>
          <w:szCs w:val="35"/>
          <w:color w:val="auto"/>
          <w:vertAlign w:val="subscript"/>
        </w:rPr>
        <w:t>January 24, 2011</w:t>
      </w:r>
      <w:r>
        <w:rPr>
          <w:sz w:val="20"/>
          <w:szCs w:val="20"/>
          <w:color w:val="auto"/>
        </w:rPr>
        <w:tab/>
      </w:r>
      <w:r>
        <w:rPr>
          <w:rFonts w:ascii="Arial" w:cs="Arial" w:eastAsia="Arial" w:hAnsi="Arial"/>
          <w:sz w:val="16"/>
          <w:szCs w:val="16"/>
          <w:color w:val="auto"/>
        </w:rPr>
        <w:t>+1 202 261 3313 Direct +1 202 261 3016 Fax</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Dominic Minore</w:t>
      </w:r>
    </w:p>
    <w:p>
      <w:pPr>
        <w:sectPr>
          <w:pgSz w:w="11900" w:h="16838" w:orient="portrait"/>
          <w:cols w:equalWidth="0" w:num="1">
            <w:col w:w="11400"/>
          </w:cols>
          <w:pgMar w:left="240" w:top="239" w:right="25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(“PNNT”)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N-2, Post-Effective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Amendment No. 6</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File Numbers 333-150033; 814-00736</w:t>
      </w:r>
    </w:p>
    <w:p>
      <w:pPr>
        <w:spacing w:after="0" w:line="171" w:lineRule="exact"/>
        <w:rPr>
          <w:sz w:val="24"/>
          <w:szCs w:val="24"/>
          <w:color w:val="auto"/>
        </w:rPr>
      </w:pPr>
    </w:p>
    <w:p>
      <w:pPr>
        <w:sectPr>
          <w:pgSz w:w="11900" w:h="16838" w:orient="portrait"/>
          <w:cols w:equalWidth="0" w:num="2">
            <w:col w:w="1180" w:space="360"/>
            <w:col w:w="9860"/>
          </w:cols>
          <w:pgMar w:left="240" w:top="239"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w:t>
      </w:r>
    </w:p>
    <w:p>
      <w:pPr>
        <w:spacing w:after="0" w:line="38"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Amendment No. 6 (“</w:t>
      </w:r>
      <w:r>
        <w:rPr>
          <w:rFonts w:ascii="Arial" w:cs="Arial" w:eastAsia="Arial" w:hAnsi="Arial"/>
          <w:sz w:val="18"/>
          <w:szCs w:val="18"/>
          <w:u w:val="single" w:color="auto"/>
          <w:color w:val="auto"/>
        </w:rPr>
        <w:t>Amendment No. 6</w:t>
      </w:r>
      <w:r>
        <w:rPr>
          <w:rFonts w:ascii="Arial" w:cs="Arial" w:eastAsia="Arial" w:hAnsi="Arial"/>
          <w:sz w:val="18"/>
          <w:szCs w:val="18"/>
          <w:color w:val="auto"/>
        </w:rPr>
        <w:t>”) to its Registration Statement on Form N-2 (Registration No. 333-150033)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On behalf of the Company, we hereby respond to the comments communicated orally by Mr. John Ganley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Commission to Thomas Friedmann of Dechert LLP, outside counsel to the Company, in a telephonic conversation on January 21, 2011. For your convenience, the Staff’s comments are included in this letter and are followed by the applicable response. The Company will also provide courtesy copies of Amendment No. 6, as filed and marked to changes from Amendment No. 5 to the Registration Statement. Except as provided in this letter, terms used in this letter have the meanings given to them in Amendment No. 6.</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90" w:lineRule="exact"/>
        <w:rPr>
          <w:sz w:val="24"/>
          <w:szCs w:val="24"/>
          <w:color w:val="auto"/>
        </w:rPr>
      </w:pPr>
    </w:p>
    <w:p>
      <w:pPr>
        <w:ind w:left="900" w:right="560" w:hanging="446"/>
        <w:spacing w:after="0" w:line="310"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disclosure with respect to forward-looking statements set forth in the prospectus (the “Prospectus”) included in the Registration Statement under the caption “Forward Looking Statements” does not include a statement that the statutory safe harbor provision from liability for certain forward-looking statements does not apply to business development companies.</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4"/>
          <w:szCs w:val="24"/>
          <w:color w:val="auto"/>
        </w:rPr>
      </w:pPr>
    </w:p>
    <w:p>
      <w:pPr>
        <w:ind w:right="120"/>
        <w:spacing w:after="0" w:line="332" w:lineRule="auto"/>
        <w:rPr>
          <w:sz w:val="20"/>
          <w:szCs w:val="20"/>
          <w:color w:val="auto"/>
        </w:rPr>
      </w:pPr>
      <w:r>
        <w:rPr>
          <w:rFonts w:ascii="Arial" w:cs="Arial" w:eastAsia="Arial" w:hAnsi="Arial"/>
          <w:sz w:val="16"/>
          <w:szCs w:val="16"/>
          <w:color w:val="auto"/>
        </w:rPr>
        <w:t>As requested, the Company has added the following sentence to the disclosure under the caption “Forward Looking Statements” on page 23 of the Prospectus to make clear that the safe harbor provisions of the Private Securities Litigation Reform Act of 1995 do not apply to the Company’s disclosure documents:</w:t>
      </w:r>
    </w:p>
    <w:p>
      <w:pPr>
        <w:spacing w:after="0" w:line="4" w:lineRule="exact"/>
        <w:rPr>
          <w:sz w:val="24"/>
          <w:szCs w:val="24"/>
          <w:color w:val="auto"/>
        </w:rPr>
      </w:pPr>
    </w:p>
    <w:p>
      <w:pPr>
        <w:ind w:left="920" w:right="360"/>
        <w:spacing w:after="0" w:line="268"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w:t>
      </w:r>
    </w:p>
    <w:p>
      <w:pPr>
        <w:spacing w:after="0" w:line="116" w:lineRule="exact"/>
        <w:rPr>
          <w:sz w:val="24"/>
          <w:szCs w:val="24"/>
          <w:color w:val="auto"/>
        </w:rPr>
      </w:pPr>
    </w:p>
    <w:p>
      <w:pPr>
        <w:ind w:right="3080"/>
        <w:spacing w:after="0" w:line="239" w:lineRule="auto"/>
        <w:rPr>
          <w:sz w:val="20"/>
          <w:szCs w:val="20"/>
          <w:color w:val="auto"/>
        </w:rPr>
      </w:pPr>
      <w:r>
        <w:rPr>
          <w:rFonts w:ascii="Arial" w:cs="Arial" w:eastAsia="Arial" w:hAnsi="Arial"/>
          <w:sz w:val="14"/>
          <w:szCs w:val="14"/>
          <w:color w:val="auto"/>
        </w:rPr>
        <w:t>US Austin Boston Charlotte Hartford New York Orange County Philadelphia Princeton San Francisco Silicon Valley Washington DC EUROPE Brussels Dublin London Luxembourg Moscow Munich Paris ASIA Beijing Hong Kong</w:t>
      </w:r>
    </w:p>
    <w:p>
      <w:pPr>
        <w:sectPr>
          <w:pgSz w:w="11900" w:h="16838" w:orient="portrait"/>
          <w:cols w:equalWidth="0" w:num="1">
            <w:col w:w="11400"/>
          </w:cols>
          <w:pgMar w:left="240" w:top="239" w:right="259" w:bottom="1440" w:gutter="0" w:footer="0" w:header="0"/>
          <w:type w:val="continuous"/>
        </w:sectPr>
      </w:pPr>
    </w:p>
    <w:bookmarkStart w:id="1" w:name="page2"/>
    <w:bookmarkEnd w:id="1"/>
    <w:p>
      <w:pPr>
        <w:jc w:val="right"/>
        <w:ind w:right="1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06170"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403225"/>
                    </a:xfrm>
                    <a:prstGeom prst="rect">
                      <a:avLst/>
                    </a:prstGeom>
                    <a:noFill/>
                  </pic:spPr>
                </pic:pic>
              </a:graphicData>
            </a:graphic>
          </wp:anchor>
        </w:drawing>
      </w:r>
    </w:p>
    <w:p>
      <w:pPr>
        <w:jc w:val="right"/>
        <w:ind w:right="108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January 24, 2011</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Securities Litigation Reform Act of 1995 do not apply to statements made in connection with any offering of securities pursuant to this prospectus or in the periodic reports we file under the Exchange Act.</w:t>
      </w:r>
    </w:p>
    <w:p>
      <w:pPr>
        <w:spacing w:after="0" w:line="45" w:lineRule="exact"/>
        <w:rPr>
          <w:sz w:val="20"/>
          <w:szCs w:val="20"/>
          <w:color w:val="auto"/>
        </w:rPr>
      </w:pPr>
    </w:p>
    <w:p>
      <w:pPr>
        <w:jc w:val="both"/>
        <w:ind w:left="900" w:hanging="446"/>
        <w:spacing w:after="0" w:line="310"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the Company has investments that generate payment-in-kind, or PIK, interest income. Please revise the Registration Statement to include appropriate risk factor disclosure reflecting the fact that incentive fees paid to the investment adviser at the time that PIK income is accrued is paid whether or not such income is ultimately received by the Company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requested, the Company has included the following disclosure under the Risk Factor captioned, “</w:t>
      </w:r>
      <w:r>
        <w:rPr>
          <w:rFonts w:ascii="Arial" w:cs="Arial" w:eastAsia="Arial" w:hAnsi="Arial"/>
          <w:sz w:val="18"/>
          <w:szCs w:val="18"/>
          <w:i w:val="1"/>
          <w:iCs w:val="1"/>
          <w:color w:val="auto"/>
        </w:rPr>
        <w:t>Our incentive fee may induce the Investment Adviser to make</w:t>
      </w:r>
      <w:r>
        <w:rPr>
          <w:rFonts w:ascii="Arial" w:cs="Arial" w:eastAsia="Arial" w:hAnsi="Arial"/>
          <w:sz w:val="18"/>
          <w:szCs w:val="18"/>
          <w:color w:val="auto"/>
        </w:rPr>
        <w:t xml:space="preserve"> </w:t>
      </w:r>
      <w:r>
        <w:rPr>
          <w:rFonts w:ascii="Arial" w:cs="Arial" w:eastAsia="Arial" w:hAnsi="Arial"/>
          <w:sz w:val="18"/>
          <w:szCs w:val="18"/>
          <w:i w:val="1"/>
          <w:iCs w:val="1"/>
          <w:color w:val="auto"/>
        </w:rPr>
        <w:t>speculative investments</w:t>
      </w:r>
      <w:r>
        <w:rPr>
          <w:rFonts w:ascii="Arial" w:cs="Arial" w:eastAsia="Arial" w:hAnsi="Arial"/>
          <w:sz w:val="18"/>
          <w:szCs w:val="18"/>
          <w:color w:val="auto"/>
        </w:rPr>
        <w:t>” on page 19 of the Prospectus.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we may have not yet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you have any questions, please feel free to contact me by telephone at 202.261.3313 (or by facsimile at 212.261.3333) or David J. Harris at 202.261.3385 (or by facsimile at 202.261.3333). Thank you for your cooperation and attention to this matter</w:t>
      </w:r>
      <w:r>
        <w:rPr>
          <w:rFonts w:ascii="Arial" w:cs="Arial" w:eastAsia="Arial" w:hAnsi="Arial"/>
          <w:sz w:val="18"/>
          <w:szCs w:val="18"/>
          <w:b w:val="1"/>
          <w:bCs w:val="1"/>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2019-12-11T04:05:08Z</dcterms:created>
  <dcterms:modified xsi:type="dcterms:W3CDTF">2019-12-11T04:05:08Z</dcterms:modified>
</cp:coreProperties>
</file>