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208" w:lineRule="exact"/>
        <w:rPr>
          <w:sz w:val="24"/>
          <w:szCs w:val="24"/>
          <w:color w:val="auto"/>
        </w:rPr>
      </w:pPr>
    </w:p>
    <w:p>
      <w:pPr>
        <w:ind w:right="20"/>
        <w:spacing w:after="0" w:line="296" w:lineRule="auto"/>
        <w:rPr>
          <w:sz w:val="20"/>
          <w:szCs w:val="20"/>
          <w:color w:val="auto"/>
        </w:rPr>
      </w:pPr>
      <w:r>
        <w:rPr>
          <w:rFonts w:ascii="Arial" w:cs="Arial" w:eastAsia="Arial" w:hAnsi="Arial"/>
          <w:sz w:val="16"/>
          <w:szCs w:val="16"/>
          <w:b w:val="1"/>
          <w:bCs w:val="1"/>
          <w:color w:val="CC062A"/>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is not soliciting an offer to buy these securities in any state where the offer or sale is not permitted.</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September 22, 2009</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Preliminary Prospectus Supplement</w:t>
      </w:r>
    </w:p>
    <w:p>
      <w:pPr>
        <w:spacing w:after="0" w:line="223" w:lineRule="auto"/>
        <w:rPr>
          <w:sz w:val="20"/>
          <w:szCs w:val="20"/>
          <w:color w:val="auto"/>
        </w:rPr>
      </w:pPr>
      <w:r>
        <w:rPr>
          <w:rFonts w:ascii="Arial" w:cs="Arial" w:eastAsia="Arial" w:hAnsi="Arial"/>
          <w:sz w:val="14"/>
          <w:szCs w:val="14"/>
          <w:b w:val="1"/>
          <w:bCs w:val="1"/>
          <w:color w:val="auto"/>
        </w:rPr>
        <w:t>To the Prospectus dated</w:t>
      </w:r>
    </w:p>
    <w:p>
      <w:pPr>
        <w:spacing w:after="0"/>
        <w:rPr>
          <w:sz w:val="20"/>
          <w:szCs w:val="20"/>
          <w:color w:val="auto"/>
        </w:rPr>
      </w:pPr>
      <w:r>
        <w:rPr>
          <w:rFonts w:ascii="Arial" w:cs="Arial" w:eastAsia="Arial" w:hAnsi="Arial"/>
          <w:sz w:val="14"/>
          <w:szCs w:val="14"/>
          <w:b w:val="1"/>
          <w:bCs w:val="1"/>
          <w:color w:val="auto"/>
        </w:rPr>
        <w:t>September 22, 2009</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8,000,000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75565</wp:posOffset>
            </wp:positionV>
            <wp:extent cx="247015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79" w:lineRule="exact"/>
        <w:rPr>
          <w:sz w:val="24"/>
          <w:szCs w:val="24"/>
          <w:color w:val="auto"/>
        </w:rPr>
      </w:pPr>
    </w:p>
    <w:p>
      <w:pPr>
        <w:ind w:right="60" w:firstLine="342"/>
        <w:spacing w:after="0" w:line="230" w:lineRule="auto"/>
        <w:rPr>
          <w:sz w:val="20"/>
          <w:szCs w:val="20"/>
          <w:color w:val="auto"/>
        </w:rPr>
      </w:pPr>
      <w:r>
        <w:rPr>
          <w:rFonts w:ascii="Arial" w:cs="Arial" w:eastAsia="Arial" w:hAnsi="Arial"/>
          <w:sz w:val="14"/>
          <w:szCs w:val="14"/>
          <w:color w:val="auto"/>
        </w:rPr>
        <w:t>We are offering for sale 8,000,000 shares of our common stock. We are offering shares of our common stock at a discount from our most recently determined net asset value per share pursuant to authority granted by our stockholders on August 25, 2009. Sales of common stock at prices below net asset value per share dilute the interests of existing stockholders, have the effect of reducing our net asset value per share and may reduce our market price per share. See “Risk Factors” on page 9 of the accompanying prospectus and page S-9 in this prospectus supplement and “Sales of Common Stock Below Net Asset Value” on page S-18 of this prospectus supplement.</w:t>
      </w:r>
    </w:p>
    <w:p>
      <w:pPr>
        <w:spacing w:after="0" w:line="31" w:lineRule="exact"/>
        <w:rPr>
          <w:sz w:val="24"/>
          <w:szCs w:val="24"/>
          <w:color w:val="auto"/>
        </w:rPr>
      </w:pPr>
    </w:p>
    <w:p>
      <w:pPr>
        <w:ind w:right="100" w:firstLine="342"/>
        <w:spacing w:after="0" w:line="305" w:lineRule="auto"/>
        <w:rPr>
          <w:sz w:val="20"/>
          <w:szCs w:val="20"/>
          <w:color w:val="auto"/>
        </w:rPr>
      </w:pPr>
      <w:r>
        <w:rPr>
          <w:rFonts w:ascii="Arial" w:cs="Arial" w:eastAsia="Arial" w:hAnsi="Arial"/>
          <w:sz w:val="12"/>
          <w:szCs w:val="12"/>
          <w:color w:val="auto"/>
        </w:rPr>
        <w:t>Our common stock is traded on the NASDAQ Global Select Market under the symbol “PNNT”. The last reported closing price for our common stock on September 21, 2009 was $9.01 per share. The net asset value of our common stock on June 30, 2009 (the last date prior to the date of this prospectus supplement on which we determined net asset value) was $11.72 per share.</w:t>
      </w:r>
    </w:p>
    <w:p>
      <w:pPr>
        <w:ind w:right="100" w:firstLine="342"/>
        <w:spacing w:after="0" w:line="230" w:lineRule="auto"/>
        <w:rPr>
          <w:sz w:val="20"/>
          <w:szCs w:val="20"/>
          <w:color w:val="auto"/>
        </w:rPr>
      </w:pPr>
      <w:r>
        <w:rPr>
          <w:rFonts w:ascii="Arial" w:cs="Arial" w:eastAsia="Arial" w:hAnsi="Arial"/>
          <w:sz w:val="14"/>
          <w:szCs w:val="14"/>
          <w:color w:val="auto"/>
        </w:rPr>
        <w:t>PennantPark Investment Corporation, a Maryland corporation, is a closed-end, externally managed, non-diversified investment company that has elected to be treated as a business development company, or BDC, under the Investment Company Act of 1940 (the “1940 Act”). Our investment objectives are to generate both current income and capital appreciation through debt and equity investments primarily in U.S. middle-market private companies in the form of mezzanine debt, senior secured loans and equity investments. We are externally managed by PennantPark Investment Advisers, LLC. PennantPark Investment Administration, LLC provides the administrative services necessary for us to operate.</w:t>
      </w:r>
    </w:p>
    <w:p>
      <w:pPr>
        <w:spacing w:after="0" w:line="31" w:lineRule="exact"/>
        <w:rPr>
          <w:sz w:val="24"/>
          <w:szCs w:val="24"/>
          <w:color w:val="auto"/>
        </w:rPr>
      </w:pPr>
    </w:p>
    <w:p>
      <w:pPr>
        <w:ind w:right="180" w:firstLine="342"/>
        <w:spacing w:after="0" w:line="273" w:lineRule="auto"/>
        <w:rPr>
          <w:sz w:val="20"/>
          <w:szCs w:val="20"/>
          <w:color w:val="auto"/>
        </w:rPr>
      </w:pPr>
      <w:r>
        <w:rPr>
          <w:rFonts w:ascii="Arial" w:cs="Arial" w:eastAsia="Arial" w:hAnsi="Arial"/>
          <w:sz w:val="12"/>
          <w:szCs w:val="12"/>
          <w:color w:val="auto"/>
        </w:rPr>
        <w:t xml:space="preserve">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or the SEC. This information is available free of charge by contacting us at 590 Madison Avenue, New York, NY 10022 or by telephone at (212) 905-1000 or on our website at </w:t>
      </w:r>
      <w:r>
        <w:rPr>
          <w:rFonts w:ascii="Arial" w:cs="Arial" w:eastAsia="Arial" w:hAnsi="Arial"/>
          <w:sz w:val="12"/>
          <w:szCs w:val="12"/>
          <w:i w:val="1"/>
          <w:iCs w:val="1"/>
          <w:color w:val="auto"/>
        </w:rPr>
        <w:t>www.pennantpark.com.</w:t>
      </w:r>
      <w:r>
        <w:rPr>
          <w:rFonts w:ascii="Arial" w:cs="Arial" w:eastAsia="Arial" w:hAnsi="Arial"/>
          <w:sz w:val="12"/>
          <w:szCs w:val="12"/>
          <w:color w:val="auto"/>
        </w:rPr>
        <w:t xml:space="preserve"> The SEC also maintains a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8" w:lineRule="exact"/>
        <w:rPr>
          <w:sz w:val="24"/>
          <w:szCs w:val="24"/>
          <w:color w:val="auto"/>
        </w:rPr>
      </w:pPr>
    </w:p>
    <w:p>
      <w:pPr>
        <w:ind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9 of the accompanying prospectus and page S-9 in this prospectus supplement.</w:t>
      </w:r>
    </w:p>
    <w:p>
      <w:pPr>
        <w:spacing w:after="0" w:line="26" w:lineRule="exact"/>
        <w:rPr>
          <w:sz w:val="24"/>
          <w:szCs w:val="24"/>
          <w:color w:val="auto"/>
        </w:rPr>
      </w:pPr>
    </w:p>
    <w:p>
      <w:pPr>
        <w:ind w:right="340" w:firstLine="342"/>
        <w:spacing w:after="0" w:line="317"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spacing w:after="0"/>
              <w:rPr>
                <w:sz w:val="20"/>
                <w:szCs w:val="20"/>
                <w:color w:val="auto"/>
              </w:rPr>
            </w:pPr>
            <w:r>
              <w:rPr>
                <w:rFonts w:ascii="Arial" w:cs="Arial" w:eastAsia="Arial" w:hAnsi="Arial"/>
                <w:sz w:val="14"/>
                <w:szCs w:val="14"/>
                <w:color w:val="auto"/>
              </w:rPr>
              <w:t>Public offering price</w:t>
            </w: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Per Share</w:t>
            </w:r>
          </w:p>
        </w:tc>
        <w:tc>
          <w:tcPr>
            <w:tcW w:w="340" w:type="dxa"/>
            <w:vAlign w:val="bottom"/>
          </w:tcPr>
          <w:p>
            <w:pPr>
              <w:spacing w:after="0"/>
              <w:rPr>
                <w:sz w:val="14"/>
                <w:szCs w:val="14"/>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1"/>
        </w:trPr>
        <w:tc>
          <w:tcPr>
            <w:tcW w:w="284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40" w:type="dxa"/>
            <w:vAlign w:val="bottom"/>
            <w:tcBorders>
              <w:top w:val="single" w:sz="8" w:color="auto"/>
            </w:tcBorders>
          </w:tcPr>
          <w:p>
            <w:pPr>
              <w:jc w:val="right"/>
              <w:ind w:right="121"/>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Borders>
              <w:top w:val="single" w:sz="8" w:color="auto"/>
            </w:tcBorders>
          </w:tcPr>
          <w:p>
            <w:pPr>
              <w:jc w:val="right"/>
              <w:ind w:right="401"/>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w w:val="89"/>
              </w:rPr>
              <w:t>Underwriting discount and commission (sales load)</w:t>
            </w:r>
          </w:p>
        </w:tc>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gridSpan w:val="2"/>
          </w:tcPr>
          <w:p>
            <w:pPr>
              <w:jc w:val="right"/>
              <w:ind w:right="121"/>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60" w:type="dxa"/>
            <w:vAlign w:val="bottom"/>
            <w:gridSpan w:val="2"/>
          </w:tcPr>
          <w:p>
            <w:pPr>
              <w:jc w:val="right"/>
              <w:ind w:right="401"/>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spacing w:after="0"/>
              <w:rPr>
                <w:sz w:val="20"/>
                <w:szCs w:val="20"/>
                <w:color w:val="auto"/>
              </w:rPr>
            </w:pPr>
            <w:r>
              <w:rPr>
                <w:rFonts w:ascii="Arial" w:cs="Arial" w:eastAsia="Arial" w:hAnsi="Arial"/>
                <w:sz w:val="14"/>
                <w:szCs w:val="14"/>
                <w:color w:val="auto"/>
                <w:w w:val="95"/>
              </w:rPr>
              <w:t>Proceeds to PennantPark Investment Corporation (before estimated expenses of $200,000)</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2"/>
          </w:tcPr>
          <w:p>
            <w:pPr>
              <w:jc w:val="right"/>
              <w:ind w:right="121"/>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60" w:type="dxa"/>
            <w:vAlign w:val="bottom"/>
            <w:gridSpan w:val="2"/>
          </w:tcPr>
          <w:p>
            <w:pPr>
              <w:jc w:val="right"/>
              <w:ind w:right="40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rPr>
                <w:sz w:val="12"/>
                <w:szCs w:val="12"/>
                <w:color w:val="auto"/>
              </w:rPr>
            </w:pPr>
          </w:p>
        </w:tc>
        <w:tc>
          <w:tcPr>
            <w:tcW w:w="2380" w:type="dxa"/>
            <w:vAlign w:val="bottom"/>
            <w:tcBorders>
              <w:bottom w:val="single" w:sz="8" w:color="auto"/>
            </w:tcBorders>
            <w:gridSpan w:val="2"/>
          </w:tcPr>
          <w:p>
            <w:pPr>
              <w:spacing w:after="0"/>
              <w:rPr>
                <w:sz w:val="12"/>
                <w:szCs w:val="12"/>
                <w:color w:val="auto"/>
              </w:rPr>
            </w:pPr>
          </w:p>
        </w:tc>
        <w:tc>
          <w:tcPr>
            <w:tcW w:w="45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40" w:type="dxa"/>
            <w:vAlign w:val="bottom"/>
            <w:gridSpan w:val="11"/>
          </w:tcPr>
          <w:p>
            <w:pPr>
              <w:ind w:left="360"/>
              <w:spacing w:after="0"/>
              <w:rPr>
                <w:sz w:val="20"/>
                <w:szCs w:val="20"/>
                <w:color w:val="auto"/>
              </w:rPr>
            </w:pPr>
            <w:r>
              <w:rPr>
                <w:rFonts w:ascii="Arial" w:cs="Arial" w:eastAsia="Arial" w:hAnsi="Arial"/>
                <w:sz w:val="14"/>
                <w:szCs w:val="14"/>
                <w:b w:val="1"/>
                <w:bCs w:val="1"/>
                <w:color w:val="auto"/>
                <w:w w:val="88"/>
              </w:rPr>
              <w:t>The underwriters may also purchase up to an additional 1,200,000 shares from us at the public offering price, less the underwriting discount, within 30 days from the date of this prospectus</w:t>
            </w:r>
          </w:p>
        </w:tc>
        <w:tc>
          <w:tcPr>
            <w:tcW w:w="0" w:type="dxa"/>
            <w:vAlign w:val="bottom"/>
          </w:tcPr>
          <w:p>
            <w:pPr>
              <w:spacing w:after="0"/>
              <w:rPr>
                <w:sz w:val="1"/>
                <w:szCs w:val="1"/>
                <w:color w:val="auto"/>
              </w:rPr>
            </w:pPr>
          </w:p>
        </w:tc>
      </w:tr>
      <w:tr>
        <w:trPr>
          <w:trHeight w:val="149"/>
        </w:trPr>
        <w:tc>
          <w:tcPr>
            <w:tcW w:w="70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87"/>
              </w:rPr>
              <w:t>supplement to cover overallotments. If the underwriters exercise this option in full, the total public offering price will be $</w:t>
            </w:r>
          </w:p>
        </w:tc>
        <w:tc>
          <w:tcPr>
            <w:tcW w:w="436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w w:val="87"/>
              </w:rPr>
              <w:t>, the total underwriting discount and commissions (sales load) paid by us</w:t>
            </w:r>
          </w:p>
        </w:tc>
        <w:tc>
          <w:tcPr>
            <w:tcW w:w="0" w:type="dxa"/>
            <w:vAlign w:val="bottom"/>
          </w:tcPr>
          <w:p>
            <w:pPr>
              <w:spacing w:after="0"/>
              <w:rPr>
                <w:sz w:val="1"/>
                <w:szCs w:val="1"/>
                <w:color w:val="auto"/>
              </w:rPr>
            </w:pPr>
          </w:p>
        </w:tc>
      </w:tr>
      <w:tr>
        <w:trPr>
          <w:trHeight w:val="174"/>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will be $  , and total proceeds, before expenses, will be $  .</w:t>
            </w: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40" w:type="dxa"/>
            <w:vAlign w:val="bottom"/>
            <w:gridSpan w:val="3"/>
          </w:tcPr>
          <w:p>
            <w:pPr>
              <w:ind w:left="360"/>
              <w:spacing w:after="0"/>
              <w:rPr>
                <w:sz w:val="20"/>
                <w:szCs w:val="20"/>
                <w:color w:val="auto"/>
              </w:rPr>
            </w:pPr>
            <w:r>
              <w:rPr>
                <w:rFonts w:ascii="Arial" w:cs="Arial" w:eastAsia="Arial" w:hAnsi="Arial"/>
                <w:sz w:val="14"/>
                <w:szCs w:val="14"/>
                <w:b w:val="1"/>
                <w:bCs w:val="1"/>
                <w:color w:val="auto"/>
                <w:w w:val="99"/>
              </w:rPr>
              <w:t>The underwriters expect to deliver the shares on or about September   , 2009</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5440" w:type="dxa"/>
            <w:vAlign w:val="bottom"/>
            <w:gridSpan w:val="3"/>
          </w:tcPr>
          <w:p>
            <w:pPr>
              <w:ind w:left="1660"/>
              <w:spacing w:after="0"/>
              <w:rPr>
                <w:sz w:val="20"/>
                <w:szCs w:val="20"/>
                <w:color w:val="auto"/>
              </w:rPr>
            </w:pPr>
            <w:r>
              <w:rPr>
                <w:rFonts w:ascii="Arial" w:cs="Arial" w:eastAsia="Arial" w:hAnsi="Arial"/>
                <w:sz w:val="18"/>
                <w:szCs w:val="18"/>
                <w:b w:val="1"/>
                <w:bCs w:val="1"/>
                <w:color w:val="auto"/>
              </w:rPr>
              <w:t>SunTrust Robinson Humphrey</w:t>
            </w: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80" w:type="dxa"/>
            <w:vAlign w:val="bottom"/>
            <w:gridSpan w:val="2"/>
          </w:tcPr>
          <w:p>
            <w:pPr>
              <w:jc w:val="right"/>
              <w:ind w:right="521"/>
              <w:spacing w:after="0"/>
              <w:rPr>
                <w:sz w:val="20"/>
                <w:szCs w:val="20"/>
                <w:color w:val="auto"/>
              </w:rPr>
            </w:pPr>
            <w:r>
              <w:rPr>
                <w:rFonts w:ascii="Arial" w:cs="Arial" w:eastAsia="Arial" w:hAnsi="Arial"/>
                <w:sz w:val="18"/>
                <w:szCs w:val="18"/>
                <w:b w:val="1"/>
                <w:bCs w:val="1"/>
                <w:color w:val="auto"/>
              </w:rPr>
              <w:t>BMO Capital Markets</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2840" w:type="dxa"/>
            <w:vAlign w:val="bottom"/>
          </w:tcPr>
          <w:p>
            <w:pPr>
              <w:ind w:left="520"/>
              <w:spacing w:after="0"/>
              <w:rPr>
                <w:sz w:val="20"/>
                <w:szCs w:val="20"/>
                <w:color w:val="auto"/>
              </w:rPr>
            </w:pPr>
            <w:r>
              <w:rPr>
                <w:rFonts w:ascii="Arial" w:cs="Arial" w:eastAsia="Arial" w:hAnsi="Arial"/>
                <w:sz w:val="18"/>
                <w:szCs w:val="18"/>
                <w:b w:val="1"/>
                <w:bCs w:val="1"/>
                <w:color w:val="auto"/>
              </w:rPr>
              <w:t>Robert W. Baird &amp; Co.</w:t>
            </w:r>
          </w:p>
        </w:tc>
        <w:tc>
          <w:tcPr>
            <w:tcW w:w="2600" w:type="dxa"/>
            <w:vAlign w:val="bottom"/>
            <w:gridSpan w:val="2"/>
          </w:tcPr>
          <w:p>
            <w:pPr>
              <w:ind w:left="40"/>
              <w:spacing w:after="0"/>
              <w:rPr>
                <w:sz w:val="20"/>
                <w:szCs w:val="20"/>
                <w:color w:val="auto"/>
              </w:rPr>
            </w:pPr>
            <w:r>
              <w:rPr>
                <w:rFonts w:ascii="Arial" w:cs="Arial" w:eastAsia="Arial" w:hAnsi="Arial"/>
                <w:sz w:val="18"/>
                <w:szCs w:val="18"/>
                <w:b w:val="1"/>
                <w:bCs w:val="1"/>
                <w:color w:val="auto"/>
              </w:rPr>
              <w:t>FBR Capital Markets</w:t>
            </w:r>
          </w:p>
        </w:tc>
        <w:tc>
          <w:tcPr>
            <w:tcW w:w="4720" w:type="dxa"/>
            <w:vAlign w:val="bottom"/>
            <w:gridSpan w:val="4"/>
          </w:tcPr>
          <w:p>
            <w:pPr>
              <w:jc w:val="right"/>
              <w:ind w:right="1361"/>
              <w:spacing w:after="0"/>
              <w:rPr>
                <w:sz w:val="20"/>
                <w:szCs w:val="20"/>
                <w:color w:val="auto"/>
              </w:rPr>
            </w:pPr>
            <w:r>
              <w:rPr>
                <w:rFonts w:ascii="Arial" w:cs="Arial" w:eastAsia="Arial" w:hAnsi="Arial"/>
                <w:sz w:val="18"/>
                <w:szCs w:val="18"/>
                <w:b w:val="1"/>
                <w:bCs w:val="1"/>
                <w:color w:val="auto"/>
              </w:rPr>
              <w:t>Keefe, Bruyette &amp; Woods</w:t>
            </w:r>
          </w:p>
        </w:tc>
        <w:tc>
          <w:tcPr>
            <w:tcW w:w="1280" w:type="dxa"/>
            <w:vAlign w:val="bottom"/>
            <w:gridSpan w:val="4"/>
          </w:tcPr>
          <w:p>
            <w:pPr>
              <w:ind w:left="180"/>
              <w:spacing w:after="0"/>
              <w:rPr>
                <w:sz w:val="20"/>
                <w:szCs w:val="20"/>
                <w:color w:val="auto"/>
              </w:rPr>
            </w:pPr>
            <w:r>
              <w:rPr>
                <w:rFonts w:ascii="Arial" w:cs="Arial" w:eastAsia="Arial" w:hAnsi="Arial"/>
                <w:sz w:val="18"/>
                <w:szCs w:val="18"/>
                <w:b w:val="1"/>
                <w:bCs w:val="1"/>
                <w:color w:val="auto"/>
                <w:w w:val="87"/>
              </w:rPr>
              <w:t>Stifel Nicolaus</w:t>
            </w:r>
          </w:p>
        </w:tc>
        <w:tc>
          <w:tcPr>
            <w:tcW w:w="0" w:type="dxa"/>
            <w:vAlign w:val="bottom"/>
          </w:tcPr>
          <w:p>
            <w:pPr>
              <w:spacing w:after="0"/>
              <w:rPr>
                <w:sz w:val="1"/>
                <w:szCs w:val="1"/>
                <w:color w:val="auto"/>
              </w:rPr>
            </w:pPr>
          </w:p>
        </w:tc>
      </w:tr>
      <w:tr>
        <w:trPr>
          <w:trHeight w:val="285"/>
        </w:trPr>
        <w:tc>
          <w:tcPr>
            <w:tcW w:w="2840" w:type="dxa"/>
            <w:vAlign w:val="bottom"/>
          </w:tcPr>
          <w:p>
            <w:pPr>
              <w:spacing w:after="0"/>
              <w:rPr>
                <w:sz w:val="24"/>
                <w:szCs w:val="24"/>
                <w:color w:val="auto"/>
              </w:rPr>
            </w:pPr>
          </w:p>
        </w:tc>
        <w:tc>
          <w:tcPr>
            <w:tcW w:w="2600" w:type="dxa"/>
            <w:vAlign w:val="bottom"/>
            <w:gridSpan w:val="2"/>
          </w:tcPr>
          <w:p>
            <w:pPr>
              <w:ind w:left="1660"/>
              <w:spacing w:after="0"/>
              <w:rPr>
                <w:sz w:val="20"/>
                <w:szCs w:val="20"/>
                <w:color w:val="auto"/>
              </w:rPr>
            </w:pPr>
            <w:r>
              <w:rPr>
                <w:rFonts w:ascii="Arial" w:cs="Arial" w:eastAsia="Arial" w:hAnsi="Arial"/>
                <w:sz w:val="14"/>
                <w:szCs w:val="14"/>
                <w:b w:val="1"/>
                <w:bCs w:val="1"/>
                <w:color w:val="auto"/>
                <w:w w:val="93"/>
              </w:rPr>
              <w:t>ING Wholesale</w:t>
            </w: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Natixis Bleichroeder Inc.</w:t>
            </w: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840" w:type="dxa"/>
            <w:vAlign w:val="bottom"/>
          </w:tcPr>
          <w:p>
            <w:pPr>
              <w:spacing w:after="0"/>
              <w:rPr>
                <w:sz w:val="22"/>
                <w:szCs w:val="22"/>
                <w:color w:val="auto"/>
              </w:rPr>
            </w:pPr>
          </w:p>
        </w:tc>
        <w:tc>
          <w:tcPr>
            <w:tcW w:w="7320" w:type="dxa"/>
            <w:vAlign w:val="bottom"/>
            <w:gridSpan w:val="6"/>
          </w:tcPr>
          <w:p>
            <w:pPr>
              <w:jc w:val="right"/>
              <w:ind w:right="2181"/>
              <w:spacing w:after="0"/>
              <w:rPr>
                <w:sz w:val="20"/>
                <w:szCs w:val="20"/>
                <w:color w:val="auto"/>
              </w:rPr>
            </w:pPr>
            <w:r>
              <w:rPr>
                <w:rFonts w:ascii="Arial" w:cs="Arial" w:eastAsia="Arial" w:hAnsi="Arial"/>
                <w:sz w:val="18"/>
                <w:szCs w:val="18"/>
                <w:color w:val="auto"/>
              </w:rPr>
              <w:t>The date of this prospectus supplement is September   , 2009.</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40" w:type="dxa"/>
            <w:vAlign w:val="bottom"/>
            <w:gridSpan w:val="2"/>
          </w:tcPr>
          <w:p>
            <w:pPr>
              <w:jc w:val="center"/>
              <w:ind w:right="3240"/>
              <w:spacing w:after="0"/>
              <w:rPr>
                <w:sz w:val="20"/>
                <w:szCs w:val="20"/>
                <w:color w:val="auto"/>
              </w:rPr>
            </w:pPr>
            <w:r>
              <w:rPr>
                <w:rFonts w:ascii="Arial" w:cs="Arial" w:eastAsia="Arial" w:hAnsi="Arial"/>
                <w:sz w:val="18"/>
                <w:szCs w:val="18"/>
                <w:b w:val="1"/>
                <w:bCs w:val="1"/>
                <w:color w:val="auto"/>
                <w:w w:val="95"/>
              </w:rPr>
              <w:t>TABLE OF CONTENTS</w:t>
            </w:r>
          </w:p>
        </w:tc>
        <w:tc>
          <w:tcPr>
            <w:tcW w:w="1520" w:type="dxa"/>
            <w:vAlign w:val="bottom"/>
          </w:tcPr>
          <w:p>
            <w:pPr>
              <w:spacing w:after="0"/>
              <w:rPr>
                <w:sz w:val="19"/>
                <w:szCs w:val="19"/>
                <w:color w:val="auto"/>
              </w:rPr>
            </w:pPr>
          </w:p>
        </w:tc>
      </w:tr>
      <w:tr>
        <w:trPr>
          <w:trHeight w:val="297"/>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4"/>
          </w:tcPr>
          <w:p>
            <w:pPr>
              <w:jc w:val="center"/>
              <w:ind w:right="2900"/>
              <w:spacing w:after="0"/>
              <w:rPr>
                <w:sz w:val="20"/>
                <w:szCs w:val="20"/>
                <w:color w:val="auto"/>
              </w:rPr>
            </w:pPr>
            <w:r>
              <w:rPr>
                <w:rFonts w:ascii="Arial" w:cs="Arial" w:eastAsia="Arial" w:hAnsi="Arial"/>
                <w:sz w:val="18"/>
                <w:szCs w:val="18"/>
                <w:b w:val="1"/>
                <w:bCs w:val="1"/>
                <w:color w:val="auto"/>
                <w:w w:val="95"/>
              </w:rPr>
              <w:t>PROSPECTUS SUPPLEMENT</w:t>
            </w:r>
          </w:p>
        </w:tc>
        <w:tc>
          <w:tcPr>
            <w:tcW w:w="1520" w:type="dxa"/>
            <w:vAlign w:val="bottom"/>
          </w:tcPr>
          <w:p>
            <w:pPr>
              <w:spacing w:after="0"/>
              <w:rPr>
                <w:sz w:val="24"/>
                <w:szCs w:val="24"/>
                <w:color w:val="auto"/>
              </w:rPr>
            </w:pPr>
          </w:p>
        </w:tc>
      </w:tr>
      <w:tr>
        <w:trPr>
          <w:trHeight w:val="245"/>
        </w:trPr>
        <w:tc>
          <w:tcPr>
            <w:tcW w:w="3620" w:type="dxa"/>
            <w:vAlign w:val="bottom"/>
            <w:tcBorders>
              <w:bottom w:val="single" w:sz="8" w:color="0000EE"/>
            </w:tcBorders>
            <w:gridSpan w:val="30"/>
          </w:tcPr>
          <w:p>
            <w:pPr>
              <w:spacing w:after="0"/>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SUPPLEMENTAL PROSPECTUS SUMMARY</w:t>
              </w:r>
            </w:hyperlink>
          </w:p>
        </w:tc>
        <w:tc>
          <w:tcPr>
            <w:tcW w:w="6280" w:type="dxa"/>
            <w:vAlign w:val="bottom"/>
            <w:gridSpan w:val="10"/>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S-1</w:t>
            </w:r>
          </w:p>
        </w:tc>
      </w:tr>
      <w:tr>
        <w:trPr>
          <w:trHeight w:val="196"/>
        </w:trPr>
        <w:tc>
          <w:tcPr>
            <w:tcW w:w="9900" w:type="dxa"/>
            <w:vAlign w:val="bottom"/>
            <w:gridSpan w:val="40"/>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FEES AND EXPENSES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S-7</w:t>
            </w:r>
          </w:p>
        </w:tc>
      </w:tr>
      <w:tr>
        <w:trPr>
          <w:trHeight w:val="196"/>
        </w:trPr>
        <w:tc>
          <w:tcPr>
            <w:tcW w:w="182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RISK FACTORS</w:t>
              </w:r>
            </w:hyperlink>
          </w:p>
        </w:tc>
        <w:tc>
          <w:tcPr>
            <w:tcW w:w="8080" w:type="dxa"/>
            <w:vAlign w:val="bottom"/>
            <w:gridSpan w:val="2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S-9</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FORWARD LOOKING STATEMENTS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S-12</w:t>
            </w:r>
          </w:p>
        </w:tc>
      </w:tr>
      <w:tr>
        <w:trPr>
          <w:trHeight w:val="196"/>
        </w:trPr>
        <w:tc>
          <w:tcPr>
            <w:tcW w:w="1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w w:val="93"/>
              </w:rPr>
            </w:pPr>
            <w:hyperlink w:anchor="page15">
              <w:r>
                <w:rPr>
                  <w:rFonts w:ascii="Arial" w:cs="Arial" w:eastAsia="Arial" w:hAnsi="Arial"/>
                  <w:sz w:val="18"/>
                  <w:szCs w:val="18"/>
                  <w:b w:val="1"/>
                  <w:bCs w:val="1"/>
                  <w:color w:val="0000EE"/>
                  <w:w w:val="93"/>
                </w:rPr>
                <w:t>USE OF PROCEEDS</w:t>
              </w:r>
            </w:hyperlink>
          </w:p>
        </w:tc>
        <w:tc>
          <w:tcPr>
            <w:tcW w:w="1380" w:type="dxa"/>
            <w:vAlign w:val="bottom"/>
            <w:tcBorders>
              <w:top w:val="single" w:sz="8" w:color="0000EE"/>
            </w:tcBorders>
            <w:gridSpan w:val="14"/>
          </w:tcPr>
          <w:p>
            <w:pPr>
              <w:spacing w:after="0"/>
              <w:rPr>
                <w:sz w:val="17"/>
                <w:szCs w:val="17"/>
                <w:color w:val="auto"/>
              </w:rPr>
            </w:pPr>
          </w:p>
        </w:tc>
        <w:tc>
          <w:tcPr>
            <w:tcW w:w="6880" w:type="dxa"/>
            <w:vAlign w:val="bottom"/>
            <w:gridSpan w:val="1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S-13</w:t>
            </w:r>
          </w:p>
        </w:tc>
      </w:tr>
      <w:tr>
        <w:trPr>
          <w:trHeight w:val="196"/>
        </w:trPr>
        <w:tc>
          <w:tcPr>
            <w:tcW w:w="154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CAPITALIZATION</w:t>
              </w:r>
            </w:hyperlink>
          </w:p>
        </w:tc>
        <w:tc>
          <w:tcPr>
            <w:tcW w:w="8360" w:type="dxa"/>
            <w:vAlign w:val="bottom"/>
            <w:gridSpan w:val="3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S-14</w:t>
            </w:r>
          </w:p>
        </w:tc>
      </w:tr>
      <w:tr>
        <w:trPr>
          <w:trHeight w:val="196"/>
        </w:trPr>
        <w:tc>
          <w:tcPr>
            <w:tcW w:w="25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SELECTED FINANCIAL DATA</w:t>
              </w:r>
            </w:hyperlink>
          </w:p>
        </w:tc>
        <w:tc>
          <w:tcPr>
            <w:tcW w:w="7400" w:type="dxa"/>
            <w:vAlign w:val="bottom"/>
            <w:gridSpan w:val="2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S-15</w:t>
            </w:r>
          </w:p>
        </w:tc>
      </w:tr>
      <w:tr>
        <w:trPr>
          <w:trHeight w:val="196"/>
        </w:trPr>
        <w:tc>
          <w:tcPr>
            <w:tcW w:w="30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PRICE RANGE OF COMMON STOCK</w:t>
              </w:r>
            </w:hyperlink>
          </w:p>
        </w:tc>
        <w:tc>
          <w:tcPr>
            <w:tcW w:w="6820" w:type="dxa"/>
            <w:vAlign w:val="bottom"/>
            <w:gridSpan w:val="1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S-17</w:t>
            </w:r>
          </w:p>
        </w:tc>
      </w:tr>
      <w:tr>
        <w:trPr>
          <w:trHeight w:val="196"/>
        </w:trPr>
        <w:tc>
          <w:tcPr>
            <w:tcW w:w="476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96"/>
              </w:rPr>
            </w:pPr>
            <w:hyperlink w:anchor="page20">
              <w:r>
                <w:rPr>
                  <w:rFonts w:ascii="Arial" w:cs="Arial" w:eastAsia="Arial" w:hAnsi="Arial"/>
                  <w:sz w:val="18"/>
                  <w:szCs w:val="18"/>
                  <w:b w:val="1"/>
                  <w:bCs w:val="1"/>
                  <w:color w:val="0000EE"/>
                  <w:w w:val="96"/>
                </w:rPr>
                <w:t>SALES OF COMMON STOCK BELOW NET ASSET VALUE</w:t>
              </w:r>
            </w:hyperlink>
          </w:p>
        </w:tc>
        <w:tc>
          <w:tcPr>
            <w:tcW w:w="514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S-18</w:t>
            </w:r>
          </w:p>
        </w:tc>
      </w:tr>
      <w:tr>
        <w:trPr>
          <w:trHeight w:val="196"/>
        </w:trPr>
        <w:tc>
          <w:tcPr>
            <w:tcW w:w="414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7"/>
              </w:rPr>
            </w:pPr>
            <w:hyperlink w:anchor="page24">
              <w:r>
                <w:rPr>
                  <w:rFonts w:ascii="Arial" w:cs="Arial" w:eastAsia="Arial" w:hAnsi="Arial"/>
                  <w:sz w:val="18"/>
                  <w:szCs w:val="18"/>
                  <w:b w:val="1"/>
                  <w:bCs w:val="1"/>
                  <w:color w:val="0000EE"/>
                  <w:w w:val="97"/>
                </w:rPr>
                <w:t>CERTAIN RELATIONSHIPS AND TRANSACTIONS</w:t>
              </w:r>
            </w:hyperlink>
          </w:p>
        </w:tc>
        <w:tc>
          <w:tcPr>
            <w:tcW w:w="576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S-22</w:t>
            </w:r>
          </w:p>
        </w:tc>
      </w:tr>
      <w:tr>
        <w:trPr>
          <w:trHeight w:val="196"/>
        </w:trPr>
        <w:tc>
          <w:tcPr>
            <w:tcW w:w="9900" w:type="dxa"/>
            <w:vAlign w:val="bottom"/>
            <w:gridSpan w:val="40"/>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UNDERWRITING</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S-23</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LEGAL MATTERS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S-26</w:t>
            </w:r>
          </w:p>
        </w:tc>
      </w:tr>
      <w:tr>
        <w:trPr>
          <w:trHeight w:val="397"/>
        </w:trPr>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gridSpan w:val="2"/>
          </w:tcPr>
          <w:p>
            <w:pPr>
              <w:jc w:val="center"/>
              <w:ind w:right="3220"/>
              <w:spacing w:after="0"/>
              <w:rPr>
                <w:sz w:val="20"/>
                <w:szCs w:val="20"/>
                <w:color w:val="auto"/>
              </w:rPr>
            </w:pPr>
            <w:r>
              <w:rPr>
                <w:rFonts w:ascii="Arial" w:cs="Arial" w:eastAsia="Arial" w:hAnsi="Arial"/>
                <w:sz w:val="18"/>
                <w:szCs w:val="18"/>
                <w:b w:val="1"/>
                <w:bCs w:val="1"/>
                <w:color w:val="auto"/>
                <w:w w:val="93"/>
              </w:rPr>
              <w:t>PROSPECTUS</w:t>
            </w:r>
          </w:p>
        </w:tc>
        <w:tc>
          <w:tcPr>
            <w:tcW w:w="1520" w:type="dxa"/>
            <w:vAlign w:val="bottom"/>
          </w:tcPr>
          <w:p>
            <w:pPr>
              <w:spacing w:after="0"/>
              <w:rPr>
                <w:sz w:val="24"/>
                <w:szCs w:val="24"/>
                <w:color w:val="auto"/>
              </w:rPr>
            </w:pPr>
          </w:p>
        </w:tc>
      </w:tr>
      <w:tr>
        <w:trPr>
          <w:trHeight w:val="259"/>
        </w:trPr>
        <w:tc>
          <w:tcPr>
            <w:tcW w:w="9900" w:type="dxa"/>
            <w:vAlign w:val="bottom"/>
            <w:gridSpan w:val="4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PROSPECTUS SUMMARY</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4"/>
          </w:tcPr>
          <w:p>
            <w:pPr>
              <w:spacing w:after="0"/>
              <w:rPr>
                <w:sz w:val="17"/>
                <w:szCs w:val="17"/>
                <w:color w:val="auto"/>
              </w:rPr>
            </w:pPr>
          </w:p>
        </w:tc>
        <w:tc>
          <w:tcPr>
            <w:tcW w:w="7860" w:type="dxa"/>
            <w:vAlign w:val="bottom"/>
            <w:gridSpan w:val="2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FORWARD-LOOKING STATEMENTS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8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7040" w:type="dxa"/>
            <w:vAlign w:val="bottom"/>
            <w:gridSpan w:val="2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SELECTED FINANCIAL DATA</w:t>
              </w:r>
            </w:hyperlink>
          </w:p>
        </w:tc>
        <w:tc>
          <w:tcPr>
            <w:tcW w:w="7520" w:type="dxa"/>
            <w:vAlign w:val="bottom"/>
            <w:gridSpan w:val="2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 OPERATIONS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870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SENIOR SECURITIES</w:t>
              </w:r>
            </w:hyperlink>
          </w:p>
        </w:tc>
        <w:tc>
          <w:tcPr>
            <w:tcW w:w="120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PRICE RANGE OF COMMON STOCK</w:t>
              </w:r>
            </w:hyperlink>
          </w:p>
        </w:tc>
        <w:tc>
          <w:tcPr>
            <w:tcW w:w="7000" w:type="dxa"/>
            <w:vAlign w:val="bottom"/>
            <w:gridSpan w:val="1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DISTRIBUTIONS</w:t>
              </w:r>
            </w:hyperlink>
          </w:p>
        </w:tc>
        <w:tc>
          <w:tcPr>
            <w:tcW w:w="8560" w:type="dxa"/>
            <w:vAlign w:val="bottom"/>
            <w:gridSpan w:val="3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BUSINESS</w:t>
              </w:r>
            </w:hyperlink>
          </w:p>
        </w:tc>
        <w:tc>
          <w:tcPr>
            <w:tcW w:w="9060" w:type="dxa"/>
            <w:vAlign w:val="bottom"/>
            <w:gridSpan w:val="3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INVESTMENT OBJECTIVES AND POLICIES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34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PORTFOLIO COMPANIES</w:t>
              </w:r>
            </w:hyperlink>
          </w:p>
        </w:tc>
        <w:tc>
          <w:tcPr>
            <w:tcW w:w="6460" w:type="dxa"/>
            <w:vAlign w:val="bottom"/>
            <w:gridSpan w:val="1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MANAGEMENT</w:t>
              </w:r>
            </w:hyperlink>
          </w:p>
        </w:tc>
        <w:tc>
          <w:tcPr>
            <w:tcW w:w="700" w:type="dxa"/>
            <w:vAlign w:val="bottom"/>
            <w:tcBorders>
              <w:top w:val="single" w:sz="8" w:color="0000EE"/>
            </w:tcBorders>
            <w:gridSpan w:val="10"/>
          </w:tcPr>
          <w:p>
            <w:pPr>
              <w:spacing w:after="0"/>
              <w:rPr>
                <w:sz w:val="17"/>
                <w:szCs w:val="17"/>
                <w:color w:val="auto"/>
              </w:rPr>
            </w:pPr>
          </w:p>
        </w:tc>
        <w:tc>
          <w:tcPr>
            <w:tcW w:w="7900" w:type="dxa"/>
            <w:vAlign w:val="bottom"/>
            <w:gridSpan w:val="2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4440" w:type="dxa"/>
            <w:vAlign w:val="bottom"/>
            <w:tcBorders>
              <w:bottom w:val="single" w:sz="8" w:color="0000EE"/>
            </w:tcBorders>
            <w:gridSpan w:val="36"/>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CONTROL PERSONS AND PRINCIPAL STOCKHOLDERS</w:t>
              </w:r>
            </w:hyperlink>
          </w:p>
        </w:tc>
        <w:tc>
          <w:tcPr>
            <w:tcW w:w="546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CERTAIN RELATIONSHIPS AND TRANSACTIONS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33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7"/>
          </w:tcPr>
          <w:p>
            <w:pPr>
              <w:spacing w:after="0"/>
              <w:rPr>
                <w:sz w:val="17"/>
                <w:szCs w:val="17"/>
                <w:color w:val="auto"/>
              </w:rPr>
            </w:pPr>
          </w:p>
        </w:tc>
        <w:tc>
          <w:tcPr>
            <w:tcW w:w="5980" w:type="dxa"/>
            <w:vAlign w:val="bottom"/>
            <w:gridSpan w:val="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276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DIVIDEND REINVESTMENT PLAN</w:t>
              </w:r>
            </w:hyperlink>
          </w:p>
        </w:tc>
        <w:tc>
          <w:tcPr>
            <w:tcW w:w="7140" w:type="dxa"/>
            <w:vAlign w:val="bottom"/>
            <w:gridSpan w:val="2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32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DESCRIPTION OF OUR CAPITAL STOCK</w:t>
              </w:r>
            </w:hyperlink>
          </w:p>
        </w:tc>
        <w:tc>
          <w:tcPr>
            <w:tcW w:w="6680" w:type="dxa"/>
            <w:vAlign w:val="bottom"/>
            <w:gridSpan w:val="1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DESCRIPTION OF OUR PREFERRED STOCK</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4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DESCRIPTION OF OUR WARRANTS</w:t>
              </w:r>
            </w:hyperlink>
          </w:p>
        </w:tc>
        <w:tc>
          <w:tcPr>
            <w:tcW w:w="6420" w:type="dxa"/>
            <w:vAlign w:val="bottom"/>
            <w:gridSpan w:val="11"/>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DESCRIPTION OF OUR SUBSCRIPTION RIGHTS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338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4"/>
          </w:tcPr>
          <w:p>
            <w:pPr>
              <w:spacing w:after="0"/>
              <w:rPr>
                <w:sz w:val="17"/>
                <w:szCs w:val="17"/>
                <w:color w:val="auto"/>
              </w:rPr>
            </w:pPr>
          </w:p>
        </w:tc>
        <w:tc>
          <w:tcPr>
            <w:tcW w:w="6100" w:type="dxa"/>
            <w:vAlign w:val="bottom"/>
            <w:gridSpan w:val="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REGULATION</w:t>
              </w:r>
            </w:hyperlink>
          </w:p>
        </w:tc>
        <w:tc>
          <w:tcPr>
            <w:tcW w:w="8780" w:type="dxa"/>
            <w:vAlign w:val="bottom"/>
            <w:gridSpan w:val="3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4380" w:type="dxa"/>
            <w:vAlign w:val="bottom"/>
            <w:tcBorders>
              <w:bottom w:val="single" w:sz="8" w:color="0000EE"/>
            </w:tcBorders>
            <w:gridSpan w:val="35"/>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BROKERAGE ALLOCATIONS AND OTHER PRACTICES</w:t>
              </w:r>
            </w:hyperlink>
          </w:p>
        </w:tc>
        <w:tc>
          <w:tcPr>
            <w:tcW w:w="5520" w:type="dxa"/>
            <w:vAlign w:val="bottom"/>
            <w:gridSpan w:val="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4760" w:type="dxa"/>
            <w:vAlign w:val="bottom"/>
            <w:tcBorders>
              <w:bottom w:val="single" w:sz="8" w:color="0000EE"/>
            </w:tcBorders>
            <w:gridSpan w:val="38"/>
          </w:tcPr>
          <w:p>
            <w:pPr>
              <w:spacing w:after="0" w:line="196" w:lineRule="exact"/>
              <w:rPr>
                <w:rFonts w:ascii="Arial" w:cs="Arial" w:eastAsia="Arial" w:hAnsi="Arial"/>
                <w:sz w:val="18"/>
                <w:szCs w:val="18"/>
                <w:color w:val="0000EE"/>
                <w:w w:val="94"/>
              </w:rPr>
            </w:pPr>
            <w:hyperlink w:anchor="page148">
              <w:r>
                <w:rPr>
                  <w:rFonts w:ascii="Arial" w:cs="Arial" w:eastAsia="Arial" w:hAnsi="Arial"/>
                  <w:sz w:val="18"/>
                  <w:szCs w:val="18"/>
                  <w:color w:val="0000EE"/>
                  <w:w w:val="94"/>
                </w:rPr>
                <w:t>MATERIAL U.S. FEDERAL INCOME TAX CONSIDERATIONS</w:t>
              </w:r>
            </w:hyperlink>
          </w:p>
        </w:tc>
        <w:tc>
          <w:tcPr>
            <w:tcW w:w="514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PLAN OF DISTRIBUTION</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CUSTODIAN, TRANSFER AGENT AND TRUSTEE</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38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LEGAL MATTERS</w:t>
              </w:r>
            </w:hyperlink>
          </w:p>
        </w:tc>
        <w:tc>
          <w:tcPr>
            <w:tcW w:w="6020" w:type="dxa"/>
            <w:vAlign w:val="bottom"/>
            <w:gridSpan w:val="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1700" w:type="dxa"/>
            <w:vAlign w:val="bottom"/>
            <w:gridSpan w:val="15"/>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40"/>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INDEPENDENT REGISTERED PUBLIC ACCOUNTING FIRM</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468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PRIVACY PRINCIPLES</w:t>
              </w:r>
            </w:hyperlink>
          </w:p>
        </w:tc>
        <w:tc>
          <w:tcPr>
            <w:tcW w:w="5220" w:type="dxa"/>
            <w:vAlign w:val="bottom"/>
            <w:gridSpan w:val="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1780" w:type="dxa"/>
            <w:vAlign w:val="bottom"/>
            <w:gridSpan w:val="12"/>
            <w:shd w:val="clear" w:color="auto" w:fill="0000EE"/>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6920" w:type="dxa"/>
            <w:vAlign w:val="bottom"/>
            <w:gridSpan w:val="18"/>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157">
              <w:r>
                <w:rPr>
                  <w:rFonts w:ascii="Arial" w:cs="Arial" w:eastAsia="Arial" w:hAnsi="Arial"/>
                  <w:sz w:val="18"/>
                  <w:szCs w:val="18"/>
                  <w:color w:val="0000EE"/>
                  <w:w w:val="95"/>
                </w:rPr>
                <w:t>INDEX TO FINANCIAL STATEMENTS</w:t>
              </w:r>
            </w:hyperlink>
          </w:p>
        </w:tc>
        <w:tc>
          <w:tcPr>
            <w:tcW w:w="6920" w:type="dxa"/>
            <w:vAlign w:val="bottom"/>
            <w:gridSpan w:val="1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You should read carefully the more detailed information set forth under “Risk Factors” and the other information included in this prospectus supplement and the accompanying prospectus. In this prospectus supplement and the accompanying prospectus,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Investment Company Act of 1940, as amended, or the 1940 Act.</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 In this prospectus supplement, we use the term “middle-market” to refer to companies with annual revenues between $50 million and $1 billion.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investment activities are managed by the Investment Adviser under an investment advisory and management agreement dated April 17, 2007, as renewed in February 2009, between Pennantpark Investment and the Investment Adviser (the “Investment Management Agreement”). The Investment Adviser is responsible for sourcing potential investments, conducting research on prospective investments, analyzing investment opportunities, structuring our investments and monitoring our investments and portfolio companies on an ongoing basis. The Investment Adviser is led by Arthur H. Penn, its founder and the founder of PennantPark Investment.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w:t>
      </w:r>
    </w:p>
    <w:p>
      <w:pPr>
        <w:spacing w:after="0" w:line="12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w:t>
      </w:r>
    </w:p>
    <w:p>
      <w:pPr>
        <w:spacing w:after="0" w:line="8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who are partners of the firm. These investment professionals, Geoffrey Chang, Salvatore Giannetti III and Whit Williams, have a combined 48 years of experience in the mezzanine, private equity and leveraged finance businesses. See “Management,” “Certain Relationships and Transactions—Investment Management Agreement” and “Risk Factors—Risks Relating to our Business and Structure”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Under our administration agreement dated April 17, 2007, as renewed in February 2009, between Pennantpark Investment and the Administrator,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“Certain Relationships and Transactions—Administration Agreement” and “Risk Factors—Risks Relating to our Business and Structure” in the accompanying prospectus.</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who is also a Managing Director of the Administrator, has extensive experience in finance and administration of registered investment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number of middle-market companies,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446"/>
        <w:spacing w:after="0" w:line="25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446"/>
        <w:spacing w:after="0" w:line="27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120" w:hanging="325"/>
        <w:spacing w:after="0" w:line="296" w:lineRule="auto"/>
        <w:tabs>
          <w:tab w:leader="none" w:pos="900" w:val="left"/>
        </w:tabs>
        <w:numPr>
          <w:ilvl w:val="1"/>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maintain a five-year, multi-currency $300 million senior secured credit facility, or the credit facility, with a group of lenders, under which we had $202.0 million (including a $40.0 million temporary draw) and $187.3 million of indebtedness outstanding at September 30, 2008 and June 30, 2009, respectively. Pricing on borrowings under our credit facility is set at 100 basis points over LIBOR. We expect that our debt capital resources will provide us with the flexibility to take advantage of market opportunities when they arise. See note 11 to our financial statements for the quarter ended June 30, 2009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 in the accompanying prospectus.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a business development company, we are required to comply with certain regulatory requirements. Also, while we are permitted to finance investments using debt, our ability to use debt is limited in certain significant respects. See “Regulation” in the accompanying prospectus. We have elected to be treated for federal income tax purposes under the Internal Revenue Code of 1986, as amended, or the Code, as a regulated investment company, or RIC. For more information, see “Material U.S. Federal Income Tax Considerations” in the accompanying prospectus.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expect to use the net proceeds from selling securities pursuant to this prospectus supplement primarily to reduce our outstanding obligations under our credit facility. We may also use such proceeds to invest in new or existing portfolio companies or for other general corporate purposes. See “Use of Proceeds” in this prospectus supplement for information regarding our outstanding borrowings as of June 30, 2009,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The amount and general timing of our quarterly dividends, if any, will be determined by our board of directors. For more information, see “Distributions” in the accompanying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 in the accompanying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August 25, 2009, our common stockholders voted to allow us to issue common stock at a price below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interests to do so. Sales of common stock at prices below net asset value per share dilute the interests of existing stockholders, have the effect of reducing our net asset value per share and may reduce our market price per share.</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September 16, 2009 our board of directors approved an issuance of shares of common stock at a price below our current net asset value per share and at a price per share that approximates the market value of our shares traded on the NASDAQ Global Select Market, less an underwriting discount, at the time of sale. Our board of directors unanimously believes that such issuance is in our best interest and in the best interests of our stockholders. For more information see “Sales of Common Stock Below Net Asset Value” in this prospectus supplement.</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this prospectus supplement, we describe the risks and dilutive effects of an offering of our common stock at a price below our current net asset value. See “Risk Factors—Risks relating to our Business and Structure” in the accompanying prospectus and “Risk Factors” and “Sales of Common Stock Below Net Asset Value” in this prospectus supplement.</w:t>
      </w:r>
    </w:p>
    <w:p>
      <w:pPr>
        <w:spacing w:after="0" w:line="140"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We may not sell securities pursuant to this prospectus without delivering a prospectus supplement and the accompanying prospectus describing the terms of the particular securities to be offered and the method of the offering of such securities. For more information, see “Distributions” in the accompanying prospectus.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principal executive and administrative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5.00%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0.28%</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common stockholder expenses</w:t>
            </w: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11"/>
                <w:szCs w:val="11"/>
                <w:b w:val="1"/>
                <w:bCs w:val="1"/>
                <w:color w:val="auto"/>
              </w:rPr>
              <w:t>(3)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2.71%</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1.88%</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1.72%</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1.39%</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7.70%</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4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underwriting discounts and commissions with respect to the shares sold in this offering, which is a one-time fee, is the only sales load paid in connection with this offering.</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$200,000 and based on the 8,000,000 shares offered in this offering.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net assets attributable to common shares at June 30, 2009 plus the anticipated net proceeds from this offering.</w:t>
      </w:r>
    </w:p>
    <w:p>
      <w:pPr>
        <w:spacing w:after="0" w:line="9" w:lineRule="exact"/>
        <w:rPr>
          <w:rFonts w:ascii="Arial" w:cs="Arial" w:eastAsia="Arial" w:hAnsi="Arial"/>
          <w:sz w:val="18"/>
          <w:szCs w:val="18"/>
          <w:color w:val="auto"/>
        </w:rPr>
      </w:pPr>
    </w:p>
    <w:p>
      <w:pPr>
        <w:ind w:left="460" w:right="6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 in the accompanying prospectus.</w:t>
      </w:r>
    </w:p>
    <w:p>
      <w:pPr>
        <w:ind w:left="460" w:right="40" w:hanging="452"/>
        <w:spacing w:after="0" w:line="300"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portion of incentive fees paid with respect to net investment income is based on actual amounts incurred during the nine months ended June 30,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2009. For more detailed information about the incentive fee, please see “Certain Relationships and Transactions—Investment Management Agreement” in the accompanying prospectus.</w:t>
      </w:r>
    </w:p>
    <w:p>
      <w:pPr>
        <w:spacing w:after="0" w:line="4" w:lineRule="exact"/>
        <w:rPr>
          <w:rFonts w:ascii="Arial" w:cs="Arial" w:eastAsia="Arial" w:hAnsi="Arial"/>
          <w:sz w:val="15"/>
          <w:szCs w:val="15"/>
          <w:color w:val="auto"/>
        </w:rPr>
      </w:pPr>
    </w:p>
    <w:p>
      <w:pPr>
        <w:ind w:left="460" w:right="260" w:hanging="452"/>
        <w:spacing w:after="0" w:line="29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June 30, 2009, we had $112.7 million unused, subject to maintenance of the applicable total assets to debt ratio of 200%, and $187.3 million in borrowings outstanding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and our rate of borrowing and may be substantially higher than the estimate provided in this table. For more information, see “Risk Factors—We currently use borrowed funds to make investments and are exposed to the typical risks associated with leverage” in the accompanying prospectus.</w:t>
      </w:r>
    </w:p>
    <w:p>
      <w:pPr>
        <w:spacing w:after="0" w:line="1" w:lineRule="exact"/>
        <w:rPr>
          <w:sz w:val="20"/>
          <w:szCs w:val="20"/>
          <w:color w:val="auto"/>
        </w:rPr>
      </w:pPr>
    </w:p>
    <w:p>
      <w:pPr>
        <w:ind w:left="460" w:right="60" w:hanging="452"/>
        <w:spacing w:after="0" w:line="28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nine months ended June 30, 2009, annualized for a full year. See our “Statement of Operations” in our financial statements in the accompanying prospectus.</w:t>
      </w:r>
    </w:p>
    <w:p>
      <w:pPr>
        <w:spacing w:after="0" w:line="2" w:lineRule="exact"/>
        <w:rPr>
          <w:rFonts w:ascii="Arial" w:cs="Arial" w:eastAsia="Arial" w:hAnsi="Arial"/>
          <w:sz w:val="16"/>
          <w:szCs w:val="16"/>
          <w:color w:val="auto"/>
        </w:rPr>
      </w:pPr>
    </w:p>
    <w:p>
      <w:pPr>
        <w:ind w:left="460" w:right="20" w:hanging="452"/>
        <w:spacing w:after="0" w:line="290"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including assets that have been funded with borrowed monies. If the “total annual expenses” percentage were calculated instead as a percentage of total assets, our “total annual expenses” would be 5.68% of total assets. For a presentation and calculation of total annual expenses based on total assets, see page 37 of the accompanying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5.00% sales load (underwriting discounts and commissions) and offering expenses totaling 0.28%, (2) total net annual expenses of 5.82%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$ 108</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$ 216</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$ 323</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582</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and additional information regarding our dividend reinvestment plan in the accompanying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14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color w:val="auto"/>
        </w:rPr>
        <w:t>Because we intend to distribute substantially all of our income to our stockholders to maintain our status as a RIC, we will continue to need additional capital to finance our growth. If we sell shares of our common stock below our net asset value per share in order to raise capital, our common stockholders will experience immediate dilution of their interest in our common stock and our net asset value per share will be reduced. Such dilution could materially lower the value of your investment in our common stock.</w:t>
      </w:r>
    </w:p>
    <w:p>
      <w:pPr>
        <w:spacing w:after="0" w:line="10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order to satisfy the requirements applicable to a RIC and to avoid payment of excise taxes,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are required to meet a coverage ratio of total assets to total senior securities, which includes all of our borrowings and any preferred stock we may issue in the future, of at least 200%. This requirement limits the amount that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expect to be able to borrow and to issue additional debt and equity securities, we cannot assure you that debt and equity financing will be available to us on favorable terms, or at all. If additional funds are not available to us, we could be forced to curtail or cease new investment activities, and our net asset value could decline. In addition, as a business development company, we generally are not permitted to issue equity securities prices below net asset value without stockholder approval. At a special meeting of stockholders on August 25, 2009, our stockholders voted to allow us to issue common stock at a price below net asset value per share for a period of one year. Our stockholders did not specify a maximum discount below net asset value at which we are able to issue additional common stock; however, we do not intend to issue shares of our common stock below net asset value unless our board of directors determines that it would be in our stockholders’ best interests to do so.</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Any issuance of our common stock at a price below our net asset value per share will have an immediate dilutive effect on your interest in our shares and will lower our net asset value per share. Stockholders also may experience a reduction in the market price of our common stock. Stockholders who do not purchase additional shares at or below the discounted price in proportion to their current ownership will experience a greater dilutive effect in their voting power than those who elect to participate in the offering. Additionally, their share in our earning potential will be reduced in the future. The dilution occurs because, unless you participate in the offering, your percentage interest in our common shares outstanding will decrease after an offering of new shares of common stock. The reduction in net asset value per share occurs because the net proceeds per share from the offering are less than our net asset value per share before the offering. For an illustration on the potential dilutive effect of an offering of our common stock at a price below net asset value, please see “Sales of Common Stock Below Net Asset Value” in this prospectus supplement.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common stockholders may receive our stock as dividends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760"/>
          </w:cols>
          <w:pgMar w:left="240" w:top="459" w:right="8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and the accompanying prospectus,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and the accompanying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prospectus supplement and the accompanying prospectus.</w:t>
      </w:r>
    </w:p>
    <w:p>
      <w:pPr>
        <w:spacing w:after="0" w:line="10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We have based the forward-looking statements included in this prospectus supplement and accompanying prospectus on information available to us on the date of this prospectus supplement, and we assume no obligation to update any such forward-looking statements. Although we undertake no obligation to revise or update any forward-looking statements in this prospectus supplement and accompanying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Form 8-K.</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estimate that the net proceeds we will receive from the sale of 8,000,000 shares of our common stock in this offering will be approximately $68.2 million (or approximately $78.5 million if the underwriters fully exercise their overallotment option), in each case assuming a public offering price of $9.00 per share, after deducting the underwriting discounts and commissions of $3.6 million (or approximately $4.1 million if the underwriters fully exercise their overallotment option) payable by us and estimated offering expenses of approximately $200,000 payable by us. The amount of net proceeds may be more or less than the amount described in this prospectus supplement depending on the public offering price of the common stock and the actual number of shares of common stock we sell in the offering, both of which will be determined at pricing.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to use the net proceeds from selling securities pursuant to this prospectus primarily to reduce outstanding obligations under our credit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may also use such proceeds to invest in new or existing portfolio companies, or for other general corporate purposes.</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June 30, 2009, we had $112.7 million unused, subject to maintenance of the applicable total assets to debt ratio of 200%, and $187.3 million in borrowings outstanding under our $300 million credit facility. Borrowings under our credit facility bear interest at an annual rate equal to LIBOR + 100 basis points per annum. At June 30, 2009, this corresponded to an interest rate of 1.31%.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intend to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would expect to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 Temporary Investments” in the accompanying prospectus, for additional information about temporary investments we may make prior to investing in core assets.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sets forth our cash and capitalization on June 30, 2009 (1) on an actual basis and (2) as adjusted to reflect the effects of the sale of 8,000,000 shares of our common stock in this offering at an offering price of $9.00 per share. You should read this table together with “Use of Proceeds” set forth in this prospectus supplement and in the accompanying prospectus. You should also read this table with our financial statements and notes thereto, in conjunction with “Management’s Discussion and Analysis of Financial Condition and Results of Operations” included in the accompanying prospectus.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As of June 30, 2009</w:t>
            </w:r>
          </w:p>
        </w:tc>
      </w:tr>
      <w:tr>
        <w:trPr>
          <w:trHeight w:val="161"/>
        </w:trPr>
        <w:tc>
          <w:tcPr>
            <w:tcW w:w="7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18"/>
              <w:spacing w:after="0"/>
              <w:rPr>
                <w:sz w:val="20"/>
                <w:szCs w:val="20"/>
                <w:color w:val="auto"/>
              </w:rPr>
            </w:pPr>
            <w:r>
              <w:rPr>
                <w:rFonts w:ascii="Arial" w:cs="Arial" w:eastAsia="Arial" w:hAnsi="Arial"/>
                <w:sz w:val="14"/>
                <w:szCs w:val="14"/>
                <w:b w:val="1"/>
                <w:bCs w:val="1"/>
                <w:color w:val="auto"/>
                <w:w w:val="89"/>
              </w:rPr>
              <w:t>(unaudited)</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7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rPr>
              <w:t>As adjusted for</w:t>
            </w:r>
          </w:p>
        </w:tc>
        <w:tc>
          <w:tcPr>
            <w:tcW w:w="100" w:type="dxa"/>
            <w:vAlign w:val="bottom"/>
          </w:tcPr>
          <w:p>
            <w:pPr>
              <w:spacing w:after="0"/>
              <w:rPr>
                <w:sz w:val="10"/>
                <w:szCs w:val="10"/>
                <w:color w:val="auto"/>
              </w:rPr>
            </w:pPr>
          </w:p>
        </w:tc>
      </w:tr>
      <w:tr>
        <w:trPr>
          <w:trHeight w:val="176"/>
        </w:trPr>
        <w:tc>
          <w:tcPr>
            <w:tcW w:w="7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Borders>
              <w:bottom w:val="single" w:sz="8" w:color="auto"/>
            </w:tcBorders>
            <w:gridSpan w:val="2"/>
          </w:tcPr>
          <w:p>
            <w:pPr>
              <w:jc w:val="right"/>
              <w:ind w:right="12"/>
              <w:spacing w:after="0" w:line="176" w:lineRule="exact"/>
              <w:rPr>
                <w:sz w:val="20"/>
                <w:szCs w:val="20"/>
                <w:color w:val="auto"/>
              </w:rPr>
            </w:pPr>
            <w:r>
              <w:rPr>
                <w:rFonts w:ascii="Arial" w:cs="Arial" w:eastAsia="Arial" w:hAnsi="Arial"/>
                <w:sz w:val="13"/>
                <w:szCs w:val="13"/>
                <w:b w:val="1"/>
                <w:bCs w:val="1"/>
                <w:color w:val="auto"/>
                <w:w w:val="97"/>
              </w:rPr>
              <w:t>the offering</w:t>
            </w:r>
            <w:r>
              <w:rPr>
                <w:rFonts w:ascii="Arial" w:cs="Arial" w:eastAsia="Arial" w:hAnsi="Arial"/>
                <w:sz w:val="20"/>
                <w:szCs w:val="20"/>
                <w:b w:val="1"/>
                <w:bCs w:val="1"/>
                <w:color w:val="auto"/>
                <w:w w:val="97"/>
                <w:vertAlign w:val="superscript"/>
              </w:rPr>
              <w:t>(1)</w:t>
            </w:r>
          </w:p>
        </w:tc>
        <w:tc>
          <w:tcPr>
            <w:tcW w:w="100" w:type="dxa"/>
            <w:vAlign w:val="bottom"/>
          </w:tcPr>
          <w:p>
            <w:pPr>
              <w:spacing w:after="0"/>
              <w:rPr>
                <w:sz w:val="15"/>
                <w:szCs w:val="15"/>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541,136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541,136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401,103,013</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401,103,013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senior credit facility (cost $187,300,000 and $119,100,000)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134,057,558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85,244,288</w:t>
            </w: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par value $0.001 per share; 100,000,000 shares authorized, 21,068,772 shares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issued and outstanding, 29,068,772 shares issued and outstanding, as adjusted, respectively</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21,069</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29,069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Paid in capital in excess of par</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294,586,604</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362,778,604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928,718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928,718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41,796,000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41,796,000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(42,097,607)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(42,097,607)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(59,703,986)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(59,703,986)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11,446,442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(7,940,288)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246,977,240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295,790,510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381,034,798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381,034,798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over-allotment option.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have derived the quarterly financial information below from our unaudited financial data set forth in the accompanying prospectus, and, in the opinion of management, such information reflects all adjustments (consisting of normal recurring adjustments) that are necessary to present fairly the results of such interim periods. Interim results as of and for the nine months ended June 30, 2009 are not necessarily indicative of the results that may be expected for the year ending September 30, 2009. The Statements of operations data, Per share data and Balance sheet data for the year ended September 30, 2008 and for the period from January 11, 2007 (Inception) through September 30, 2007 are derived from our financial statements set forth in the accompanying prospectus,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“Regulation—Senior Securities” in the accompanying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3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Nine months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2"/>
              </w:rPr>
              <w:t>Year ended</w:t>
            </w:r>
          </w:p>
        </w:tc>
        <w:tc>
          <w:tcPr>
            <w:tcW w:w="40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6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2009</w:t>
            </w:r>
          </w:p>
        </w:tc>
        <w:tc>
          <w:tcPr>
            <w:tcW w:w="4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40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(Audited)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(Audited)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33,271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39,811</w:t>
            </w:r>
          </w:p>
        </w:tc>
        <w:tc>
          <w:tcPr>
            <w:tcW w:w="680" w:type="dxa"/>
            <w:vAlign w:val="bottom"/>
          </w:tcPr>
          <w:p>
            <w:pPr>
              <w:spacing w:after="0"/>
              <w:rPr>
                <w:sz w:val="18"/>
                <w:szCs w:val="18"/>
                <w:color w:val="auto"/>
              </w:rPr>
            </w:pP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16,570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16,570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21,255</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16,701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realized and unrealized loss</w:t>
            </w: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(7,078)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(59,259)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9,622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(40,703)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8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11.72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0.79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0.88</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0.45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401,103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393,138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372,148</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291,017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134,058</w:t>
            </w:r>
            <w:r>
              <w:rPr>
                <w:rFonts w:ascii="Arial" w:cs="Arial" w:eastAsia="Arial" w:hAnsi="Arial"/>
                <w:sz w:val="11"/>
                <w:szCs w:val="11"/>
                <w:color w:val="auto"/>
                <w:w w:val="94"/>
              </w:rPr>
              <w:t>(4)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10,515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273,339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net asset value</w:t>
            </w:r>
          </w:p>
        </w:tc>
        <w:tc>
          <w:tcPr>
            <w:tcW w:w="16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246,977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210,728</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270,393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10.88%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(38.58)%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w:t>
            </w:r>
            <w:r>
              <w:rPr>
                <w:rFonts w:ascii="Arial" w:cs="Arial" w:eastAsia="Arial" w:hAnsi="Arial"/>
                <w:sz w:val="11"/>
                <w:szCs w:val="11"/>
                <w:color w:val="auto"/>
              </w:rPr>
              <w:t>(3)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Yield on debt portfolio (at period end)</w:t>
            </w:r>
          </w:p>
        </w:tc>
        <w:tc>
          <w:tcPr>
            <w:tcW w:w="1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10.40%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11.10%</w:t>
            </w:r>
            <w:r>
              <w:rPr>
                <w:rFonts w:ascii="Arial" w:cs="Arial" w:eastAsia="Arial" w:hAnsi="Arial"/>
                <w:sz w:val="11"/>
                <w:szCs w:val="11"/>
                <w:color w:val="auto"/>
              </w:rPr>
              <w:t>(3)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8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 See “Certain Relationships and Transactions—Investment Advisory Fees” in the accompanying prospectus.</w:t>
      </w:r>
    </w:p>
    <w:p>
      <w:pPr>
        <w:ind w:left="460" w:right="2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and takes into account dividends and distributions, if any, reinvested in accordance with our dividend reinvestment plan. Total return is not annualized.</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Q3</w:t>
            </w:r>
          </w:p>
        </w:tc>
        <w:tc>
          <w:tcPr>
            <w:tcW w:w="180" w:type="dxa"/>
            <w:vAlign w:val="bottom"/>
            <w:gridSpan w:val="3"/>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Q2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2"/>
              </w:rPr>
              <w:t>$10,770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ind w:right="260"/>
              <w:spacing w:after="0"/>
              <w:rPr>
                <w:sz w:val="20"/>
                <w:szCs w:val="20"/>
                <w:color w:val="auto"/>
              </w:rPr>
            </w:pPr>
            <w:r>
              <w:rPr>
                <w:rFonts w:ascii="Arial" w:cs="Arial" w:eastAsia="Arial" w:hAnsi="Arial"/>
                <w:sz w:val="18"/>
                <w:szCs w:val="18"/>
                <w:color w:val="auto"/>
              </w:rPr>
              <w:t>$10,425</w:t>
            </w:r>
          </w:p>
        </w:tc>
        <w:tc>
          <w:tcPr>
            <w:tcW w:w="9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$ 12,077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5,666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5,267</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5,768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91"/>
              </w:rPr>
              <w:t>$ (6,486)</w:t>
            </w:r>
          </w:p>
        </w:tc>
        <w:tc>
          <w:tcPr>
            <w:tcW w:w="2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ind w:right="260"/>
              <w:spacing w:after="0"/>
              <w:rPr>
                <w:sz w:val="20"/>
                <w:szCs w:val="20"/>
                <w:color w:val="auto"/>
              </w:rPr>
            </w:pPr>
            <w:r>
              <w:rPr>
                <w:rFonts w:ascii="Arial" w:cs="Arial" w:eastAsia="Arial" w:hAnsi="Arial"/>
                <w:sz w:val="18"/>
                <w:szCs w:val="18"/>
                <w:color w:val="auto"/>
              </w:rPr>
              <w:t>$36,932</w:t>
            </w: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(820)</w:t>
            </w:r>
          </w:p>
        </w:tc>
        <w:tc>
          <w:tcPr>
            <w:tcW w:w="20" w:type="dxa"/>
            <w:vAlign w:val="bottom"/>
          </w:tcPr>
          <w:p>
            <w:pPr>
              <w:spacing w:after="0"/>
              <w:rPr>
                <w:sz w:val="18"/>
                <w:szCs w:val="18"/>
                <w:color w:val="auto"/>
              </w:rPr>
            </w:pPr>
          </w:p>
        </w:tc>
        <w:tc>
          <w:tcPr>
            <w:tcW w:w="1220" w:type="dxa"/>
            <w:vAlign w:val="bottom"/>
            <w:gridSpan w:val="7"/>
          </w:tcPr>
          <w:p>
            <w:pPr>
              <w:jc w:val="right"/>
              <w:ind w:right="260"/>
              <w:spacing w:after="0"/>
              <w:rPr>
                <w:sz w:val="20"/>
                <w:szCs w:val="20"/>
                <w:color w:val="auto"/>
              </w:rPr>
            </w:pPr>
            <w:r>
              <w:rPr>
                <w:rFonts w:ascii="Arial" w:cs="Arial" w:eastAsia="Arial" w:hAnsi="Arial"/>
                <w:sz w:val="18"/>
                <w:szCs w:val="18"/>
                <w:color w:val="auto"/>
              </w:rPr>
              <w:t>$42,199</w:t>
            </w: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(0.04)</w:t>
            </w: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11.72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12.00</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10.24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7.10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11,431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9,662</w:t>
            </w:r>
          </w:p>
        </w:tc>
        <w:tc>
          <w:tcPr>
            <w:tcW w:w="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9,714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9,004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5,434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3,941</w:t>
            </w:r>
          </w:p>
        </w:tc>
        <w:tc>
          <w:tcPr>
            <w:tcW w:w="5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4,449</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4,732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(16,475)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11,263</w:t>
            </w:r>
          </w:p>
        </w:tc>
        <w:tc>
          <w:tcPr>
            <w:tcW w:w="122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 (37,778)</w:t>
            </w: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15,204</w:t>
            </w:r>
          </w:p>
        </w:tc>
        <w:tc>
          <w:tcPr>
            <w:tcW w:w="1220" w:type="dxa"/>
            <w:vAlign w:val="bottom"/>
            <w:gridSpan w:val="7"/>
          </w:tcPr>
          <w:p>
            <w:pPr>
              <w:jc w:val="right"/>
              <w:ind w:right="200"/>
              <w:spacing w:after="0"/>
              <w:rPr>
                <w:sz w:val="20"/>
                <w:szCs w:val="20"/>
                <w:color w:val="auto"/>
              </w:rPr>
            </w:pPr>
            <w:r>
              <w:rPr>
                <w:rFonts w:ascii="Arial" w:cs="Arial" w:eastAsia="Arial" w:hAnsi="Arial"/>
                <w:sz w:val="18"/>
                <w:szCs w:val="18"/>
                <w:color w:val="auto"/>
              </w:rPr>
              <w:t>$ (33,329)</w:t>
            </w: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0.72</w:t>
            </w:r>
          </w:p>
        </w:tc>
        <w:tc>
          <w:tcPr>
            <w:tcW w:w="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10.77</w:t>
            </w:r>
          </w:p>
        </w:tc>
        <w:tc>
          <w:tcPr>
            <w:tcW w:w="5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10.26</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12.07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7.21</w:t>
            </w:r>
          </w:p>
        </w:tc>
        <w:tc>
          <w:tcPr>
            <w:tcW w:w="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8.51</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10.02</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right"/>
              <w:ind w:right="138"/>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4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96"/>
              </w:rPr>
              <w:t>Q3</w:t>
            </w:r>
          </w:p>
        </w:tc>
        <w:tc>
          <w:tcPr>
            <w:tcW w:w="2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gridSpan w:val="2"/>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7"/>
              </w:rPr>
              <w:t>6,909</w:t>
            </w:r>
          </w:p>
        </w:tc>
        <w:tc>
          <w:tcPr>
            <w:tcW w:w="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$ 5,425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4,348</w:t>
            </w:r>
          </w:p>
        </w:tc>
        <w:tc>
          <w:tcPr>
            <w:tcW w:w="2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$ 3,208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(251)</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w w:val="82"/>
              </w:rPr>
              <w:t>$ (18,870)</w:t>
            </w:r>
          </w:p>
        </w:tc>
        <w:tc>
          <w:tcPr>
            <w:tcW w:w="2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$(5,152)</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6"/>
          </w:tcPr>
          <w:p>
            <w:pPr>
              <w:jc w:val="right"/>
              <w:ind w:right="80"/>
              <w:spacing w:after="0"/>
              <w:rPr>
                <w:sz w:val="20"/>
                <w:szCs w:val="20"/>
                <w:color w:val="auto"/>
              </w:rPr>
            </w:pPr>
            <w:r>
              <w:rPr>
                <w:rFonts w:ascii="Arial" w:cs="Arial" w:eastAsia="Arial" w:hAnsi="Arial"/>
                <w:sz w:val="18"/>
                <w:szCs w:val="18"/>
                <w:color w:val="auto"/>
                <w:w w:val="82"/>
              </w:rPr>
              <w:t>$ (14,522)</w:t>
            </w:r>
          </w:p>
        </w:tc>
        <w:tc>
          <w:tcPr>
            <w:tcW w:w="20" w:type="dxa"/>
            <w:vAlign w:val="bottom"/>
          </w:tcPr>
          <w:p>
            <w:pPr>
              <w:spacing w:after="0"/>
              <w:rPr>
                <w:sz w:val="18"/>
                <w:szCs w:val="18"/>
                <w:color w:val="auto"/>
              </w:rPr>
            </w:pPr>
          </w:p>
        </w:tc>
        <w:tc>
          <w:tcPr>
            <w:tcW w:w="1220" w:type="dxa"/>
            <w:vAlign w:val="bottom"/>
            <w:gridSpan w:val="7"/>
          </w:tcPr>
          <w:p>
            <w:pPr>
              <w:jc w:val="right"/>
              <w:ind w:right="220"/>
              <w:spacing w:after="0"/>
              <w:rPr>
                <w:sz w:val="20"/>
                <w:szCs w:val="20"/>
                <w:color w:val="auto"/>
              </w:rPr>
            </w:pPr>
            <w:r>
              <w:rPr>
                <w:rFonts w:ascii="Arial" w:cs="Arial" w:eastAsia="Arial" w:hAnsi="Arial"/>
                <w:sz w:val="18"/>
                <w:szCs w:val="18"/>
                <w:color w:val="auto"/>
              </w:rPr>
              <w:t>$(1,944)</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(0.70)</w:t>
            </w: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(0.01)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12.83</w:t>
            </w:r>
          </w:p>
        </w:tc>
        <w:tc>
          <w:tcPr>
            <w:tcW w:w="2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$ 13.74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7"/>
              </w:rPr>
              <w:t>13.40</w:t>
            </w:r>
          </w:p>
        </w:tc>
        <w:tc>
          <w:tcPr>
            <w:tcW w:w="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$ 14.04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public offering was on April 24,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September 21, 2009, the last reported closing price of our common stock was $9.01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High</w:t>
            </w: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Low</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Closing Sales Price</w:t>
            </w: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Sales</w:t>
            </w: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Sales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9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5"/>
              </w:rPr>
              <w:t>Price to</w:t>
            </w:r>
          </w:p>
        </w:tc>
        <w:tc>
          <w:tcPr>
            <w:tcW w:w="7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5"/>
              </w:rPr>
              <w:t>Price to</w:t>
            </w: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49"/>
        </w:trPr>
        <w:tc>
          <w:tcPr>
            <w:tcW w:w="6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w:t>
            </w:r>
          </w:p>
        </w:tc>
        <w:tc>
          <w:tcPr>
            <w:tcW w:w="660" w:type="dxa"/>
            <w:vAlign w:val="bottom"/>
            <w:gridSpan w:val="2"/>
          </w:tcPr>
          <w:p>
            <w:pPr>
              <w:ind w:left="40"/>
              <w:spacing w:after="0" w:line="149" w:lineRule="exact"/>
              <w:rPr>
                <w:sz w:val="20"/>
                <w:szCs w:val="20"/>
                <w:color w:val="auto"/>
              </w:rPr>
            </w:pPr>
            <w:r>
              <w:rPr>
                <w:rFonts w:ascii="Arial" w:cs="Arial" w:eastAsia="Arial" w:hAnsi="Arial"/>
                <w:sz w:val="17"/>
                <w:szCs w:val="17"/>
                <w:b w:val="1"/>
                <w:bCs w:val="1"/>
                <w:color w:val="auto"/>
                <w:vertAlign w:val="subscript"/>
              </w:rPr>
              <w:t>NAV</w:t>
            </w:r>
            <w:r>
              <w:rPr>
                <w:rFonts w:ascii="Arial" w:cs="Arial" w:eastAsia="Arial" w:hAnsi="Arial"/>
                <w:sz w:val="9"/>
                <w:szCs w:val="9"/>
                <w:b w:val="1"/>
                <w:bCs w:val="1"/>
                <w:color w:val="auto"/>
              </w:rPr>
              <w:t>(1)</w:t>
            </w:r>
          </w:p>
        </w:tc>
        <w:tc>
          <w:tcPr>
            <w:tcW w:w="140" w:type="dxa"/>
            <w:vAlign w:val="bottom"/>
          </w:tcPr>
          <w:p>
            <w:pPr>
              <w:spacing w:after="0"/>
              <w:rPr>
                <w:sz w:val="12"/>
                <w:szCs w:val="12"/>
                <w:color w:val="auto"/>
              </w:rPr>
            </w:pPr>
          </w:p>
        </w:tc>
        <w:tc>
          <w:tcPr>
            <w:tcW w:w="660" w:type="dxa"/>
            <w:vAlign w:val="bottom"/>
            <w:tcBorders>
              <w:top w:val="single" w:sz="8" w:color="auto"/>
            </w:tcBorders>
            <w:gridSpan w:val="2"/>
          </w:tcPr>
          <w:p>
            <w:pPr>
              <w:ind w:left="120"/>
              <w:spacing w:after="0" w:line="149"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Low</w:t>
            </w:r>
          </w:p>
        </w:tc>
        <w:tc>
          <w:tcPr>
            <w:tcW w:w="3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7"/>
                <w:szCs w:val="17"/>
                <w:b w:val="1"/>
                <w:bCs w:val="1"/>
                <w:color w:val="auto"/>
                <w:vertAlign w:val="subscript"/>
              </w:rPr>
              <w:t>NAV</w:t>
            </w:r>
            <w:r>
              <w:rPr>
                <w:rFonts w:ascii="Arial" w:cs="Arial" w:eastAsia="Arial" w:hAnsi="Arial"/>
                <w:sz w:val="9"/>
                <w:szCs w:val="9"/>
                <w:b w:val="1"/>
                <w:bCs w:val="1"/>
                <w:color w:val="auto"/>
              </w:rPr>
              <w:t>(2)</w:t>
            </w: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7"/>
                <w:szCs w:val="17"/>
                <w:b w:val="1"/>
                <w:bCs w:val="1"/>
                <w:color w:val="auto"/>
                <w:vertAlign w:val="subscript"/>
              </w:rPr>
              <w:t>NAV</w:t>
            </w:r>
            <w:r>
              <w:rPr>
                <w:rFonts w:ascii="Arial" w:cs="Arial" w:eastAsia="Arial" w:hAnsi="Arial"/>
                <w:sz w:val="9"/>
                <w:szCs w:val="9"/>
                <w:b w:val="1"/>
                <w:bCs w:val="1"/>
                <w:color w:val="auto"/>
              </w:rPr>
              <w:t>(2)</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Fourth quarter (through September 21, 2009)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 N/A</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$ 9.06</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$ 6.28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  0.24</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7.65</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3.85</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4.05</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2.64</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7.81</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2.35</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5.92</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8.60</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7.05</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80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11.31</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8.38</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12.07</w:t>
            </w:r>
          </w:p>
        </w:tc>
        <w:tc>
          <w:tcPr>
            <w:tcW w:w="16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14.49</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9.08</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120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12.83</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14.76</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12.61</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115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15.03</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14.04</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Payable on October 1, 2009 to stockholders of record as of September 8, 2009.</w:t>
      </w:r>
    </w:p>
    <w:p>
      <w:pPr>
        <w:spacing w:after="0" w:line="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$7.10 and $7.41 as of June 30, 2009 and September 30, 2008, respectively. Our NAV was $11.72 and $10.00, as of June 30, 2009 and September 30, 2008,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our meeting of stockholders held on August 25, 2009,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August 25, 2009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35" w:lineRule="exact"/>
        <w:rPr>
          <w:sz w:val="20"/>
          <w:szCs w:val="20"/>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relationship of recent market prices of par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the terms thereof.</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offering of common stock being made pursuant to this prospectus supplement is at a price below our most recently reported NAV on June 30, 2009 of $11.72 per share.</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board of directors also considered the fact that sales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existing stockholders who do not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chart illustrates the level of NAV dilution that would be experienced by a stockholder who does not participate in the offering. It is not possible to predict the level of market price decline that may occur. The table below is shown based upon financial information as of June 30, 2009. NAV has not been finally determined for any day after June 30, 2009. The following example assumes a sale of 8,000,000 shares at a sales price to the public of $9.00 per share with a 5.00% underwriting discount and commissions and $200,000 of expenses ($8.53 per share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Prior to Sale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4"/>
              </w:rPr>
              <w:t>Following</w:t>
            </w: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Below NAV</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660" w:type="dxa"/>
            <w:vAlign w:val="bottom"/>
          </w:tcPr>
          <w:p>
            <w:pPr>
              <w:jc w:val="right"/>
              <w:ind w:right="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21,068,772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29,068,772</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10.84</w:t>
            </w: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Non participating Stockholder 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21,069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21,069</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246,977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228,437</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Total investment by stockholder (assumed to be $11.72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246,977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246,977</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dilution to stockholder (total NAV less total investment)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(18,540)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w w:val="92"/>
              </w:rPr>
              <w:t>Investment per share held by stockholder (assumed to be $11.72 per share on shares held prior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1060"/>
              <w:spacing w:after="0"/>
              <w:rPr>
                <w:sz w:val="20"/>
                <w:szCs w:val="20"/>
                <w:color w:val="auto"/>
              </w:rPr>
            </w:pPr>
            <w:r>
              <w:rPr>
                <w:rFonts w:ascii="Arial" w:cs="Arial" w:eastAsia="Arial" w:hAnsi="Arial"/>
                <w:sz w:val="18"/>
                <w:szCs w:val="18"/>
                <w:color w:val="auto"/>
              </w:rPr>
              <w:t>to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11.72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 (NAV per share less investment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Percentage dilution to stockholder (dilution per share divided by investment per share)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chart illustrates the level of dilution and accretion in the offering for a stockholder that acquires shares equal to (1) 50% of its proportionate share of the offering (i.e., 4,000 shares, which is 0.05% of the offering rather than its 0.10% proportionate share) and (2) 150% of such percentage (i.e., 12,000 shares, which is 0.15% of the offering rather than its 0.10% proportionate share). The table below is shown based upon financial information as of June 30, 2009. NAV has not been finally determined for any day after June 30, 2009. The following example assumes a sale of 8,000,000 shares at a sales price to the public of $9.00 per share with a 5.00% underwriting discount and commissions and $200,000 of expenses ($8.53 per share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Prior to Sale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4"/>
          </w:tcPr>
          <w:p>
            <w:pPr>
              <w:ind w:left="38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20" w:type="dxa"/>
            <w:vAlign w:val="bottom"/>
            <w:gridSpan w:val="3"/>
          </w:tcPr>
          <w:p>
            <w:pPr>
              <w:jc w:val="right"/>
              <w:ind w:right="255"/>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4"/>
              </w:rPr>
              <w:t>Following</w:t>
            </w:r>
          </w:p>
        </w:tc>
        <w:tc>
          <w:tcPr>
            <w:tcW w:w="66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w w:val="91"/>
              </w:rPr>
              <w:t>Following</w:t>
            </w:r>
          </w:p>
        </w:tc>
        <w:tc>
          <w:tcPr>
            <w:tcW w:w="60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Below NAV</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9.00</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9.00</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8.53</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21,068,772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29,068,772</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29,068,772</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NAV per share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10.84</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10.84</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(7.51)%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Stockholder A</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21,069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25,069</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33,069</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0.09%</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(13.76)%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271,807</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358,547</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w w:val="92"/>
              </w:rPr>
              <w:t>Total investment by stockholder (assumed to be $11.72 per share 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shares held prior to sale)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246,977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282,977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14.58%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354,977</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43.73%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(dilution)/accretion to stockholder (total NAV less total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(11,170)</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94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10.84</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w w:val="92"/>
              </w:rPr>
              <w:t>Investment per share held by stockholder (assumed to be $11.72 per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share on shares held prior to sale)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11.29</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10.73</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(8.43)%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(Dilution)/accretion per share held by stockholder (NAV per share less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 per share)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(0.45)</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w w:val="93"/>
              </w:rPr>
              <w:t>Percentage (dilution)/accretion to stockholder (dilution/accretion per 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640"/>
              <w:spacing w:after="0"/>
              <w:rPr>
                <w:sz w:val="20"/>
                <w:szCs w:val="20"/>
                <w:color w:val="auto"/>
              </w:rPr>
            </w:pPr>
            <w:r>
              <w:rPr>
                <w:rFonts w:ascii="Arial" w:cs="Arial" w:eastAsia="Arial" w:hAnsi="Arial"/>
                <w:sz w:val="18"/>
                <w:szCs w:val="18"/>
                <w:color w:val="auto"/>
              </w:rPr>
              <w:t>divided by investment per share)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940" w:type="dxa"/>
            <w:vAlign w:val="bottom"/>
          </w:tcPr>
          <w:p>
            <w:pPr>
              <w:ind w:left="5520"/>
              <w:spacing w:after="0"/>
              <w:rPr>
                <w:sz w:val="20"/>
                <w:szCs w:val="20"/>
                <w:color w:val="auto"/>
              </w:rPr>
            </w:pPr>
            <w:r>
              <w:rPr>
                <w:rFonts w:ascii="Arial" w:cs="Arial" w:eastAsia="Arial" w:hAnsi="Arial"/>
                <w:sz w:val="18"/>
                <w:szCs w:val="18"/>
                <w:color w:val="auto"/>
              </w:rPr>
              <w:t>S-20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following chart illustrates the level of dilution or accretion for new investors that will be experienced by a new investor who purchases the same percentage (0.10%) of the shares in the offering as the stockholder in the prior examples held immediately prior to the offering. These stockholders may also experience a decline in the market price of their shares, which often reflects to some degree announced or potential increases and decreases in NAV per share. This decrease could be more pronounced as the size of the offering and level of discounts increases. It is not possible to predict the level of market price decline that may occur. The table below is shown based upon financial information as of June 30, 2009. NAV has not been finally determined for any day after June 30, 2009. The following example assumes a sale of 8,000,000 shares at a sales price to the public of $9.00 per share with a 5.00% underwriting discount and commissions and $200,000 of expenses ($8.53 per share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Prior to Sale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Following</w:t>
            </w:r>
          </w:p>
        </w:tc>
        <w:tc>
          <w:tcPr>
            <w:tcW w:w="112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8"/>
              </w:rPr>
              <w:t>Below NAV</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Sale</w:t>
            </w:r>
          </w:p>
        </w:tc>
        <w:tc>
          <w:tcPr>
            <w:tcW w:w="5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21,068,772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29,068,772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Accretion to New Stockholder 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8,000</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86,740</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Total investment by stockholder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72,000</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accretion to stockholder (total NAV less total investment)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Investment per share held by stockholder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per share held by stockholder (NAV per share less investment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Percentage accretion to stockholder (accretion per share divided by investment per share)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960" w:type="dxa"/>
            <w:vAlign w:val="bottom"/>
          </w:tcPr>
          <w:p>
            <w:pPr>
              <w:ind w:left="5520"/>
              <w:spacing w:after="0"/>
              <w:rPr>
                <w:sz w:val="20"/>
                <w:szCs w:val="20"/>
                <w:color w:val="auto"/>
              </w:rPr>
            </w:pPr>
            <w:r>
              <w:rPr>
                <w:rFonts w:ascii="Arial" w:cs="Arial" w:eastAsia="Arial" w:hAnsi="Arial"/>
                <w:sz w:val="18"/>
                <w:szCs w:val="18"/>
                <w:color w:val="auto"/>
              </w:rPr>
              <w:t>S-21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16, 2007, we sold 320,000 shares of common stock to our directors and officers, the Investment Adviser and the managers of the Investment Adviser at a price of $15.00 per share in a private placement. We received the full proceeds of this private placement, and no underwriting discounts or commissions were paid in respect of these shares. Under a registration rights agreement signed at the time of such private placement, the holders of these shares received registration rights that entitle them to make up to two demands on us to register their shares under the Securities Act. In addition, these stockholders have certain “piggy-back” registration rights that entitle them to include their shares in certain registration statements that we may file. We will bear the expenses incurred in connection with the filing of any such registration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intend to offer the shares through the underwriters named in the table below. SunTrust Robinson Humphrey, Inc. and BMO Capital Markets Corp.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8,000,000 shares of our common stock.</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Number of</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220" w:type="dxa"/>
            <w:vAlign w:val="bottom"/>
          </w:tcPr>
          <w:p>
            <w:pPr>
              <w:spacing w:after="0"/>
              <w:rPr>
                <w:sz w:val="14"/>
                <w:szCs w:val="14"/>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r>
      <w:tr>
        <w:trPr>
          <w:trHeight w:val="223"/>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980" w:type="dxa"/>
            <w:vAlign w:val="bottom"/>
            <w:shd w:val="clear" w:color="auto" w:fill="CCEEFF"/>
          </w:tcPr>
          <w:p>
            <w:pPr>
              <w:spacing w:after="0"/>
              <w:rPr>
                <w:sz w:val="19"/>
                <w:szCs w:val="19"/>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98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98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FBR Capital Markets &amp; Co.</w:t>
            </w:r>
          </w:p>
        </w:tc>
        <w:tc>
          <w:tcPr>
            <w:tcW w:w="98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98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98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980" w:type="dxa"/>
            <w:vAlign w:val="bottom"/>
            <w:shd w:val="clear" w:color="auto" w:fill="CCEEFF"/>
          </w:tcPr>
          <w:p>
            <w:pPr>
              <w:spacing w:after="0"/>
              <w:rPr>
                <w:sz w:val="18"/>
                <w:szCs w:val="18"/>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Natixis Bleichroeder Inc.</w:t>
            </w:r>
          </w:p>
        </w:tc>
        <w:tc>
          <w:tcPr>
            <w:tcW w:w="980" w:type="dxa"/>
            <w:vAlign w:val="bottom"/>
            <w:tcBorders>
              <w:bottom w:val="single" w:sz="8" w:color="auto"/>
            </w:tcBorders>
          </w:tcPr>
          <w:p>
            <w:pPr>
              <w:spacing w:after="0"/>
              <w:rPr>
                <w:sz w:val="19"/>
                <w:szCs w:val="19"/>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4"/>
              </w:rPr>
              <w:t>8,000,000</w:t>
            </w:r>
          </w:p>
        </w:tc>
      </w:tr>
      <w:tr>
        <w:trPr>
          <w:trHeight w:val="20"/>
        </w:trPr>
        <w:tc>
          <w:tcPr>
            <w:tcW w:w="3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underwriters have agreed that they must purchase all of the shares sold under the purchase agreement if they purchase any of them. However, the underwriters are not required to take or pay for the shares covered by the underwriters’ overallotment option described below.</w:t>
      </w:r>
    </w:p>
    <w:p>
      <w:pPr>
        <w:spacing w:after="0" w:line="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32"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underwriters have advised us that they propose initially to offer the shares to the public at the public offering price on the cover page of this prospectus supplement and to dealers at that price less a concession not in excess of $ per share. The underwriters may allow, and the dealers may reallow, a discount not in excess of $ per share to other dealers. After the public offering, the public offering price, concession and discount may be changed.</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1,200,000 shares.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5"/>
              </w:rPr>
              <w:t>Per Share</w:t>
            </w:r>
          </w:p>
        </w:tc>
        <w:tc>
          <w:tcPr>
            <w:tcW w:w="7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88"/>
              </w:rPr>
              <w:t>Without Option</w:t>
            </w:r>
          </w:p>
        </w:tc>
        <w:tc>
          <w:tcPr>
            <w:tcW w:w="1460" w:type="dxa"/>
            <w:vAlign w:val="bottom"/>
            <w:gridSpan w:val="2"/>
          </w:tcPr>
          <w:p>
            <w:pPr>
              <w:ind w:left="740"/>
              <w:spacing w:after="0"/>
              <w:rPr>
                <w:sz w:val="20"/>
                <w:szCs w:val="20"/>
                <w:color w:val="auto"/>
              </w:rPr>
            </w:pPr>
            <w:r>
              <w:rPr>
                <w:rFonts w:ascii="Arial" w:cs="Arial" w:eastAsia="Arial" w:hAnsi="Arial"/>
                <w:sz w:val="14"/>
                <w:szCs w:val="14"/>
                <w:b w:val="1"/>
                <w:bCs w:val="1"/>
                <w:color w:val="auto"/>
                <w:w w:val="88"/>
              </w:rPr>
              <w:t>With Option</w:t>
            </w:r>
          </w:p>
        </w:tc>
      </w:tr>
      <w:tr>
        <w:trPr>
          <w:trHeight w:val="20"/>
        </w:trPr>
        <w:tc>
          <w:tcPr>
            <w:tcW w:w="43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02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Underwriting discount</w:t>
            </w:r>
          </w:p>
        </w:tc>
        <w:tc>
          <w:tcPr>
            <w:tcW w:w="402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Company</w:t>
            </w:r>
          </w:p>
        </w:tc>
        <w:tc>
          <w:tcPr>
            <w:tcW w:w="402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363"/>
        </w:trPr>
        <w:tc>
          <w:tcPr>
            <w:tcW w:w="4300" w:type="dxa"/>
            <w:vAlign w:val="bottom"/>
          </w:tcPr>
          <w:p>
            <w:pPr>
              <w:spacing w:after="0"/>
              <w:rPr>
                <w:sz w:val="24"/>
                <w:szCs w:val="24"/>
                <w:color w:val="auto"/>
              </w:rPr>
            </w:pPr>
          </w:p>
        </w:tc>
        <w:tc>
          <w:tcPr>
            <w:tcW w:w="4020" w:type="dxa"/>
            <w:vAlign w:val="bottom"/>
            <w:gridSpan w:val="2"/>
          </w:tcPr>
          <w:p>
            <w:pPr>
              <w:ind w:left="1240"/>
              <w:spacing w:after="0"/>
              <w:rPr>
                <w:sz w:val="20"/>
                <w:szCs w:val="20"/>
                <w:color w:val="auto"/>
              </w:rPr>
            </w:pPr>
            <w:r>
              <w:rPr>
                <w:rFonts w:ascii="Arial" w:cs="Arial" w:eastAsia="Arial" w:hAnsi="Arial"/>
                <w:sz w:val="18"/>
                <w:szCs w:val="18"/>
                <w:color w:val="auto"/>
              </w:rPr>
              <w:t>S-23</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payable by us, not including underwriting discounts and commissions, will be approximately $200,000.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granted an option to the underwriters to purchase up to 1,200,000 additional shares at the public offering price less the underwriting discount. The underwriters may exercise this option for 30 days from the date of this prospectus solely to cover any overallotments. If the underwriters exercise this option, they will be obligated, subject to conditions contained in the purchase agreement, to purchase the additional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30 days after the date of this prospectus without first obtaining the written consent of SunTrust Robinson Humphrey, Inc. and BMO Capital Markets Corp.</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executive officers and directors and PennantPark Investment Corporation and certain of its affiliates have agreed, with exceptions, not to sell or transfer any common stock for 90 days after the date of this prospectus supplement without first obtaining the written consent of the representatives. Specifically, we and these other individuals and entities have agreed not to directly or indirectly:</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overallotment option described above. In making this determination, the underwriters will consider, among other things, the price of shares available for purchase in the open market compared to the price at which the underwriters may purchase shares through the over allotment option. Purchases of the common stock to stabilize its price or to reduce a short position may cause the price of the common stock to be higher than it might be in the absence of such purchases.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separate fees.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w:t>
      </w:r>
    </w:p>
    <w:p>
      <w:pPr>
        <w:spacing w:after="0" w:line="16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Affiliates of certain of the underwriters serve as lenders under our credit facility. Some of the underwriters and their affiliates were underwriters in connection with our initial public offering for which they received customary fees. Affiliates of the underwriters will receive part of the proceeds of the offering by reason of the repayment of amounts outstanding under our credit facility. Because more than 10% of the net proceeds of the offering may be paid to members or affiliates of members of FINRA participating in the offering, the offering will be conducted in accordance with FINRA Conduct Rule 5110(h).</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principal business address of SunTrust Robinson Humphrey, Inc. is 3333 Peachtree Rd., NE, Atlanta, GA 30326. The principal business address of BMO Capital Markets Corp. is 3 Times Square, New York, NY 10036.</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Sutherland Asbill &amp; Brennan LLP, Washington, D.C.</w:t>
      </w:r>
    </w:p>
    <w:p>
      <w:pPr>
        <w:spacing w:after="0" w:line="13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0880"/>
          </w:cols>
          <w:pgMar w:left="240" w:top="459" w:right="7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 Corporation, a Maryland corporation, is a closed-end, externally managed, non-diversified investment company that has elected to be treated as a business development company, or BDC, under the Investment Company Act of 1940 (the “1940 Act”).</w:t>
      </w:r>
    </w:p>
    <w:p>
      <w:pPr>
        <w:spacing w:after="0" w:line="51"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fund a portion of our investments with borrowed money, a practice commonly known as leverage. We can offer no assurances that we will achieve our investment objectives.</w:t>
      </w:r>
    </w:p>
    <w:p>
      <w:pPr>
        <w:spacing w:after="0" w:line="2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 (3) under such circumstances as the Securities and Exchange Commission, or the SEC, may permit.</w:t>
      </w:r>
    </w:p>
    <w:p>
      <w:pPr>
        <w:spacing w:after="0" w:line="3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has been approved for quotation on NASDAQ Global Select Market under the symbol “PNNT”. The last reported closing price for our common stock on August 31, 2009 was $8.35 per share and our net asset value on June 30, 2009 was $11.72 per share.</w:t>
      </w:r>
    </w:p>
    <w:p>
      <w:pPr>
        <w:spacing w:after="0" w:line="5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dated September 22, 2009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2"/>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2"/>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820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SELECTED FINANCIAL DATA</w:t>
              </w:r>
            </w:hyperlink>
          </w:p>
        </w:tc>
        <w:tc>
          <w:tcPr>
            <w:tcW w:w="86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SENIOR SECURITIES</w:t>
              </w:r>
            </w:hyperlink>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PRICE RANGE OF COMMON STOCK</w:t>
              </w:r>
            </w:hyperlink>
          </w:p>
        </w:tc>
        <w:tc>
          <w:tcPr>
            <w:tcW w:w="816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DISTRIBUTIONS</w:t>
              </w:r>
            </w:hyperlink>
          </w:p>
        </w:tc>
        <w:tc>
          <w:tcPr>
            <w:tcW w:w="9720" w:type="dxa"/>
            <w:vAlign w:val="bottom"/>
            <w:gridSpan w:val="2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BUSINESS</w:t>
              </w:r>
            </w:hyperlink>
          </w:p>
        </w:tc>
        <w:tc>
          <w:tcPr>
            <w:tcW w:w="1022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PORTFOLIO COMPANIES</w:t>
              </w:r>
            </w:hyperlink>
          </w:p>
        </w:tc>
        <w:tc>
          <w:tcPr>
            <w:tcW w:w="76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CONTROL PERSONS AND PRINCIPAL STOCKHOLDERS</w:t>
              </w:r>
            </w:hyperlink>
          </w:p>
        </w:tc>
        <w:tc>
          <w:tcPr>
            <w:tcW w:w="66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DIVIDEND REINVESTMENT PLAN</w:t>
              </w:r>
            </w:hyperlink>
          </w:p>
        </w:tc>
        <w:tc>
          <w:tcPr>
            <w:tcW w:w="830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DESCRIPTION OF OUR CAPITAL STOCK</w:t>
              </w:r>
            </w:hyperlink>
          </w:p>
        </w:tc>
        <w:tc>
          <w:tcPr>
            <w:tcW w:w="784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DESCRIPTION OF OUR WARRANTS</w:t>
              </w:r>
            </w:hyperlink>
          </w:p>
        </w:tc>
        <w:tc>
          <w:tcPr>
            <w:tcW w:w="75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REGULATION</w:t>
              </w:r>
            </w:hyperlink>
          </w:p>
        </w:tc>
        <w:tc>
          <w:tcPr>
            <w:tcW w:w="9940" w:type="dxa"/>
            <w:vAlign w:val="bottom"/>
            <w:gridSpan w:val="3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BROKERAGE ALLOCATIONS AND OTHER PRACTICES</w:t>
              </w:r>
            </w:hyperlink>
          </w:p>
        </w:tc>
        <w:tc>
          <w:tcPr>
            <w:tcW w:w="668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148">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LEGAL MATTERS</w:t>
              </w:r>
            </w:hyperlink>
          </w:p>
        </w:tc>
        <w:tc>
          <w:tcPr>
            <w:tcW w:w="71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780" w:type="dxa"/>
            <w:vAlign w:val="bottom"/>
            <w:gridSpan w:val="10"/>
            <w:shd w:val="clear" w:color="auto" w:fill="0000EE"/>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57">
              <w:r>
                <w:rPr>
                  <w:rFonts w:ascii="Arial" w:cs="Arial" w:eastAsia="Arial" w:hAnsi="Arial"/>
                  <w:sz w:val="18"/>
                  <w:szCs w:val="18"/>
                  <w:color w:val="0000EE"/>
                  <w:w w:val="95"/>
                </w:rPr>
                <w:t>INDEX TO FINANCIAL STATEMENTS</w:t>
              </w:r>
            </w:hyperlink>
          </w:p>
        </w:tc>
        <w:tc>
          <w:tcPr>
            <w:tcW w:w="808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and the additional information described under the headings “Additional Information” and “Risk Factors” before you make an investment decision.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 In this prospectus, we use the term “middle-market” to refer to companies with annual revenues between $50 million and $1 billion.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and portfolio companies on an ongoing basis. The Investment Adviser is led by Arthur H. Penn, its founder and the founder of PennantPark.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provided for borrowings up to $2.0 billion. During Mr. Penn’s tenure with Apollo Investment, it invested approximately $2.8 billion in 73 companies in partnership with 54 different financial sponsors.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who are partners of the firm. These investment professionals, Geoffrey Chang, Salvatore Giannetti III and Whit Williams, have a combined 48 years of experience in the mezzanine, private equity and leveraged finance businesses. See “Management,” “Certain Relationships and Transactions—Investment Management Agreement” and “Risk Factors—Risks Relating to our Business and 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administration agreement,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“Certain Relationships and Transactions— Administration Agreement” and “Risk Factors—Risks Relating to our Business and Structure.”</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who is also a Managing Director of PennantPark Investment Administration, has extensive experience in finance and administration of registered investment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w:t>
      </w:r>
    </w:p>
    <w:p>
      <w:pPr>
        <w:spacing w:after="0" w:line="45" w:lineRule="exact"/>
        <w:rPr>
          <w:sz w:val="20"/>
          <w:szCs w:val="20"/>
          <w:color w:val="auto"/>
        </w:rPr>
      </w:pPr>
    </w:p>
    <w:p>
      <w:pPr>
        <w:ind w:left="900" w:right="60" w:hanging="325"/>
        <w:spacing w:after="0" w:line="25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120" w:hanging="325"/>
        <w:spacing w:after="0" w:line="29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60" w:hanging="325"/>
        <w:spacing w:after="0" w:line="30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a five-year, multi-currency $300 million senior secured credit facility with a group of lenders, under which we had $202.0 million (including a $40.0 million temporary draw) and $187.3 million of indebtedness outstanding at September 30, 2008 and June 30, 2009, respectively. Pricing on borrowings under our credit facility is set at 100 basis points over LIBOR. We believe that our substantial debt capital resources provide us with the flexibility to take advantage of market opportunities when they arise.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We have elected to be treated for federal income tax purposes under the Internal Revenue Code of 1986, or the Code, as a regulated investment company, or “RIC.” For more information, see “Material U.S. Federal Income Tax Considerations.”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expect to use the net proceeds from selling securities pursuant to this prospectus primarily to reduce our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 See “Use of Proceeds” for information regarding our outstanding borrowings as of June 30, 2009, the corresponding interest rate charged on such borrowings as of that date and the length of time that it may take us to invest any proceeds in new or existing portfolio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The amount and general timing of our quarterly dividends, if any, will be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August 25, 2009, our common stockholders voted to allow us to issue common stock at a price below the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interests to do so. Sales of common stock at prices below net asset value per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tcPr>
          <w:p>
            <w:pPr>
              <w:spacing w:after="0" w:line="176" w:lineRule="exact"/>
              <w:rPr>
                <w:sz w:val="20"/>
                <w:szCs w:val="20"/>
                <w:color w:val="auto"/>
              </w:rPr>
            </w:pPr>
            <w:r>
              <w:rPr>
                <w:rFonts w:ascii="Arial" w:cs="Arial" w:eastAsia="Arial" w:hAnsi="Arial"/>
                <w:sz w:val="18"/>
                <w:szCs w:val="18"/>
                <w:color w:val="auto"/>
              </w:rPr>
              <w:t>Sales load (as a percentage of offering price)</w:t>
            </w:r>
          </w:p>
        </w:tc>
        <w:tc>
          <w:tcPr>
            <w:tcW w:w="68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Total common stockholder expenses (as a percentage of offering price)</w:t>
            </w: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740" w:type="dxa"/>
            <w:vAlign w:val="bottom"/>
            <w:gridSpan w:val="2"/>
            <w:vMerge w:val="continue"/>
          </w:tcPr>
          <w:p>
            <w:pPr>
              <w:spacing w:after="0"/>
              <w:rPr>
                <w:sz w:val="15"/>
                <w:szCs w:val="15"/>
                <w:color w:val="auto"/>
              </w:rPr>
            </w:pPr>
          </w:p>
        </w:tc>
        <w:tc>
          <w:tcPr>
            <w:tcW w:w="68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7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Management fees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3.25%</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2.26%</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2.06%</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1.66%</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40" w:type="dxa"/>
            <w:vAlign w:val="bottom"/>
            <w:gridSpan w:val="2"/>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9.23%</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assets attributable to common shares” equal net assets at June 30, 2009.</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40" w:hanging="452"/>
        <w:spacing w:after="0" w:line="287"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nine months ended June 30,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26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June 30, 2009, we had $112.7 million unused, subject to maintenance of the applicable total assets to debt ratio of 200%, and $187.3 million in borrowings outstanding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780"/>
        <w:spacing w:after="0" w:line="259" w:lineRule="auto"/>
        <w:rPr>
          <w:sz w:val="20"/>
          <w:szCs w:val="20"/>
          <w:color w:val="auto"/>
        </w:rPr>
      </w:pPr>
      <w:r>
        <w:rPr>
          <w:rFonts w:ascii="Arial" w:cs="Arial" w:eastAsia="Arial" w:hAnsi="Arial"/>
          <w:sz w:val="18"/>
          <w:szCs w:val="18"/>
          <w:color w:val="auto"/>
        </w:rPr>
        <w:t>account; 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59" w:lineRule="exact"/>
        <w:rPr>
          <w:sz w:val="20"/>
          <w:szCs w:val="20"/>
          <w:color w:val="auto"/>
        </w:rPr>
      </w:pPr>
    </w:p>
    <w:p>
      <w:pPr>
        <w:ind w:left="460" w:right="100" w:hanging="452"/>
        <w:spacing w:after="0" w:line="298"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nine months ended June 30, 2009 annualized for a full year. See the “Consolidated Statement of Operations” in our financial statements.</w:t>
      </w:r>
    </w:p>
    <w:p>
      <w:pPr>
        <w:spacing w:after="0" w:line="18" w:lineRule="exact"/>
        <w:rPr>
          <w:rFonts w:ascii="Arial" w:cs="Arial" w:eastAsia="Arial" w:hAnsi="Arial"/>
          <w:sz w:val="16"/>
          <w:szCs w:val="16"/>
          <w:color w:val="auto"/>
        </w:rPr>
      </w:pPr>
    </w:p>
    <w:p>
      <w:pPr>
        <w:ind w:left="460" w:right="40" w:hanging="452"/>
        <w:spacing w:after="0" w:line="29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5.68% of total assets. For a presentation and calculation of total annual expenses based on total assets, see page 37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4.25% sales load (underwriting discounts and commissions) and offering expenses totaling 0.20%, (2) total net annual expenses of 6.97%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$ 110</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$ 239</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$ 362</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649</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 in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b w:val="1"/>
          <w:bCs w:val="1"/>
          <w:color w:val="auto"/>
        </w:rPr>
        <w:t>Global capital markets have entered a period of severe disruption and instability. These market conditions have materially and adversely affected debt and equity capital markets in the United States, which has had, and may continue to have, a negative impact on our business and operations.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Beginning in the summer of 2007 and continuing as of the date of this prospectus,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As a result of these events, general economic conditions have deteriorated with material and adverse consequences for the broader financial and credit markets, and the availability of debt and equity capital for the market as a whole and financial services firms in particular has been reduced significantly. These conditions could continue for a prolonged period of time or even materially worsen in the future. While these conditions persist, we may have difficulty accessing debt and equity capital in order to grow and may suffer material adverse effects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respective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significant disruption in the capital markets has had and may continue to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and/or fund and could have a material adverse impact on our business, financial condition or results of operations. This may also increase the probability that other structural risks negatively impact us. These situations may arise due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to circumstances that we may be unable to control, such as a protracted disruption in the credit markets, a severe decline in the value of the United States dollar, a sharp economic downturn or an operational problem that affects third parties or us, and could materially damage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developments may adversely affect our business and results of operations by reducing availability under our credit facility.</w:t>
      </w:r>
    </w:p>
    <w:p>
      <w:pPr>
        <w:spacing w:after="0" w:line="11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the applicable asset coverage test that restricts our ability to borrow under our credit facility, this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6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For example, during the fiscal year ended September 30, 2008, net unrealized depreciation in our portfolio increased and, given the further deterioration in public debt and equity markets and pricing levels subsequent to this period, net unrealized depreciation in our portfolio may continue to increase in the future. Further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9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We rely in part on our senior secured investments to provide us with adequate liquidity, but even these investments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current market developments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a business development company, we are required to carry our investments at market value or, if no market value is ascertainable or if market value does not reflect the fair value of such investment in the bona fide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determination of our board of directors, then, at fair value as determined in good faith by or under the direction of our board of directors. Decreases in the market values or fair values of our investments will be recorded as unrealized depreciation. The fair value of our portfolio companies on the whole has decreased substantially over the past two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In the past 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relatively new business, including the risk that we will not achieve our investment objectives and that the value of our common stock could decline substantially. We have used, and will continue to use, the proceeds of public offerings of securities and of our credit facility in accordance with our investment objectives.</w:t>
      </w:r>
    </w:p>
    <w:p>
      <w:pPr>
        <w:spacing w:after="0" w:line="182"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6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Mr. Penn and other managers of our Investment Adviser evaluate, negotiate, structure, close and monitor our investments. Our future success depends on the continued service of Mr. Penn and other management personnel of our Investment Adviser. The departure of Mr. Penn or any other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make long-term, subordinated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Investment Adviser may also be called upon to provide managerial assistance to portfolio companies as the principals of our Administrator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Mr. Penn and our other investment professionals have been affiliated.</w:t>
      </w:r>
    </w:p>
    <w:p>
      <w:pPr>
        <w:spacing w:after="0" w:line="4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Mr. Penn, our Chief Executive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Officer and the Managing Member of our Investment Adviser, has had more than two years of experience managing the investments of PennantPark Investment and approximately three years of experience managing another business development company. However, current market conditions and 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with which Mr. Penn and our other investment professionals have been affiliated, and we caution that our investment returns could be substantially lower than the returns achieved by such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 of income,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and distributions to our stockholders. Even if we qualify as a RIC,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40" w:hanging="325"/>
        <w:spacing w:after="0" w:line="294"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right="40" w:hanging="325"/>
        <w:spacing w:after="0" w:line="28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9" w:lineRule="exact"/>
        <w:rPr>
          <w:rFonts w:ascii="Arial" w:cs="Arial" w:eastAsia="Arial" w:hAnsi="Arial"/>
          <w:sz w:val="16"/>
          <w:szCs w:val="16"/>
          <w:color w:val="auto"/>
        </w:rPr>
      </w:pPr>
    </w:p>
    <w:p>
      <w:pPr>
        <w:ind w:left="900" w:right="240" w:hanging="325"/>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312" w:lineRule="auto"/>
        <w:rPr>
          <w:sz w:val="20"/>
          <w:szCs w:val="20"/>
          <w:color w:val="auto"/>
        </w:rPr>
      </w:pPr>
      <w:r>
        <w:rPr>
          <w:rFonts w:ascii="Arial" w:cs="Arial" w:eastAsia="Arial" w:hAnsi="Arial"/>
          <w:sz w:val="15"/>
          <w:szCs w:val="15"/>
          <w:color w:val="auto"/>
        </w:rPr>
        <w:t>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utilize a revolving five-year, $300 million credit facility to make investments in our portfolio companies. Our credit facility expires in June</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If we fail to refinance the indebtedness outstanding under our credit facility at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preferred stock. Our ability to service any debt that we incur depends largely on our financial performance and is subject to prevailing economic conditions and competitive pressures.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June 30, 2009 we had outstanding borrowings of $187.3 million under our credit facility with an annual interest rate at that time of 1.31%. Accordingly, to cover the annual interest on our borrowings outstanding at June 30, 2009 at the then current rate we would have to receive an annual return of at least 0.6%.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June 30, 2009 of 33% of our total assets (including such borrowed funds), at the weighted average annual interest rate of 1.31%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00" w:type="dxa"/>
            <w:vAlign w:val="bottom"/>
          </w:tcPr>
          <w:p>
            <w:pPr>
              <w:jc w:val="right"/>
              <w:ind w:right="132"/>
              <w:spacing w:after="0"/>
              <w:rPr>
                <w:sz w:val="20"/>
                <w:szCs w:val="20"/>
                <w:color w:val="auto"/>
              </w:rPr>
            </w:pPr>
            <w:r>
              <w:rPr>
                <w:rFonts w:ascii="Arial" w:cs="Arial" w:eastAsia="Arial" w:hAnsi="Arial"/>
                <w:sz w:val="18"/>
                <w:szCs w:val="18"/>
                <w:color w:val="auto"/>
              </w:rPr>
              <w:t>-17.2%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-9.1%</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7.1%</w:t>
            </w: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interest rates may affect our cost of capital and net investment income.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June 30, 2009, the applicable LIBOR rate has decreased from 5.32% to 0.31%.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 in this prospectus.</w:t>
      </w:r>
    </w:p>
    <w:p>
      <w:pPr>
        <w:spacing w:after="0" w:line="18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is also a risk that, in the event of a sharp decline in the value of our net assets, we would be in danger of failing to maintain required asset coverage ratios which may be required by the preferred stock and/or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60"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We have obtained, and in the future we may again obtain, the approval of our stockholders to issue shares of our common stock at prices below the then current net asset value per share of our common stock. Any such issuance could materially dilute your interest in our common stock and reduce our net asset value per share.</w:t>
      </w:r>
    </w:p>
    <w:p>
      <w:pPr>
        <w:spacing w:after="0" w:line="5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August 25, 2009 our stockholders approved a proposal that authorizes us to sell shares of our common stock below the then current net asset value per share of our common stock in one or more offerings for a period of 12 months. This proposal would allow us to access the capital markets in a way that we were previously unable to as a result of restrictions that, absent stockholder approval, apply to business development company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would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w:t>
      </w:r>
    </w:p>
    <w:p>
      <w:pPr>
        <w:spacing w:after="0" w:line="10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Because the number of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exposed to risks associated with changes in interest rates.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the fair value of our debt will have the opposite effect. This will tend to mitigate volatility in our earnings.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partners of our Investment Adviser may serve as officers, directors or principals of entities that operate in the same or a related line of business as we do or of investment funds managed by affiliates of PennantPark Investment that may be formed in the future. The Investment Adviser has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All of our investments are recorded using broker/dealers quotes, or at fair value as determined in good faith by our board of directors. We expect that most, if not all, of our investments (other than cash and cash equivalents) and credit facility borrowings will be classified as Level 3 under Statement of Financial Accounting Standards, or SFAS, 157, </w:t>
      </w:r>
      <w:r>
        <w:rPr>
          <w:rFonts w:ascii="Arial" w:cs="Arial" w:eastAsia="Arial" w:hAnsi="Arial"/>
          <w:sz w:val="16"/>
          <w:szCs w:val="16"/>
          <w:i w:val="1"/>
          <w:iCs w:val="1"/>
          <w:color w:val="auto"/>
        </w:rPr>
        <w:t>Fair Value Measurement</w:t>
      </w:r>
      <w:r>
        <w:rPr>
          <w:rFonts w:ascii="Arial" w:cs="Arial" w:eastAsia="Arial" w:hAnsi="Arial"/>
          <w:sz w:val="16"/>
          <w:szCs w:val="16"/>
          <w:color w:val="auto"/>
        </w:rPr>
        <w:t>, or collectively SFAS 157.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At June 30, 2009, most of our portfolio assets were recorded at fair value as determined in good faith by our board of directors. As we invest a greater percentage of our total assets in core assets, more of our portfolio assets will be recorded at fair value as determined in good faith by our board of directors. Our board of directors uses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United States dollar, a sharp economic downturn or an operational problem that affects third parties or us, and could materially damage our business.</w:t>
      </w:r>
    </w:p>
    <w:p>
      <w:pPr>
        <w:spacing w:after="0" w:line="21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securities and other over-the-counter traded securities has weakened as the viability of any over-the-counter secondary market depends on the continued willingness of dealers and other participants to purchase the securities. This demand has slackened under current market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will generally be subordinated to senior secured loans and will generally be unsecured. This may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5"/>
          <w:szCs w:val="15"/>
          <w:i w:val="1"/>
          <w:iCs w:val="1"/>
          <w:color w:val="auto"/>
        </w:rPr>
        <w:t xml:space="preserve">Equity Investments: </w:t>
      </w:r>
      <w:r>
        <w:rPr>
          <w:rFonts w:ascii="Arial" w:cs="Arial" w:eastAsia="Arial" w:hAnsi="Arial"/>
          <w:sz w:val="15"/>
          <w:szCs w:val="15"/>
          <w:color w:val="auto"/>
        </w:rPr>
        <w:t>We have made and expect to continue to make selected equity investments. In addition, when we invest in senior secured loans or</w:t>
      </w:r>
      <w:r>
        <w:rPr>
          <w:rFonts w:ascii="Arial" w:cs="Arial" w:eastAsia="Arial" w:hAnsi="Arial"/>
          <w:sz w:val="15"/>
          <w:szCs w:val="15"/>
          <w:i w:val="1"/>
          <w:iCs w:val="1"/>
          <w:color w:val="auto"/>
        </w:rPr>
        <w:t xml:space="preserve"> </w:t>
      </w:r>
      <w:r>
        <w:rPr>
          <w:rFonts w:ascii="Arial" w:cs="Arial" w:eastAsia="Arial" w:hAnsi="Arial"/>
          <w:sz w:val="15"/>
          <w:szCs w:val="15"/>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Accordingly, we may not be able to realize gains from our equity investments, and any gains that we do realize on the disposition of any equity investments may not be sufficient to offset any other losses we experience.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900" w:right="2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370"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60"/>
        <w:spacing w:after="0" w:line="332" w:lineRule="auto"/>
        <w:rPr>
          <w:sz w:val="20"/>
          <w:szCs w:val="20"/>
          <w:color w:val="auto"/>
        </w:rPr>
      </w:pPr>
      <w:r>
        <w:rPr>
          <w:rFonts w:ascii="Arial" w:cs="Arial" w:eastAsia="Arial" w:hAnsi="Arial"/>
          <w:sz w:val="16"/>
          <w:szCs w:val="16"/>
          <w:color w:val="auto"/>
        </w:rPr>
        <w:t>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8" w:lineRule="exact"/>
        <w:rPr>
          <w:sz w:val="20"/>
          <w:szCs w:val="20"/>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in this prospectus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120"/>
        <w:spacing w:after="0" w:line="361" w:lineRule="auto"/>
        <w:rPr>
          <w:sz w:val="20"/>
          <w:szCs w:val="20"/>
          <w:color w:val="auto"/>
        </w:rPr>
      </w:pPr>
      <w:r>
        <w:rPr>
          <w:rFonts w:ascii="Arial" w:cs="Arial" w:eastAsia="Arial" w:hAnsi="Arial"/>
          <w:sz w:val="15"/>
          <w:szCs w:val="15"/>
          <w:b w:val="1"/>
          <w:bCs w:val="1"/>
          <w:color w:val="auto"/>
        </w:rPr>
        <w:t>We are a non-diversified investment company within the meaning of the 1940 Act. The 1940 Act does not limit the proportion of our assets that may be invested in securities of a single issuer, although we are required to diversify our assets in order to meet the requirements for a RIC under the Code.</w:t>
      </w:r>
    </w:p>
    <w:p>
      <w:pPr>
        <w:ind w:right="10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As a RIC, we are required to diversify our assets, but we do not have any fixed guidelines for diversification under the 1940 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in a prolonged recession. 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1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investment adviser is entitled to incentive compensation for each fiscal quarter in an amount equal to a percentage of the excess of our investment income for that quarter (before deducting incentive compensation,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common stockholders may receive our stock as dividends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before December 31, 2009 and (3) each shareholder may elect to receive his or her entire distribution in either cash or stock of the regulated investment company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$7.10 and $7.41 as of June 30, 2009 and September 30, 2008, respectively. Our NAV was $11.72 and $10.00, as of June 30, 2009 and September 30, 2008,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primarily to reduce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June 30, 2009, we had $112.7 million unused, subject to maintenance of the applicable total assets to debt ratio of 200%, and $187.3 million in borrowings outstanding under our $300 million credit facility. Borrowings under our credit facility bear an annual interest rate equal to LIBOR + 100 basis points, per annum. At June 30, 2009, this corresponded to an interest rate of 1.31%. The credit facility is a five-year revolving facility with a stated maturity date of June 25, 2012 and is secured by substantially all of the assets in our investment portfolio.</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intend to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would expect to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 Temporary Investments” for additional information about temporary investments we may make prior to investing in core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derived the quarterly financial information below from our unaudited financial data and, in the opinion of management, such information reflects all adjustments (consisting of normal recurring adjustments) that are necessary to present fairly the results of such interim periods. Interim results as of and for the nine months ended June 30, 2009 are not necessarily indicative of the results that may be expected for the year ending September 30, 2009. The Statement of operations data, Per share data and Balance sheet data for the year ended September 30, 2008 and for the period from January 11, 2007 (Inception) through September 30, 2007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“Regulation—Senior Securities” included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5"/>
              </w:rPr>
              <w:t>Year ended</w:t>
            </w:r>
          </w:p>
        </w:tc>
        <w:tc>
          <w:tcPr>
            <w:tcW w:w="46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61"/>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20" w:type="dxa"/>
            <w:vAlign w:val="bottom"/>
          </w:tcPr>
          <w:p>
            <w:pPr>
              <w:spacing w:after="0"/>
              <w:rPr>
                <w:sz w:val="14"/>
                <w:szCs w:val="14"/>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7"/>
              </w:rPr>
              <w:t>June 30, 2009</w:t>
            </w:r>
          </w:p>
        </w:tc>
        <w:tc>
          <w:tcPr>
            <w:tcW w:w="48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4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7"/>
              </w:rPr>
              <w:t>(Unaudited)</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(Audited)</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(Audited)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33,271</w:t>
            </w:r>
          </w:p>
        </w:tc>
        <w:tc>
          <w:tcPr>
            <w:tcW w:w="620" w:type="dxa"/>
            <w:vAlign w:val="bottom"/>
          </w:tcPr>
          <w:p>
            <w:pPr>
              <w:spacing w:after="0"/>
              <w:rPr>
                <w:sz w:val="18"/>
                <w:szCs w:val="18"/>
                <w:color w:val="auto"/>
              </w:rPr>
            </w:pP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39,811</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21,676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16,570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21,255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18,556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(7,078)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(59,259)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(40,703)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0.79</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0.88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(1.93)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0.90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401,103</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419,811</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393,138</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372,148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291,017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134,058</w:t>
            </w:r>
            <w:r>
              <w:rPr>
                <w:rFonts w:ascii="Arial" w:cs="Arial" w:eastAsia="Arial" w:hAnsi="Arial"/>
                <w:sz w:val="11"/>
                <w:szCs w:val="11"/>
                <w:color w:val="auto"/>
              </w:rPr>
              <w:t>(4)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202,000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10,515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273,339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7,082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net asset value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246,977</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210,728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270,393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10.88%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(38.58)%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w:t>
            </w:r>
            <w:r>
              <w:rPr>
                <w:rFonts w:ascii="Arial" w:cs="Arial" w:eastAsia="Arial" w:hAnsi="Arial"/>
                <w:sz w:val="11"/>
                <w:szCs w:val="11"/>
                <w:color w:val="auto"/>
              </w:rPr>
              <w:t>(3)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Yield on debt portfolio (at period end)</w:t>
            </w:r>
          </w:p>
        </w:tc>
        <w:tc>
          <w:tcPr>
            <w:tcW w:w="120" w:type="dxa"/>
            <w:vAlign w:val="bottom"/>
          </w:tcPr>
          <w:p>
            <w:pPr>
              <w:spacing w:after="0"/>
              <w:rPr>
                <w:sz w:val="19"/>
                <w:szCs w:val="19"/>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10.40%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11.10%</w:t>
            </w:r>
            <w:r>
              <w:rPr>
                <w:rFonts w:ascii="Arial" w:cs="Arial" w:eastAsia="Arial" w:hAnsi="Arial"/>
                <w:sz w:val="11"/>
                <w:szCs w:val="11"/>
                <w:color w:val="auto"/>
              </w:rPr>
              <w:t>(3)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 See “Certain Relationships and Transactions-Investment Advisory Fees.”</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and takes into account dividends and distributions, if any, reinvested in accordance with our dividend reinvestment plan. Total return is not annualized.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Unaudited.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Q3</w:t>
            </w:r>
          </w:p>
        </w:tc>
        <w:tc>
          <w:tcPr>
            <w:tcW w:w="2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$10,770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$10,425</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$ 12,077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5,666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5,768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w w:val="94"/>
              </w:rPr>
              <w:t>$ (6,486)</w:t>
            </w: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$36,932</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200"/>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Arial" w:cs="Arial" w:eastAsia="Arial" w:hAnsi="Arial"/>
                <w:sz w:val="18"/>
                <w:szCs w:val="18"/>
                <w:color w:val="auto"/>
                <w:w w:val="89"/>
              </w:rPr>
              <w:t>$42,199</w:t>
            </w:r>
          </w:p>
        </w:tc>
        <w:tc>
          <w:tcPr>
            <w:tcW w:w="20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10.24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4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Q3</w:t>
            </w:r>
          </w:p>
        </w:tc>
        <w:tc>
          <w:tcPr>
            <w:tcW w:w="320" w:type="dxa"/>
            <w:vAlign w:val="bottom"/>
            <w:gridSpan w:val="3"/>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58"/>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11,431</w:t>
            </w: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9,662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9,714</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9,004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5,434</w:t>
            </w:r>
          </w:p>
        </w:tc>
        <w:tc>
          <w:tcPr>
            <w:tcW w:w="160" w:type="dxa"/>
            <w:vAlign w:val="bottom"/>
            <w:gridSpan w:val="3"/>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3,941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4,449</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4,732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(16,475)</w:t>
            </w: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6"/>
              </w:rPr>
              <w:t>$11,263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5"/>
              </w:rPr>
              <w:t>$ (37,778)</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(11,041)</w:t>
            </w: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w w:val="86"/>
              </w:rPr>
              <w:t>$15,204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w w:val="85"/>
              </w:rPr>
              <w:t>$ (33,329)</w:t>
            </w:r>
          </w:p>
        </w:tc>
        <w:tc>
          <w:tcPr>
            <w:tcW w:w="20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(0.53)</w:t>
            </w: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(1.58)</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60" w:type="dxa"/>
            <w:vAlign w:val="bottom"/>
            <w:gridSpan w:val="3"/>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12.07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7.41</w:t>
            </w: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10.02</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gridSpan w:val="2"/>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$ 5,425</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4,348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Arial" w:cs="Arial" w:eastAsia="Arial" w:hAnsi="Arial"/>
                <w:sz w:val="18"/>
                <w:szCs w:val="18"/>
                <w:color w:val="auto"/>
                <w:w w:val="93"/>
              </w:rPr>
              <w:t>$ 3,208</w:t>
            </w:r>
          </w:p>
        </w:tc>
        <w:tc>
          <w:tcPr>
            <w:tcW w:w="20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(251)</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w w:val="85"/>
              </w:rPr>
              <w:t>$ (18,870)</w:t>
            </w: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2"/>
              </w:rPr>
              <w:t>$(5,152)</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7"/>
          </w:tcPr>
          <w:p>
            <w:pPr>
              <w:jc w:val="right"/>
              <w:ind w:right="180"/>
              <w:spacing w:after="0"/>
              <w:rPr>
                <w:sz w:val="20"/>
                <w:szCs w:val="20"/>
                <w:color w:val="auto"/>
              </w:rPr>
            </w:pPr>
            <w:r>
              <w:rPr>
                <w:rFonts w:ascii="Arial" w:cs="Arial" w:eastAsia="Arial" w:hAnsi="Arial"/>
                <w:sz w:val="18"/>
                <w:szCs w:val="18"/>
                <w:color w:val="auto"/>
                <w:w w:val="85"/>
              </w:rPr>
              <w:t>$ (14,522)</w:t>
            </w:r>
          </w:p>
        </w:tc>
        <w:tc>
          <w:tcPr>
            <w:tcW w:w="180" w:type="dxa"/>
            <w:vAlign w:val="bottom"/>
          </w:tcPr>
          <w:p>
            <w:pPr>
              <w:spacing w:after="0"/>
              <w:rPr>
                <w:sz w:val="18"/>
                <w:szCs w:val="18"/>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w w:val="92"/>
              </w:rPr>
              <w:t>$(1,944)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(0.01)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Arial" w:cs="Arial" w:eastAsia="Arial" w:hAnsi="Arial"/>
                <w:sz w:val="18"/>
                <w:szCs w:val="18"/>
                <w:color w:val="auto"/>
                <w:w w:val="93"/>
              </w:rPr>
              <w:t>$ 13.74</w:t>
            </w:r>
          </w:p>
        </w:tc>
        <w:tc>
          <w:tcPr>
            <w:tcW w:w="20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$ 14.04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with a market capitalization of less than $250 million, cash, cash equivalents, U.S. government securities and high-quality debt investments that mature in one year or less.</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We are currently operating in a severely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is adversely affecting each of these factors and has resulted in broad-based reduction in the demand for, and valuation of, high-risk debt instruments. These conditions may present us with attractive investment opportunities, as we believe that there are many middle-market companies that need senior secured and mezzanine debt financing. However, these market conditions are also adversely affecting our portfolio valuations and increase the risk of default among our portfolio companies, which could negatively impact our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Although the base management fee is 2.00% of average adjusted gross total assets, the Investment Adviser agreed to waive a portion of the base management fee. As a result, the base management fee equaled 1.50% from the consummation of the initial public offering through September 30, 2007 and 1.75% from October 1, 2007 through March 31, 2008. The base management fee has been 2.00% since March 31,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7 of this prospectus rather than as a percentage of total assets. Total assets includes assets that have been funded with borrowed monies (leverage). For reference, the chart below illustrates our “Total Annual Expenses” as a percentage of total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Estimated Annual Expenses (as a Percentage of Total Assets)</w:t>
            </w: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3960" w:type="dxa"/>
            <w:vAlign w:val="bottom"/>
            <w:gridSpan w:val="3"/>
            <w:shd w:val="clear" w:color="auto" w:fill="CCEEFF"/>
          </w:tcPr>
          <w:p>
            <w:pPr>
              <w:ind w:left="3320"/>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3960" w:type="dxa"/>
            <w:vAlign w:val="bottom"/>
            <w:gridSpan w:val="3"/>
          </w:tcPr>
          <w:p>
            <w:pPr>
              <w:ind w:left="3320"/>
              <w:spacing w:after="0"/>
              <w:rPr>
                <w:sz w:val="20"/>
                <w:szCs w:val="20"/>
                <w:color w:val="auto"/>
              </w:rPr>
            </w:pPr>
            <w:r>
              <w:rPr>
                <w:rFonts w:ascii="Arial" w:cs="Arial" w:eastAsia="Arial" w:hAnsi="Arial"/>
                <w:sz w:val="18"/>
                <w:szCs w:val="18"/>
                <w:color w:val="auto"/>
                <w:w w:val="96"/>
              </w:rPr>
              <w:t>1.39%</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3960" w:type="dxa"/>
            <w:vAlign w:val="bottom"/>
            <w:gridSpan w:val="3"/>
            <w:shd w:val="clear" w:color="auto" w:fill="CCEEFF"/>
          </w:tcPr>
          <w:p>
            <w:pPr>
              <w:ind w:left="3320"/>
              <w:spacing w:after="0"/>
              <w:rPr>
                <w:sz w:val="20"/>
                <w:szCs w:val="20"/>
                <w:color w:val="auto"/>
              </w:rPr>
            </w:pPr>
            <w:r>
              <w:rPr>
                <w:rFonts w:ascii="Arial" w:cs="Arial" w:eastAsia="Arial" w:hAnsi="Arial"/>
                <w:sz w:val="18"/>
                <w:szCs w:val="18"/>
                <w:color w:val="auto"/>
                <w:w w:val="96"/>
              </w:rPr>
              <w:t>1.27%</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33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1.02%</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3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nine months ended June 30,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June 30, 2009, we had $112.7 million unused, subject to maintenance of the applicable total assets to debt ratio of 200%, and $187.3 million in borrowings outstanding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23"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Expenses” includes, among other expenses,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nine months ended June 30, 2009 annualized for a full year. See our “Consolidated Statement of Operations” in our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or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September 2006, the Financial Accounting Standards Board issued SFAS 157,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our financial position or its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No. 157 classifies the inputs used to measure these fair values into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right="4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All of our investments (other than cash and cash equivalents) and long-term credit facility are classified as Level 3.</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115</w:t>
      </w:r>
      <w:r>
        <w:rPr>
          <w:rFonts w:ascii="Arial" w:cs="Arial" w:eastAsia="Arial" w:hAnsi="Arial"/>
          <w:sz w:val="16"/>
          <w:szCs w:val="16"/>
          <w:color w:val="auto"/>
        </w:rPr>
        <w:t>. This statement permits an entity to choose to measure many financial instruments and certain other items at fair value. This statement applies to all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 For the three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months and nine months ended June 30, 2009, approximately $9.2 million was recorded as a change in unrealized appreciation and $11.4 million was recorded as a change in unrealized depreciation on the credit facility in the statement of operations, respectively.</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FSP No. 157-4 made amendments to SFAS No. 157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consolidated financial statements.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throughout the life of the loan. We record prepayment premiums on loans and debt securities as interest income. We recognize dividend income, if any, on an accrual basis to the extent that we expect to collect such amounts.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June 30, 2009, our portfolio totaled $393.1 million and consisted of $98.8 million of senior secured loans, $111.2 million of second lien secured debt, $156.0 million of subordinated debt, $10.3 million of preferred equity and $16.8 million of common equity investments. Our core assets totaled $346.3 million and consisted of investments in twenty-five different companies with an average investment size of $13.9 million per company and a weighted average yield of 11.6% on debt investments. Our non-core senior secured loan portfolio totaled $46.8 million and consisted of thirteen different companies (including one company also in our core portfolio) with an average investment size of $3.6 million and a weighted average yield of 3.3% on debt investments. Of our debt portfolio, 51% were invested in fixed-rate investments (or contained a LIBOR floor) and 49% in variable-rate investments. Overall, the portfolio had an unrealized depreciation of $59.7 million as of June 30, 2009. Our overall portfolio consisted of thirty-seven companies with an average investment size of $10.6 million and a weighted average yield on debt investments of 10.4%, and was invested 25% in senior secured loans, 28% in second lien secured debt, 40% in subordinated debt, 3% in preferred equity and 4% in common equity investments.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of September 30, 2008, our portfolio totaled $372.1 million and consisted of $78.8 million of senior secured loans, $104.2 million of second lien secured debt, $166.2 million of subordinated debt, $9.3 million of preferred equity and $13.6 million of common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on debt investments. Of our debt portfolio, 45% were invested in fixed-rate investments and 55% in variable-rate investments. Overall, our portfolio had an unrealized depreciation of $72.0 million as of September 30, 2008. Our overall portfolio consisted of thirty-seven companies with an average investment size of $10.1 million and a weighted average yield on debt investments of 11.1%, and was invested 21% in senior secured loans, 28% in second lien secured debt, 45% in subordinated debt, 2% in preferred equity and 4% in common equity investments.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September 30, 2007 our portfolio totaled $291.0 million and consisted of $57.3 million of subordinated debt, $67.8 million of second lien secured debt, $7.0 million of equity investments and $158.9 million of senior secured loans. On September 30, 2007, our core assets totaled $132.1 million and consisted of investments in eight different companies with an average investment size of $16.5 million per company and a weighted average yield of 13.0%. Our senior secured loan portfolio at September 30, 2007 totaled $158.9 million and consisted of 30 different companies with an average investment size of $5.3 million, and a weighted average yield of 7.5%. The overall portfolio had unrealized depreciation of $23.9 million due to recent erosion in the market prices of leveraged finance instruments. On September 30, 2007 our portfolio consisted of 38 companies and was invested 20% in subordinated debt, 23% in second lien secured debt, 2% in equity investments and 55% in senior secured loans.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Set forth below are our results of operations for the nine months ended June 30, 2009 and 2008; and for the year ended September 30, 2008 and for the period January 11, 2007 (inception) to September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Total investment income for the nine months ended June 30, 2009, was $33.3 million of which $13.6 million was attributable to senior secured loan investments, $10.6 million was attributable to second lien secured debt investments, and $7.4 million was attributable to subordinated debt investments. The remaining investment income was primarily attributable to interest income from short-term investments and to net accretion of discount and amortization of premium. The increase in investment income compared with the same period in the prior year is due to the growth of our portfolio, the transition of the portfolio from temporary to long-term core investments, offset by lower interest rates.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Investment income for the nine months ended June 30, 2008 was $28.4 million. Investment income for the nine months ended June 30, 2008 was primarily attributed to $11.6 million of interest income from senior secured loan investments; $10.5 million from our second lien secured debt investments; and $5.1 million from our subordinated debt investments. The remaining investment income was primarily attributed to interest income from short-term investments and to accretion of discount and amortization of premium.</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Interest income from senior secured loan investments totaled $16.2 million; $14.7 million from second lien secured debt investments; and $7.2 million from subordinated debt investments for the same period. The remaining investment income was primarily attributable to interest income from short-term investments and to net accretion of discount and amortization of premium. The increase in investment income from fiscal year 2007 to 2008 was due to the growth of our portfolio and the transition of the portfolio from temporary to long-term investments.</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Investment income totaled $13.1 million for the period January 11, 2007 (inception) through September 30, 2007. The investment income was generated primarily from senior secured loan investments which had stated interest rates between 6.9% and 8.7%, and a weighted average yield of 7.5%. Our second lien secured debt investments had stated interest rates between 11.1% and 13.3% and weighted average yield of 12.9%. Our subordinated debt investments had stated interest rates between 11.7% and 14.3% and weighted average yield of 13.1%. Our total portfolio had a weighted average yield on debt investments of 10.1%.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expenses for the nine months ended June 30, 2009 totaled $16.6 million, which consisted of a base management fee which totaled $5.5 million, performance-based incentive fees which totaled $4.2 million, credit facility related expenses which totaled $3.8 million and general and administrative expenses, which totaled $3.1 million.</w:t>
      </w:r>
    </w:p>
    <w:p>
      <w:pPr>
        <w:spacing w:after="0" w:line="140"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Net expenses for the nine months ended June 30, 2008 totaled $15.2 million. Of these totals, $4.4 million were attributable to credit facility related expenses and $3.6 million to general and administrative expenses, respectively. Net base management fee for the same period totaled $4.8 million and performance-based incentive fee totaled $2.4 million, respectively.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 in expenses from fiscal year 2007 to 2008 was due, primarily, to the growth of our portfolio and the incurrence of additional borrowing costs under our credit facility.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expenses totaled $5.8 million for the period January 11, 2007 (inception) through September 30, 2007. Of these totals, approximately $1.8 million were for interest and other credit facility related expenses for the period January 11, 2007 (inception) through September 30, 2007. In addition, of these totals, approximately $313,000 was for non-recurring, primarily, legal and corporate tax expenses for the period January 11, 2007 (inception) through September 30, 2007. General and Administrative expenses totaled $1.7 million for the period January 11, 2007 (inception) through September 30, 2007. Net investment management fee totaled $1.9 million for the period January 11, 2007 (inception) through September 30, 2007. PennantPark Investment Advisers did not receive a management or incentive fee for its services performed on our behalf prior to the completion of our initial public offering on April 24,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Net investment income totaled $16.7 million or $0.79 per share for the nine months ended June 30, 2009. Net investment income totaled $13.1 million or $0.62 per share for the nine months ended June 30, 2008.</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Net investment income totaled $18.6 million or $0.88 per share, for the fiscal year ended September 30, 2008, and $7.3 million or $0.35 per share for the period from January 11, 2007 (inception) through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Sales and repayments of long-term investments for the nine months ended June 30, 2009 totaled $12.9 million and realized losses totaled $30.8 million.</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Sales and repayments of long-term investments for the nine months ended June 30, 2008 totaled $14.4 million and net realized losses totaled approximately $621,000, respectively.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Sales and repayments of long-term investments for the fiscal year ended September 30, 2008 totaled $70.1 million and net realized losses totaled $11.2 million due to sale of senior secured loans.</w:t>
      </w:r>
    </w:p>
    <w:p>
      <w:pPr>
        <w:spacing w:after="0" w:line="13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had investment sales of senior secured loans totaling $99.6 million for the period January 11, 2007 (inception) through September 30, 2007. Net realized losses totaled approximately $82,000 for the period January 11, 2007 (inception) through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Appreciation/Depreciation on Investments, Cash Equivalents and Credit Facility</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nine months ended June 30, 2009, our investments had a net change in unrealized appreciation of $12.3 million. For the nine months ended June 30, 2009, our credit facility had a net change in unrealized depreciation of $11.4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and cash equivalents had a net (decrease) in unrealized appreciation of ($42.2) million for the nine months ended June 30, 2008.</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unrealized depreciation on investments totaled $48.1 million for the fiscal year ended September 30,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unrealized depreciation on investments totaled $23.9 million for the period January 11, 2007 (inception) through September 30,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Increase/Decrease in Net Assets from Operations</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For the nine months ended June 30, 2009 there was a net increase of $9.6 million or $0.45 per share, respectively, primarily due to an increase in investment values offset by a net decline in market value of our credit facility over the past nine months.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(decrease) in net assets resulting from operations totaled ($29.7) million or ($1.40) per share, for the nine months ended June 30, 2008, respectively.</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Net decrease in net assets resulting from operations totaled $40.7 million, or $1.93 per share, for the fiscal year ended September 30, 2008, primarily due to the overall decline in market values for investments held in our portfolio.</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net decrease in net assets resulting from operations totaled $16.7 million for the period January 11, 2007 (inception) through September 30, 2007 or $0.80 cents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June 25, 2007, we entered into a senior secured revolving credit agreement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June 30, 2009, we had outstanding borrowings of $187.3 million under our credit facility with an annual interest rate of 1.31%.</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Our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The Credit Agreement contains affirmative and restrictive covenants, including: (a) periodic financial reporting requirements, (b) maintenance of a minimum shareholders’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2" w:lineRule="exact"/>
        <w:rPr>
          <w:sz w:val="20"/>
          <w:szCs w:val="20"/>
          <w:color w:val="auto"/>
        </w:rPr>
      </w:pPr>
    </w:p>
    <w:p>
      <w:pPr>
        <w:ind w:right="120" w:firstLine="8"/>
        <w:spacing w:after="0" w:line="288" w:lineRule="auto"/>
        <w:tabs>
          <w:tab w:leader="none" w:pos="219"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PennantPark Investment’s liquidity and capital resources are also generated and available from cash flows from operations, including investment sales and repayments of senior and subordinated loans, and net investment income.</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June 30, 2009, PennantPark Investment had $187.3 million borrowings under our senior secured revolving credit facility, and $112.7 million remained available subject to maintenance of at least a 200% ratio of our total assets less liabilities other than indebtedness to our indebtedness, maintenance of a blended percentage of the values of our portfolio companies, and restrictions on certain payments and issuance of debt. In the future, PennantPark Investment may raise additional equity or debt capital through a registered offering off a shelf registration or may securitize a portion of its investments among other considerations. Equity capital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difficult to raise because, subject to some limited exceptions, we are not generally able to issue and sell our common stock at a price below net asset value per share, unless we obtain shareholder approval. In addition, debt capital, to the extent it is available under stressed credit market conditions, may be issued at a higher cost and on less favorable terms and conditions. Furthermore, if the valuations of our portfolio companies continue to fall significantly from their present values, we may suffer reduced availability under our credit facility because such availability depends on (i) our asset coverage, which generally requires that the valuation of our total assets less liabilities other than indebtedness be at least equal to 200% of our indebtedness, (ii) our maintenance of a blended percentage of the values of our portfolio companies, and (iii) restrictions on certain payments and issuance of debt. The primary use of existing funds and any funds raised in the future is expected to be for repayment of indebtedness, investments in portfolio companies, cash distributions to our shareholders or for other general corporate purposes.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Subsequent to June 30, 2009 and through the date of this report, economic conditions in the United States have continued to be weak. As a result our net asset value may decline.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June 30, 2009, we had $0.5 million in cash equivalents. During the nine months ended June 30, 2009,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cash outflow of $9.8 million for the nine months ended June 30, 2009. Our financing activities resulted in a net cash outflow of cash of $29.9 million for the same periods, primarily from repayments under our credit facility.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30, 2008, we had $40.2 million in cash equivalents. During the twelve months ended September 30, 2008,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use of cash of $390.7 million for the fiscal year ended September 30, 2008, and our financing activities resulted in a net inflow of cash of $173.0 million for the same period, primarily from borrowings under our credit facility.</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On September 30, 2007, we had $258.0 million in cash equivalents. Our operating activities resulted in a net outflow of cash equal to $37.9 million for the period from January 11, 2007 (inception) through September 30, 2007 and our financing activities resulted in a net inflow of cash of $295.8 million for the same period, primarily from the issuance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June 30, 2009 a summary of our significant contractual payment obligations for the repayment of outstanding borrowing under our credit facility maturing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Payments due by period (millions)</w:t>
            </w: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9"/>
        </w:trPr>
        <w:tc>
          <w:tcPr>
            <w:tcW w:w="4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Less than 1</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More than 5</w:t>
            </w:r>
          </w:p>
        </w:tc>
      </w:tr>
      <w:tr>
        <w:trPr>
          <w:trHeight w:val="161"/>
        </w:trPr>
        <w:tc>
          <w:tcPr>
            <w:tcW w:w="4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Total</w:t>
            </w:r>
          </w:p>
        </w:tc>
        <w:tc>
          <w:tcPr>
            <w:tcW w:w="5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1-3 years</w:t>
            </w:r>
          </w:p>
        </w:tc>
        <w:tc>
          <w:tcPr>
            <w:tcW w:w="60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3-5 years</w:t>
            </w:r>
          </w:p>
        </w:tc>
        <w:tc>
          <w:tcPr>
            <w:tcW w:w="6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1080" w:hanging="5612"/>
        <w:spacing w:after="0" w:line="440" w:lineRule="auto"/>
        <w:tabs>
          <w:tab w:leader="none" w:pos="4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June 30, 2009, $112.7 million unused under our credit facility, subject to maintenance of the applicable total assets to debt ratio of 200%. 45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On April 17, 2007 we entered an Investment Management Agreement which was renewed in February 2009 with PennantPark Investment Advisers in accordance with the 1940 Act, effective as of the completion of our initial public offering. PennantPark Investment Advisers now serves as our investment adviser in accordance with the terms of our Investment Management Agreement. Payments under our Investment Management Agreement in each reporting period is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our Administration Agreement dated April 17, 2007, which was renewed in February, 2009,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25, 2009, our common stockholders voted to allow us to issue common stock at a price below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interests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September 2006, the Financial Accounting Standards Board issued SFAS 157,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our financial position or its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115 </w:t>
      </w:r>
      <w:r>
        <w:rPr>
          <w:rFonts w:ascii="Arial" w:cs="Arial" w:eastAsia="Arial" w:hAnsi="Arial"/>
          <w:sz w:val="16"/>
          <w:szCs w:val="16"/>
          <w:color w:val="auto"/>
        </w:rPr>
        <w:t>(“SFAS 159”). This statement permits an entity to elect to measure many financial instruments and certain other items at fair value. This statement applies to</w:t>
      </w:r>
      <w:r>
        <w:rPr>
          <w:rFonts w:ascii="Arial" w:cs="Arial" w:eastAsia="Arial" w:hAnsi="Arial"/>
          <w:sz w:val="16"/>
          <w:szCs w:val="16"/>
          <w:i w:val="1"/>
          <w:iCs w:val="1"/>
          <w:color w:val="auto"/>
        </w:rPr>
        <w:t xml:space="preserve"> </w:t>
      </w:r>
      <w:r>
        <w:rPr>
          <w:rFonts w:ascii="Arial" w:cs="Arial" w:eastAsia="Arial" w:hAnsi="Arial"/>
          <w:sz w:val="16"/>
          <w:szCs w:val="16"/>
          <w:color w:val="auto"/>
        </w:rPr>
        <w:t>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of SFAS 159,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our statement of operations. We have not elected to apply SFAS 159 to any other financial assets or liabilities.</w:t>
      </w:r>
    </w:p>
    <w:p>
      <w:pPr>
        <w:spacing w:after="0" w:line="1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157-4”), which provides further clarification for the application of SFAS</w:t>
      </w:r>
      <w:r>
        <w:rPr>
          <w:rFonts w:ascii="Arial" w:cs="Arial" w:eastAsia="Arial" w:hAnsi="Arial"/>
          <w:sz w:val="16"/>
          <w:szCs w:val="16"/>
          <w:i w:val="1"/>
          <w:iCs w:val="1"/>
          <w:color w:val="auto"/>
        </w:rPr>
        <w:t xml:space="preserve"> </w:t>
      </w:r>
      <w:r>
        <w:rPr>
          <w:rFonts w:ascii="Arial" w:cs="Arial" w:eastAsia="Arial" w:hAnsi="Arial"/>
          <w:sz w:val="16"/>
          <w:szCs w:val="16"/>
          <w:color w:val="auto"/>
        </w:rPr>
        <w:t>157 in markets that are not active. Previously issued FASB Staff Position No. 157-3, Determining Fair Value of a Financial Asset When the Market for That Asset Is Not Active, has been superseded by FSP157-4. FSP 157-4 provides additional guidance for determining when the volume and trading level of activity for an asset or liability has significantly decreased and for identifying circumstances that indicate a transaction is not orderly. FSP 157-4 is effective for interim and annual reporting periods ending after June 15, 2009. We adopted the provisions of FSP 157-4 for the quarter ending June 30, 2009 and the adoption of the provisions of FSP 157-4 did not have a material effect on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order to qualify as a RIC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nine months ended June 30, 2009 and June 30, 2008 we paid to stockholders distributions of $0.72 and $0.66 per share, respectively, for a total distribution of $15.2 million and $13.9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each of the nine months ended June 30, 2009 and June 30, 2008, $1.2 million in dividend payments were reinvested in our common stock through open market purchases under our dividend reinvestment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2009</w:t>
            </w:r>
          </w:p>
        </w:tc>
        <w:tc>
          <w:tcPr>
            <w:tcW w:w="3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9"/>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$0.00107 per share is a tax return of capital</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Assuming that the balance sheet as of June 30, 2009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Information about our senior securities is shown in the following table as of September 30, 2007, September 30, 2008 and June 30, 2009. The information for September 30, 2007 and September 30, 2008 has been derived from our financial statements which have been audited by KPMG LLP.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Involuntary</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83"/>
              </w:rPr>
              <w:t>Asset</w:t>
            </w:r>
          </w:p>
        </w:tc>
        <w:tc>
          <w:tcPr>
            <w:tcW w:w="600" w:type="dxa"/>
            <w:vAlign w:val="bottom"/>
          </w:tcPr>
          <w:p>
            <w:pPr>
              <w:spacing w:after="0"/>
              <w:rPr>
                <w:sz w:val="12"/>
                <w:szCs w:val="12"/>
                <w:color w:val="auto"/>
              </w:rPr>
            </w:pPr>
          </w:p>
        </w:tc>
        <w:tc>
          <w:tcPr>
            <w:tcW w:w="13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0"/>
              </w:rPr>
              <w:t>Liquidating</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Total Amount</w:t>
            </w:r>
          </w:p>
        </w:tc>
        <w:tc>
          <w:tcPr>
            <w:tcW w:w="30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87"/>
              </w:rPr>
              <w:t>Coverage</w:t>
            </w:r>
          </w:p>
        </w:tc>
        <w:tc>
          <w:tcPr>
            <w:tcW w:w="600" w:type="dxa"/>
            <w:vAlign w:val="bottom"/>
          </w:tcPr>
          <w:p>
            <w:pPr>
              <w:spacing w:after="0"/>
              <w:rPr>
                <w:sz w:val="11"/>
                <w:szCs w:val="11"/>
                <w:color w:val="auto"/>
              </w:rPr>
            </w:pPr>
          </w:p>
        </w:tc>
        <w:tc>
          <w:tcPr>
            <w:tcW w:w="13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Preference</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4"/>
              </w:rPr>
              <w:t>Value Per</w:t>
            </w:r>
          </w:p>
        </w:tc>
        <w:tc>
          <w:tcPr>
            <w:tcW w:w="0" w:type="dxa"/>
            <w:vAlign w:val="bottom"/>
          </w:tcPr>
          <w:p>
            <w:pPr>
              <w:spacing w:after="0"/>
              <w:rPr>
                <w:sz w:val="1"/>
                <w:szCs w:val="1"/>
                <w:color w:val="auto"/>
              </w:rPr>
            </w:pPr>
          </w:p>
        </w:tc>
      </w:tr>
      <w:tr>
        <w:trPr>
          <w:trHeight w:val="176"/>
        </w:trPr>
        <w:tc>
          <w:tcPr>
            <w:tcW w:w="682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18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Outstanding</w:t>
            </w:r>
            <w:r>
              <w:rPr>
                <w:rFonts w:ascii="Arial" w:cs="Arial" w:eastAsia="Arial" w:hAnsi="Arial"/>
                <w:sz w:val="20"/>
                <w:szCs w:val="20"/>
                <w:b w:val="1"/>
                <w:bCs w:val="1"/>
                <w:color w:val="auto"/>
                <w:vertAlign w:val="superscript"/>
              </w:rPr>
              <w:t>(1)</w:t>
            </w:r>
          </w:p>
        </w:tc>
        <w:tc>
          <w:tcPr>
            <w:tcW w:w="300" w:type="dxa"/>
            <w:vAlign w:val="bottom"/>
          </w:tcPr>
          <w:p>
            <w:pPr>
              <w:spacing w:after="0"/>
              <w:rPr>
                <w:sz w:val="15"/>
                <w:szCs w:val="15"/>
                <w:color w:val="auto"/>
              </w:rPr>
            </w:pPr>
          </w:p>
        </w:tc>
        <w:tc>
          <w:tcPr>
            <w:tcW w:w="62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1"/>
              </w:rPr>
              <w:t>per Unit</w:t>
            </w:r>
            <w:r>
              <w:rPr>
                <w:rFonts w:ascii="Arial" w:cs="Arial" w:eastAsia="Arial" w:hAnsi="Arial"/>
                <w:sz w:val="20"/>
                <w:szCs w:val="20"/>
                <w:b w:val="1"/>
                <w:bCs w:val="1"/>
                <w:color w:val="auto"/>
                <w:w w:val="91"/>
                <w:vertAlign w:val="superscript"/>
              </w:rPr>
              <w:t>(2)</w:t>
            </w:r>
          </w:p>
        </w:tc>
        <w:tc>
          <w:tcPr>
            <w:tcW w:w="600" w:type="dxa"/>
            <w:vAlign w:val="bottom"/>
          </w:tcPr>
          <w:p>
            <w:pPr>
              <w:spacing w:after="0"/>
              <w:rPr>
                <w:sz w:val="15"/>
                <w:szCs w:val="15"/>
                <w:color w:val="auto"/>
              </w:rPr>
            </w:pPr>
          </w:p>
        </w:tc>
        <w:tc>
          <w:tcPr>
            <w:tcW w:w="1340" w:type="dxa"/>
            <w:vAlign w:val="bottom"/>
            <w:gridSpan w:val="2"/>
          </w:tcPr>
          <w:p>
            <w:pPr>
              <w:ind w:left="40"/>
              <w:spacing w:after="0" w:line="176" w:lineRule="exact"/>
              <w:rPr>
                <w:sz w:val="20"/>
                <w:szCs w:val="20"/>
                <w:color w:val="auto"/>
              </w:rPr>
            </w:pPr>
            <w:r>
              <w:rPr>
                <w:rFonts w:ascii="Arial" w:cs="Arial" w:eastAsia="Arial" w:hAnsi="Arial"/>
                <w:sz w:val="13"/>
                <w:szCs w:val="13"/>
                <w:b w:val="1"/>
                <w:bCs w:val="1"/>
                <w:color w:val="auto"/>
              </w:rPr>
              <w:t>Per Unit</w:t>
            </w:r>
            <w:r>
              <w:rPr>
                <w:rFonts w:ascii="Arial" w:cs="Arial" w:eastAsia="Arial" w:hAnsi="Arial"/>
                <w:sz w:val="20"/>
                <w:szCs w:val="20"/>
                <w:b w:val="1"/>
                <w:bCs w:val="1"/>
                <w:color w:val="auto"/>
                <w:vertAlign w:val="superscript"/>
              </w:rPr>
              <w:t>(3)</w:t>
            </w:r>
          </w:p>
        </w:tc>
        <w:tc>
          <w:tcPr>
            <w:tcW w:w="5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Unit</w:t>
            </w:r>
            <w:r>
              <w:rPr>
                <w:rFonts w:ascii="Arial" w:cs="Arial" w:eastAsia="Arial" w:hAnsi="Arial"/>
                <w:sz w:val="20"/>
                <w:szCs w:val="20"/>
                <w:b w:val="1"/>
                <w:bCs w:val="1"/>
                <w:color w:val="auto"/>
                <w:w w:val="91"/>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2009</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(as of June 30, 2009, unaudited)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187,300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2,034</w:t>
            </w:r>
          </w:p>
        </w:tc>
        <w:tc>
          <w:tcPr>
            <w:tcW w:w="6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2008</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2007</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(as of September 30, 2007)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28,039</w:t>
            </w:r>
          </w:p>
        </w:tc>
        <w:tc>
          <w:tcPr>
            <w:tcW w:w="6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7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August 31, 2009, the last reported closing price of our common stock was $8.35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restart"/>
          </w:tcPr>
          <w:p>
            <w:pPr>
              <w:jc w:val="right"/>
              <w:ind w:right="54"/>
              <w:spacing w:after="0"/>
              <w:rPr>
                <w:sz w:val="20"/>
                <w:szCs w:val="20"/>
                <w:color w:val="auto"/>
              </w:rPr>
            </w:pPr>
            <w:r>
              <w:rPr>
                <w:rFonts w:ascii="Arial" w:cs="Arial" w:eastAsia="Arial" w:hAnsi="Arial"/>
                <w:sz w:val="14"/>
                <w:szCs w:val="14"/>
                <w:b w:val="1"/>
                <w:bCs w:val="1"/>
                <w:color w:val="auto"/>
                <w:w w:val="93"/>
              </w:rPr>
              <w:t>Closing Sales Price</w:t>
            </w:r>
          </w:p>
        </w:tc>
        <w:tc>
          <w:tcPr>
            <w:tcW w:w="40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High Sales</w:t>
            </w: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9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Borders>
              <w:bottom w:val="single" w:sz="8" w:color="auto"/>
            </w:tcBorders>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gridSpan w:val="2"/>
            <w:vMerge w:val="restart"/>
          </w:tcPr>
          <w:p>
            <w:pPr>
              <w:jc w:val="center"/>
              <w:ind w:right="62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6"/>
                <w:szCs w:val="6"/>
                <w:color w:val="auto"/>
              </w:rPr>
            </w:pPr>
          </w:p>
        </w:tc>
        <w:tc>
          <w:tcPr>
            <w:tcW w:w="5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gridSpan w:val="2"/>
            <w:vMerge w:val="restart"/>
          </w:tcPr>
          <w:p>
            <w:pPr>
              <w:jc w:val="right"/>
              <w:ind w:right="240"/>
              <w:spacing w:after="0" w:line="209" w:lineRule="exact"/>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5"/>
                <w:szCs w:val="15"/>
                <w:color w:val="auto"/>
              </w:rPr>
            </w:pPr>
          </w:p>
        </w:tc>
        <w:tc>
          <w:tcPr>
            <w:tcW w:w="1220" w:type="dxa"/>
            <w:vAlign w:val="bottom"/>
            <w:gridSpan w:val="2"/>
          </w:tcPr>
          <w:p>
            <w:pPr>
              <w:jc w:val="center"/>
              <w:ind w:right="620"/>
              <w:spacing w:after="0" w:line="176" w:lineRule="exact"/>
              <w:rPr>
                <w:sz w:val="20"/>
                <w:szCs w:val="20"/>
                <w:color w:val="auto"/>
              </w:rPr>
            </w:pPr>
            <w:r>
              <w:rPr>
                <w:rFonts w:ascii="Arial" w:cs="Arial" w:eastAsia="Arial" w:hAnsi="Arial"/>
                <w:sz w:val="13"/>
                <w:szCs w:val="13"/>
                <w:b w:val="1"/>
                <w:bCs w:val="1"/>
                <w:color w:val="auto"/>
                <w:w w:val="91"/>
              </w:rPr>
              <w:t>NAV</w:t>
            </w:r>
            <w:r>
              <w:rPr>
                <w:rFonts w:ascii="Arial" w:cs="Arial" w:eastAsia="Arial" w:hAnsi="Arial"/>
                <w:sz w:val="20"/>
                <w:szCs w:val="20"/>
                <w:b w:val="1"/>
                <w:bCs w:val="1"/>
                <w:color w:val="auto"/>
                <w:w w:val="91"/>
                <w:vertAlign w:val="superscript"/>
              </w:rPr>
              <w:t>(2)</w:t>
            </w:r>
          </w:p>
        </w:tc>
        <w:tc>
          <w:tcPr>
            <w:tcW w:w="960" w:type="dxa"/>
            <w:vAlign w:val="bottom"/>
            <w:gridSpan w:val="2"/>
          </w:tcPr>
          <w:p>
            <w:pPr>
              <w:jc w:val="center"/>
              <w:ind w:right="380"/>
              <w:spacing w:after="0" w:line="176" w:lineRule="exact"/>
              <w:rPr>
                <w:sz w:val="20"/>
                <w:szCs w:val="20"/>
                <w:color w:val="auto"/>
              </w:rPr>
            </w:pPr>
            <w:r>
              <w:rPr>
                <w:rFonts w:ascii="Arial" w:cs="Arial" w:eastAsia="Arial" w:hAnsi="Arial"/>
                <w:sz w:val="13"/>
                <w:szCs w:val="13"/>
                <w:b w:val="1"/>
                <w:bCs w:val="1"/>
                <w:color w:val="auto"/>
                <w:w w:val="95"/>
              </w:rPr>
              <w:t>NAV</w:t>
            </w:r>
            <w:r>
              <w:rPr>
                <w:rFonts w:ascii="Arial" w:cs="Arial" w:eastAsia="Arial" w:hAnsi="Arial"/>
                <w:sz w:val="20"/>
                <w:szCs w:val="20"/>
                <w:b w:val="1"/>
                <w:bCs w:val="1"/>
                <w:color w:val="auto"/>
                <w:w w:val="95"/>
                <w:vertAlign w:val="superscript"/>
              </w:rPr>
              <w:t>(2)</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2009</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Fourth quarter (through August 31, 2009)</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 N/A</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$ 8.99</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$ 6.28</w:t>
            </w:r>
          </w:p>
        </w:tc>
        <w:tc>
          <w:tcPr>
            <w:tcW w:w="4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11.72</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12.00</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34</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10.77</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80</w:t>
            </w: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10.26</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12.07</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120</w:t>
            </w: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12.83</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115</w:t>
            </w: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13.74</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77" w:lineRule="exact"/>
        <w:rPr>
          <w:sz w:val="20"/>
          <w:szCs w:val="20"/>
          <w:color w:val="auto"/>
        </w:rPr>
      </w:pPr>
    </w:p>
    <w:p>
      <w:pPr>
        <w:ind w:left="460" w:hanging="408"/>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2009</w:t>
            </w:r>
          </w:p>
        </w:tc>
        <w:tc>
          <w:tcPr>
            <w:tcW w:w="3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9"/>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 $0.00107 per share is a tax return of capital</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elected to be taxed as a RIC under Subchapter M of the Internal Revenue Code of 1986. To maintain our RIC status, we must distribute at least 90% of our ordinary income and realized net short-term capital gains in excess of realized net long-term capital losses, if any, out of the assets legally available for distribution. In order to avoid certain excise taxes we must distribute during each calendar year an amount at least equal to the sum of (1) 98% of our ordinary income for the calendar year, (2) 98% of our capital gains in excess of capital losses for the one-year period ending on October 31st and (3) any ordinary income and net capital gains for preceding years that were not distributed during such years. In addition, although we currently intend to distribute realized net capital gains (i.e., realized net long-term capital gains in excess of realized net short-term capital losses), if any, at least annually, out of the assets legally available for such distributions, we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may in the future decide to retain such capital gains for investment. In such event, the consequences of our retention of net capital gains are as described under “Material U.S. Federal Income Tax Considerations.”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under the 1940 Act.</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 In this prospectus, we use the term “middle-market” to refer to companies with annual revenues between $50 million and $1 billion.</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level of our investment activity in our core assets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will continue to use, the proceeds of our public offerings of securities and of our credit facility in accordance with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our Investment Adviser. Under our Investment Management Agreement, we have agreed to pay our Investment Adviser an annual base management fee based on our average adjusted gross total assets as well as an incentive fee based on our investment performance. See “Certain Relationships and Transactions— Investment Management Agreement.”</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utilize the investing experience and contacts of Arthur H. Penn, the founder of PennantPark Investment Corporation and PennantPark Investment Advisers, as well as the other investment professionals of the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in which Mr. Penn was the Chief Operating Officer, Apollo Investment Corporation raised approximately $930 million of gross proceeds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an initial public offering in April 2004 and raised an additional $308 million in a follow-on offering of public equity in March 2006. Mr. Penn supervised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negotiation and execution of a senior secured credit facility with a syndicate of banks which, as amended, provided for borrowings up to $2.0 billion.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Penn’s tenure with Apollo Investment Corporation, it invested approximately $2.8 billion in 73 companies in partnership with 54 different financial sponsors.</w:t>
      </w:r>
    </w:p>
    <w:p>
      <w:pPr>
        <w:spacing w:after="0" w:line="18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his more than 20-year career in the financial services industry, Mr. Penn has developed a network of financial sponsor relationships as well as relationships with management teams, investment bankers, attorneys and accountants provide us with access to substantial investment opportunities.</w:t>
      </w:r>
    </w:p>
    <w:p>
      <w:pPr>
        <w:spacing w:after="0" w:line="8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who are also partners. These professionals, Geoffrey Chang, Salvatore Giannetti III and Whit Williams, have a combined 48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from March 2000 to November 2001. Mr. Williams was an officer at UBS Investment Bank from 1996 to March 2007, most recently as a Managing Director in its Leveraged Finance and Financial Sponsors Group.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who is also a Managing Director of the Administrator, has extensive experience in finance, operations, and administration of registered investment companies. Guy Talarico, who serves as our Chief Compliance Officer, has over 20 years of regulatory compliance and securities law experience in the financial services industry, having served with various organizations in the areas of equity and fixed-income portfolio management, money market trading and custody.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“Risk Factors—Risks Related to our Business and Structure.”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325"/>
        <w:spacing w:after="0" w:line="25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120" w:hanging="325"/>
        <w:spacing w:after="0" w:line="29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60" w:hanging="325"/>
        <w:spacing w:after="0" w:line="301"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diligence is designed to ensure that each prospective portfolio company will be able to meet its debt service obligations. See “Business-Investment Process-Investment Selection Criteria” and “Business-Investment Process-Due Diligence.”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expect that the in-depth coverage and experience of our Investment Adviser, will enable us to invest throughout various stages of the economic cycle and will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use the industry information available to our Investment Adviser to assess investment risks and determine appropriate pricing for our investments in portfolio companies. We benefit from the relationships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maintain a five-year, multi-currency $300 million senior secured credit facility with a group of lenders, under which we had $202.0 million (including a $40.0 million temporary draw) and $187.3 million of indebtedness outstanding at September 30, 2008 and June 30, 2009, respectively. We believe that our substantial debt capital resources will provide us with the flexibility to take advantage of market opportunities when they arise.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Structurally, mezzanine debt (which includes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We, through our Investment Adviser, conduct a rigorous due diligence process that is applied to 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Chang, Giannetti and Williams, subject to final approval by Mr. Penn. As our Investment Adviser adds senior investment professionals, our Investment Adviser may add them to its investment committee. The members of our investment committee receive no compensation from us. These members are employees of our Investment Adviser and receive compensation from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mezzanine debt and senior secured loan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 hold most of our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460" w:right="240" w:firstLine="443"/>
        <w:spacing w:after="0" w:line="268" w:lineRule="auto"/>
        <w:tabs>
          <w:tab w:leader="none" w:pos="10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100" w:hanging="197"/>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0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460" w:right="120" w:firstLine="443"/>
        <w:spacing w:after="0" w:line="332" w:lineRule="auto"/>
        <w:tabs>
          <w:tab w:leader="none" w:pos="108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460" w:right="160" w:firstLine="443"/>
        <w:spacing w:after="0" w:line="268" w:lineRule="auto"/>
        <w:tabs>
          <w:tab w:leader="none" w:pos="10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September 2006, the Financial Accounting Standards Board issued SFAS 157,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our financial position or its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ind w:left="240" w:right="60" w:firstLine="223"/>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240" w:right="20" w:firstLine="223"/>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All of our investments (other than cash and cash equivalents) and long-term credit facility are classified as Level 3.</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115</w:t>
      </w:r>
      <w:r>
        <w:rPr>
          <w:rFonts w:ascii="Arial" w:cs="Arial" w:eastAsia="Arial" w:hAnsi="Arial"/>
          <w:sz w:val="16"/>
          <w:szCs w:val="16"/>
          <w:color w:val="auto"/>
        </w:rPr>
        <w:t>. This statement permits an entity to choose to measure many financial instruments and certain other items at fair value. This statement applies to all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 For the three months and nine months ended June 30, 2009, approximately $9.2 million was recorded as a change in unrealized appreciation and $11.4 million was recorded as a change in unrealized depreciation on the credit facility in the statement of operations, respectively.</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FSP No. 157-4 made amendments to SFAS No. 157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consolidated financial statements.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When we make investments that involve deferrals of interest payable to us, any increase in the value of the investment due to the accrual or receipt of payment of interest is allocated to the increase in the cost basis of the investment, rather than to capital appreciation or gain.</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provides such managerial assistance on our behalf to portfolio companies, if requested. We have not received any fees for such services since inception.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do not currently have any employees. Mr. Penn, our Chief Executive Officer, is the Managing Member of our Investment Adviser. Our Investment Adviser currently has four senior investment professionals, Messrs. Chang, Giannetti, Penn and Williams. In addition, Mr. Efrat, our Chief Financial Officer and Treasurer, is a Managing Director of our Administrator, and Mr. Guy Talarico is our Chief Compliance Officer. Our Administrator and our Investment Adviser have hired and expect to continue to hire professionals with skills applicable to our business plan, including experience in middle-market investing, leveraged finance and capital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and senior secured loans to U.S. middle-market companies in a variety of industries. We generally seek to target companies that generate positive cash flows from the broad variety of industries in which our Investment Adviser has direct expertise. The following is a representative list of the industries in which we have invested: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20"/>
              <w:spacing w:after="0"/>
              <w:rPr>
                <w:sz w:val="20"/>
                <w:szCs w:val="20"/>
                <w:color w:val="auto"/>
              </w:rPr>
            </w:pPr>
            <w:r>
              <w:rPr>
                <w:rFonts w:ascii="Arial" w:cs="Arial" w:eastAsia="Arial" w:hAnsi="Arial"/>
                <w:sz w:val="18"/>
                <w:szCs w:val="18"/>
                <w:color w:val="auto"/>
              </w:rPr>
              <w:t>Aerospace &amp; Defense</w:t>
            </w:r>
          </w:p>
        </w:tc>
        <w:tc>
          <w:tcPr>
            <w:tcW w:w="1820" w:type="dxa"/>
            <w:vAlign w:val="bottom"/>
          </w:tcPr>
          <w:p>
            <w:pPr>
              <w:ind w:left="1640"/>
              <w:spacing w:after="0"/>
              <w:rPr>
                <w:sz w:val="20"/>
                <w:szCs w:val="20"/>
                <w:color w:val="auto"/>
              </w:rPr>
            </w:pPr>
            <w:r>
              <w:rPr>
                <w:rFonts w:ascii="Arial" w:cs="Arial" w:eastAsia="Arial" w:hAnsi="Arial"/>
                <w:sz w:val="18"/>
                <w:szCs w:val="18"/>
                <w:color w:val="auto"/>
              </w:rPr>
              <w:t>•</w:t>
            </w:r>
          </w:p>
        </w:tc>
        <w:tc>
          <w:tcPr>
            <w:tcW w:w="4640" w:type="dxa"/>
            <w:vAlign w:val="bottom"/>
          </w:tcPr>
          <w:p>
            <w:pPr>
              <w:ind w:left="120"/>
              <w:spacing w:after="0"/>
              <w:rPr>
                <w:sz w:val="20"/>
                <w:szCs w:val="20"/>
                <w:color w:val="auto"/>
              </w:rPr>
            </w:pPr>
            <w:r>
              <w:rPr>
                <w:rFonts w:ascii="Arial" w:cs="Arial" w:eastAsia="Arial" w:hAnsi="Arial"/>
                <w:sz w:val="18"/>
                <w:szCs w:val="18"/>
                <w:color w:val="auto"/>
                <w:w w:val="89"/>
              </w:rPr>
              <w:t>Home &amp; Office Furnishings, Housewares, &amp; Durable Consumer</w:t>
            </w:r>
          </w:p>
        </w:tc>
        <w:tc>
          <w:tcPr>
            <w:tcW w:w="0" w:type="dxa"/>
            <w:vAlign w:val="bottom"/>
          </w:tcPr>
          <w:p>
            <w:pPr>
              <w:spacing w:after="0"/>
              <w:rPr>
                <w:sz w:val="1"/>
                <w:szCs w:val="1"/>
                <w:color w:val="auto"/>
              </w:rPr>
            </w:pPr>
          </w:p>
        </w:tc>
      </w:tr>
      <w:tr>
        <w:trPr>
          <w:trHeight w:val="222"/>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Auto Sector</w:t>
            </w:r>
          </w:p>
        </w:tc>
        <w:tc>
          <w:tcPr>
            <w:tcW w:w="18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Insurance</w:t>
            </w:r>
          </w:p>
        </w:tc>
        <w:tc>
          <w:tcPr>
            <w:tcW w:w="0" w:type="dxa"/>
            <w:vAlign w:val="bottom"/>
          </w:tcPr>
          <w:p>
            <w:pPr>
              <w:spacing w:after="0"/>
              <w:rPr>
                <w:sz w:val="1"/>
                <w:szCs w:val="1"/>
                <w:color w:val="auto"/>
              </w:rPr>
            </w:pPr>
          </w:p>
        </w:tc>
      </w:tr>
      <w:tr>
        <w:trPr>
          <w:trHeight w:val="216"/>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   Buildings &amp; Real Estate</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180" w:type="dxa"/>
            <w:vAlign w:val="bottom"/>
            <w:gridSpan w:val="2"/>
            <w:vMerge w:val="continue"/>
          </w:tcPr>
          <w:p>
            <w:pPr>
              <w:spacing w:after="0"/>
              <w:rPr>
                <w:sz w:val="7"/>
                <w:szCs w:val="7"/>
                <w:color w:val="auto"/>
              </w:rPr>
            </w:pPr>
          </w:p>
        </w:tc>
        <w:tc>
          <w:tcPr>
            <w:tcW w:w="6460" w:type="dxa"/>
            <w:vAlign w:val="bottom"/>
            <w:gridSpan w:val="2"/>
            <w:vMerge w:val="restart"/>
          </w:tcPr>
          <w:p>
            <w:pPr>
              <w:ind w:left="1640"/>
              <w:spacing w:after="0"/>
              <w:rPr>
                <w:sz w:val="20"/>
                <w:szCs w:val="20"/>
                <w:color w:val="auto"/>
              </w:rPr>
            </w:pPr>
            <w:r>
              <w:rPr>
                <w:rFonts w:ascii="Arial" w:cs="Arial" w:eastAsia="Arial" w:hAnsi="Arial"/>
                <w:sz w:val="18"/>
                <w:szCs w:val="18"/>
                <w:color w:val="auto"/>
              </w:rPr>
              <w:t>•   Leisure, Amusement, Motion Pictures, Entertainment</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Business Services</w:t>
            </w:r>
          </w:p>
        </w:tc>
        <w:tc>
          <w:tcPr>
            <w:tcW w:w="6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Manufacturing/Basic Industry</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Cargo Transport</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Oil &amp; Gas</w:t>
            </w:r>
          </w:p>
        </w:tc>
        <w:tc>
          <w:tcPr>
            <w:tcW w:w="0" w:type="dxa"/>
            <w:vAlign w:val="bottom"/>
          </w:tcPr>
          <w:p>
            <w:pPr>
              <w:spacing w:after="0"/>
              <w:rPr>
                <w:sz w:val="1"/>
                <w:szCs w:val="1"/>
                <w:color w:val="auto"/>
              </w:rPr>
            </w:pPr>
          </w:p>
        </w:tc>
      </w:tr>
      <w:tr>
        <w:trPr>
          <w:trHeight w:val="216"/>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   Chemicals, Plastics and Rubber</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180" w:type="dxa"/>
            <w:vAlign w:val="bottom"/>
            <w:gridSpan w:val="2"/>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Other Media</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Consumer Products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Printing</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Distribution</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Retail</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Education</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Retail Store</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Energy/Utilities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Environmental Services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Financial Services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760" w:hanging="293"/>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Healthcare, Education &amp; Childcare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Listed below are our top ten portfolio companies and industries represented as a percentage of net assets as of:</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6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60" w:type="dxa"/>
            <w:vAlign w:val="bottom"/>
            <w:gridSpan w:val="3"/>
            <w:vMerge w:val="restart"/>
          </w:tcPr>
          <w:p>
            <w:pPr>
              <w:jc w:val="center"/>
              <w:ind w:left="534"/>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21"/>
        </w:trPr>
        <w:tc>
          <w:tcPr>
            <w:tcW w:w="4780" w:type="dxa"/>
            <w:vAlign w:val="bottom"/>
            <w:gridSpan w:val="3"/>
            <w:vMerge w:val="restart"/>
            <w:shd w:val="clear" w:color="auto" w:fill="CCEEFF"/>
          </w:tcPr>
          <w:p>
            <w:pPr>
              <w:ind w:left="20"/>
              <w:spacing w:after="0" w:line="182" w:lineRule="exact"/>
              <w:rPr>
                <w:sz w:val="20"/>
                <w:szCs w:val="20"/>
                <w:color w:val="auto"/>
              </w:rPr>
            </w:pPr>
            <w:r>
              <w:rPr>
                <w:rFonts w:ascii="Arial" w:cs="Arial" w:eastAsia="Arial" w:hAnsi="Arial"/>
                <w:sz w:val="18"/>
                <w:szCs w:val="18"/>
                <w:color w:val="auto"/>
              </w:rPr>
              <w:t>i2 Holdings Ltd.</w:t>
            </w:r>
          </w:p>
        </w:tc>
        <w:tc>
          <w:tcPr>
            <w:tcW w:w="700" w:type="dxa"/>
            <w:vAlign w:val="bottom"/>
            <w:gridSpan w:val="2"/>
            <w:vMerge w:val="restart"/>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12%</w:t>
            </w: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Portfolio Company</w:t>
            </w:r>
          </w:p>
        </w:tc>
        <w:tc>
          <w:tcPr>
            <w:tcW w:w="2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80" w:type="dxa"/>
            <w:vAlign w:val="bottom"/>
            <w:tcBorders>
              <w:top w:val="single" w:sz="8" w:color="CCEEFF"/>
            </w:tcBorders>
            <w:gridSpan w:val="3"/>
          </w:tcPr>
          <w:p>
            <w:pPr>
              <w:ind w:left="20"/>
              <w:spacing w:after="0" w:line="189" w:lineRule="exact"/>
              <w:rPr>
                <w:sz w:val="20"/>
                <w:szCs w:val="20"/>
                <w:color w:val="auto"/>
              </w:rPr>
            </w:pPr>
            <w:r>
              <w:rPr>
                <w:rFonts w:ascii="Arial" w:cs="Arial" w:eastAsia="Arial" w:hAnsi="Arial"/>
                <w:sz w:val="18"/>
                <w:szCs w:val="18"/>
                <w:color w:val="auto"/>
              </w:rPr>
              <w:t>CT Technologies Intermediate Holdings, Inc.</w:t>
            </w:r>
          </w:p>
        </w:tc>
        <w:tc>
          <w:tcPr>
            <w:tcW w:w="700" w:type="dxa"/>
            <w:vAlign w:val="bottom"/>
            <w:tcBorders>
              <w:top w:val="single" w:sz="8" w:color="CCEEFF"/>
            </w:tcBorders>
            <w:gridSpan w:val="2"/>
          </w:tcPr>
          <w:p>
            <w:pPr>
              <w:jc w:val="right"/>
              <w:ind w:right="60"/>
              <w:spacing w:after="0" w:line="189"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36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i2 Holdings Ltd.</w:t>
            </w:r>
          </w:p>
        </w:tc>
        <w:tc>
          <w:tcPr>
            <w:tcW w:w="1860" w:type="dxa"/>
            <w:vAlign w:val="bottom"/>
            <w:tcBorders>
              <w:top w:val="single" w:sz="8" w:color="CCEEFF"/>
            </w:tcBorders>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UP Acquisition Sub Inc.</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UP Acquisitions Sub Inc.</w:t>
            </w:r>
          </w:p>
        </w:tc>
        <w:tc>
          <w:tcPr>
            <w:tcW w:w="18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8"/>
        </w:trPr>
        <w:tc>
          <w:tcPr>
            <w:tcW w:w="4780" w:type="dxa"/>
            <w:vAlign w:val="bottom"/>
            <w:gridSpan w:val="3"/>
          </w:tcPr>
          <w:p>
            <w:pPr>
              <w:ind w:left="20"/>
              <w:spacing w:after="0" w:line="188" w:lineRule="exact"/>
              <w:rPr>
                <w:sz w:val="20"/>
                <w:szCs w:val="20"/>
                <w:color w:val="auto"/>
              </w:rPr>
            </w:pPr>
            <w:r>
              <w:rPr>
                <w:rFonts w:ascii="Arial" w:cs="Arial" w:eastAsia="Arial" w:hAnsi="Arial"/>
                <w:sz w:val="18"/>
                <w:szCs w:val="18"/>
                <w:color w:val="auto"/>
              </w:rPr>
              <w:t>Brand Energy and Infrastucture Services, Inc.</w:t>
            </w:r>
          </w:p>
        </w:tc>
        <w:tc>
          <w:tcPr>
            <w:tcW w:w="700" w:type="dxa"/>
            <w:vAlign w:val="bottom"/>
            <w:gridSpan w:val="2"/>
          </w:tcPr>
          <w:p>
            <w:pPr>
              <w:jc w:val="right"/>
              <w:ind w:right="60"/>
              <w:spacing w:after="0" w:line="188"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6"/>
                <w:szCs w:val="16"/>
                <w:color w:val="auto"/>
              </w:rPr>
            </w:pPr>
          </w:p>
        </w:tc>
        <w:tc>
          <w:tcPr>
            <w:tcW w:w="362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color w:val="auto"/>
              </w:rPr>
              <w:t>Brand Energy and Infrastructure</w:t>
            </w: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20" w:type="dxa"/>
            <w:vAlign w:val="bottom"/>
            <w:gridSpan w:val="3"/>
            <w:vMerge w:val="restart"/>
            <w:shd w:val="clear" w:color="auto" w:fill="CCEEFF"/>
          </w:tcPr>
          <w:p>
            <w:pPr>
              <w:ind w:left="220"/>
              <w:spacing w:after="0"/>
              <w:rPr>
                <w:sz w:val="20"/>
                <w:szCs w:val="20"/>
                <w:color w:val="auto"/>
              </w:rPr>
            </w:pPr>
            <w:r>
              <w:rPr>
                <w:rFonts w:ascii="Arial" w:cs="Arial" w:eastAsia="Arial" w:hAnsi="Arial"/>
                <w:sz w:val="18"/>
                <w:szCs w:val="18"/>
                <w:color w:val="auto"/>
              </w:rPr>
              <w:t>Services, Inc.</w:t>
            </w:r>
          </w:p>
        </w:tc>
        <w:tc>
          <w:tcPr>
            <w:tcW w:w="1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03"/>
        </w:trPr>
        <w:tc>
          <w:tcPr>
            <w:tcW w:w="478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TZ Merger Sub, Inc.</w:t>
            </w:r>
          </w:p>
        </w:tc>
        <w:tc>
          <w:tcPr>
            <w:tcW w:w="700" w:type="dxa"/>
            <w:vAlign w:val="bottom"/>
            <w:tcBorders>
              <w:bottom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340" w:type="dxa"/>
            <w:vAlign w:val="bottom"/>
            <w:vMerge w:val="continue"/>
          </w:tcPr>
          <w:p>
            <w:pPr>
              <w:spacing w:after="0"/>
              <w:rPr>
                <w:sz w:val="17"/>
                <w:szCs w:val="17"/>
                <w:color w:val="auto"/>
              </w:rPr>
            </w:pPr>
          </w:p>
        </w:tc>
        <w:tc>
          <w:tcPr>
            <w:tcW w:w="3620" w:type="dxa"/>
            <w:vAlign w:val="bottom"/>
            <w:gridSpan w:val="3"/>
            <w:vMerge w:val="continue"/>
            <w:shd w:val="clear" w:color="auto" w:fill="CCEEFF"/>
          </w:tcPr>
          <w:p>
            <w:pPr>
              <w:spacing w:after="0"/>
              <w:rPr>
                <w:sz w:val="17"/>
                <w:szCs w:val="17"/>
                <w:color w:val="auto"/>
              </w:rPr>
            </w:pPr>
          </w:p>
        </w:tc>
        <w:tc>
          <w:tcPr>
            <w:tcW w:w="18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80" w:type="dxa"/>
            <w:vAlign w:val="bottom"/>
            <w:gridSpan w:val="3"/>
          </w:tcPr>
          <w:p>
            <w:pPr>
              <w:ind w:left="20"/>
              <w:spacing w:after="0" w:line="188" w:lineRule="exact"/>
              <w:rPr>
                <w:sz w:val="20"/>
                <w:szCs w:val="20"/>
                <w:color w:val="auto"/>
              </w:rPr>
            </w:pPr>
            <w:r>
              <w:rPr>
                <w:rFonts w:ascii="Arial" w:cs="Arial" w:eastAsia="Arial" w:hAnsi="Arial"/>
                <w:sz w:val="18"/>
                <w:szCs w:val="18"/>
                <w:color w:val="auto"/>
              </w:rPr>
              <w:t>Specialized Technology Resources, Inc.</w:t>
            </w:r>
          </w:p>
        </w:tc>
        <w:tc>
          <w:tcPr>
            <w:tcW w:w="700" w:type="dxa"/>
            <w:vAlign w:val="bottom"/>
            <w:gridSpan w:val="2"/>
          </w:tcPr>
          <w:p>
            <w:pPr>
              <w:jc w:val="right"/>
              <w:ind w:right="60"/>
              <w:spacing w:after="0" w:line="188"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6"/>
                <w:szCs w:val="16"/>
                <w:color w:val="auto"/>
              </w:rPr>
            </w:pPr>
          </w:p>
        </w:tc>
        <w:tc>
          <w:tcPr>
            <w:tcW w:w="3620" w:type="dxa"/>
            <w:vAlign w:val="bottom"/>
            <w:gridSpan w:val="3"/>
          </w:tcPr>
          <w:p>
            <w:pPr>
              <w:spacing w:after="0" w:line="188" w:lineRule="exact"/>
              <w:rPr>
                <w:sz w:val="20"/>
                <w:szCs w:val="20"/>
                <w:color w:val="auto"/>
              </w:rPr>
            </w:pPr>
            <w:r>
              <w:rPr>
                <w:rFonts w:ascii="Arial" w:cs="Arial" w:eastAsia="Arial" w:hAnsi="Arial"/>
                <w:sz w:val="18"/>
                <w:szCs w:val="18"/>
                <w:color w:val="auto"/>
              </w:rPr>
              <w:t>CT Technologies Intermediate</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20" w:type="dxa"/>
            <w:vAlign w:val="bottom"/>
            <w:gridSpan w:val="3"/>
            <w:vMerge w:val="restart"/>
          </w:tcPr>
          <w:p>
            <w:pPr>
              <w:ind w:left="220"/>
              <w:spacing w:after="0"/>
              <w:rPr>
                <w:sz w:val="20"/>
                <w:szCs w:val="20"/>
                <w:color w:val="auto"/>
              </w:rPr>
            </w:pPr>
            <w:r>
              <w:rPr>
                <w:rFonts w:ascii="Arial" w:cs="Arial" w:eastAsia="Arial" w:hAnsi="Arial"/>
                <w:sz w:val="18"/>
                <w:szCs w:val="18"/>
                <w:color w:val="auto"/>
              </w:rPr>
              <w:t>Holdings, Inc.</w:t>
            </w:r>
          </w:p>
        </w:tc>
        <w:tc>
          <w:tcPr>
            <w:tcW w:w="18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03"/>
        </w:trPr>
        <w:tc>
          <w:tcPr>
            <w:tcW w:w="478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IDQ Holdings, Inc.</w:t>
            </w:r>
          </w:p>
        </w:tc>
        <w:tc>
          <w:tcPr>
            <w:tcW w:w="700" w:type="dxa"/>
            <w:vAlign w:val="bottom"/>
            <w:tcBorders>
              <w:bottom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340" w:type="dxa"/>
            <w:vAlign w:val="bottom"/>
            <w:vMerge w:val="continue"/>
          </w:tcPr>
          <w:p>
            <w:pPr>
              <w:spacing w:after="0"/>
              <w:rPr>
                <w:sz w:val="17"/>
                <w:szCs w:val="17"/>
                <w:color w:val="auto"/>
              </w:rPr>
            </w:pPr>
          </w:p>
        </w:tc>
        <w:tc>
          <w:tcPr>
            <w:tcW w:w="3620" w:type="dxa"/>
            <w:vAlign w:val="bottom"/>
            <w:tcBorders>
              <w:bottom w:val="single" w:sz="8" w:color="CCEEFF"/>
            </w:tcBorders>
            <w:gridSpan w:val="3"/>
            <w:vMerge w:val="continue"/>
          </w:tcPr>
          <w:p>
            <w:pPr>
              <w:spacing w:after="0"/>
              <w:rPr>
                <w:sz w:val="17"/>
                <w:szCs w:val="17"/>
                <w:color w:val="auto"/>
              </w:rPr>
            </w:pPr>
          </w:p>
        </w:tc>
        <w:tc>
          <w:tcPr>
            <w:tcW w:w="1860" w:type="dxa"/>
            <w:vAlign w:val="bottom"/>
            <w:tcBorders>
              <w:bottom w:val="single" w:sz="8" w:color="CCEEFF"/>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Affinion Group Holdings, Inc.</w:t>
            </w:r>
          </w:p>
        </w:tc>
        <w:tc>
          <w:tcPr>
            <w:tcW w:w="7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w:t>
            </w:r>
          </w:p>
        </w:tc>
        <w:tc>
          <w:tcPr>
            <w:tcW w:w="340" w:type="dxa"/>
            <w:vAlign w:val="bottom"/>
          </w:tcPr>
          <w:p>
            <w:pPr>
              <w:spacing w:after="0"/>
              <w:rPr>
                <w:sz w:val="17"/>
                <w:szCs w:val="17"/>
                <w:color w:val="auto"/>
              </w:rPr>
            </w:pPr>
          </w:p>
        </w:tc>
        <w:tc>
          <w:tcPr>
            <w:tcW w:w="36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TZ Merger Sub, Inc.</w:t>
            </w:r>
          </w:p>
        </w:tc>
        <w:tc>
          <w:tcPr>
            <w:tcW w:w="186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Lyondell Chemical Co.</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IDQ Holdings, Inc.</w:t>
            </w:r>
          </w:p>
        </w:tc>
        <w:tc>
          <w:tcPr>
            <w:tcW w:w="18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7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Sheridan Holdings, Inc.</w:t>
            </w:r>
          </w:p>
        </w:tc>
        <w:tc>
          <w:tcPr>
            <w:tcW w:w="7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36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Specialized Technology Resources, Inc.</w:t>
            </w:r>
          </w:p>
        </w:tc>
        <w:tc>
          <w:tcPr>
            <w:tcW w:w="186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Affinion Group Holdings, Inc.</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TransFirst Holdings, Inc.</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6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4240" w:type="dxa"/>
            <w:vAlign w:val="bottom"/>
            <w:gridSpan w:val="2"/>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1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Chemicals, Plastics and Rubber</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Media</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Aerospace &amp; Defense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Aerospace &amp; Defense</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Healthcare, Education &amp; Childcare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Oil &amp; Gas</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Consumer Products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Healthcare, Education &amp; Childcare</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Insurance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Insurance</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Auto Sector</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 Sector</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Other Media</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We may also co-invest in the future on a concurrent basis with affiliates of PennantPark Investment,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24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June 30, 2009.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 For additional information see “Schedule of Investments” in our June 30, 2009 financial statements included elsewhere in this prospectus.</w:t>
      </w:r>
    </w:p>
    <w:p>
      <w:pPr>
        <w:spacing w:after="0" w:line="14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more than 25% of the outstanding voting securities of such portfolio company and, therefore, are presumed to be controlled by us under the 1940 Act; “companies owned 5% to 25%” which represent portfolio companies where we directly or indirectly own 5% to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are pledged as collateral under our credit facility. As of June 30, 2009, we held no voting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176"/>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880" w:type="dxa"/>
            <w:vAlign w:val="bottom"/>
          </w:tcPr>
          <w:p>
            <w:pPr>
              <w:spacing w:after="0"/>
              <w:rPr>
                <w:sz w:val="15"/>
                <w:szCs w:val="15"/>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3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32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201"/>
        </w:trPr>
        <w:tc>
          <w:tcPr>
            <w:tcW w:w="44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None</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 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 M</w:t>
            </w:r>
            <w:r>
              <w:rPr>
                <w:rFonts w:ascii="Arial" w:cs="Arial" w:eastAsia="Arial" w:hAnsi="Arial"/>
                <w:sz w:val="14"/>
                <w:szCs w:val="14"/>
                <w:color w:val="auto"/>
              </w:rPr>
              <w:t>OTION</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96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3080" w:type="dxa"/>
            <w:vAlign w:val="bottom"/>
          </w:tcPr>
          <w:p>
            <w:pPr>
              <w:jc w:val="center"/>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ICTURES</w:t>
            </w:r>
            <w:r>
              <w:rPr>
                <w:rFonts w:ascii="Arial" w:cs="Arial" w:eastAsia="Arial" w:hAnsi="Arial"/>
                <w:sz w:val="18"/>
                <w:szCs w:val="18"/>
                <w:color w:val="auto"/>
                <w:w w:val="99"/>
              </w:rPr>
              <w:t>, E</w:t>
            </w:r>
            <w:r>
              <w:rPr>
                <w:rFonts w:ascii="Arial" w:cs="Arial" w:eastAsia="Arial" w:hAnsi="Arial"/>
                <w:sz w:val="14"/>
                <w:szCs w:val="14"/>
                <w:color w:val="auto"/>
                <w:w w:val="99"/>
              </w:rPr>
              <w:t>NTERTAINMENT</w:t>
            </w:r>
          </w:p>
        </w:tc>
        <w:tc>
          <w:tcPr>
            <w:tcW w:w="3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1-800 C</w:t>
            </w:r>
            <w:r>
              <w:rPr>
                <w:rFonts w:ascii="Arial" w:cs="Arial" w:eastAsia="Arial" w:hAnsi="Arial"/>
                <w:sz w:val="14"/>
                <w:szCs w:val="14"/>
                <w:color w:val="auto"/>
              </w:rPr>
              <w:t>ONTACTS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ISTRIBUTION</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66 E. W</w:t>
            </w:r>
            <w:r>
              <w:rPr>
                <w:rFonts w:ascii="Arial" w:cs="Arial" w:eastAsia="Arial" w:hAnsi="Arial"/>
                <w:sz w:val="14"/>
                <w:szCs w:val="14"/>
                <w:color w:val="auto"/>
              </w:rPr>
              <w:t>ADSWORTH</w:t>
            </w:r>
            <w:r>
              <w:rPr>
                <w:rFonts w:ascii="Arial" w:cs="Arial" w:eastAsia="Arial" w:hAnsi="Arial"/>
                <w:sz w:val="18"/>
                <w:szCs w:val="18"/>
                <w:color w:val="auto"/>
              </w:rPr>
              <w:t xml:space="preserve"> P</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RD</w:t>
            </w:r>
            <w:r>
              <w:rPr>
                <w:rFonts w:ascii="Arial" w:cs="Arial" w:eastAsia="Arial" w:hAnsi="Arial"/>
                <w:sz w:val="18"/>
                <w:szCs w:val="18"/>
                <w:color w:val="auto"/>
              </w:rPr>
              <w:t xml:space="preserve"> F</w:t>
            </w:r>
            <w:r>
              <w:rPr>
                <w:rFonts w:ascii="Arial" w:cs="Arial" w:eastAsia="Arial" w:hAnsi="Arial"/>
                <w:sz w:val="14"/>
                <w:szCs w:val="14"/>
                <w:color w:val="auto"/>
              </w:rPr>
              <w:t>L</w:t>
            </w:r>
            <w:r>
              <w:rPr>
                <w:rFonts w:ascii="Arial" w:cs="Arial" w:eastAsia="Arial" w:hAnsi="Arial"/>
                <w:sz w:val="18"/>
                <w:szCs w:val="18"/>
                <w:color w:val="auto"/>
              </w:rPr>
              <w:t>.</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RAPER</w:t>
            </w:r>
            <w:r>
              <w:rPr>
                <w:rFonts w:ascii="Arial" w:cs="Arial" w:eastAsia="Arial" w:hAnsi="Arial"/>
                <w:sz w:val="18"/>
                <w:szCs w:val="18"/>
                <w:color w:val="auto"/>
              </w:rPr>
              <w:t>, UT 84020</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80" w:type="dxa"/>
            <w:vAlign w:val="bottom"/>
          </w:tcPr>
          <w:p>
            <w:pPr>
              <w:jc w:val="right"/>
              <w:ind w:right="1615"/>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37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Name and Address of Portfolio</w:t>
            </w:r>
          </w:p>
        </w:tc>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840" w:type="dxa"/>
            <w:vAlign w:val="bottom"/>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0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c>
          <w:tcPr>
            <w:tcW w:w="140" w:type="dxa"/>
            <w:vAlign w:val="bottom"/>
          </w:tcPr>
          <w:p>
            <w:pPr>
              <w:spacing w:after="0"/>
              <w:rPr>
                <w:sz w:val="15"/>
                <w:szCs w:val="15"/>
                <w:color w:val="auto"/>
              </w:rPr>
            </w:pPr>
          </w:p>
        </w:tc>
      </w:tr>
      <w:tr>
        <w:trPr>
          <w:trHeight w:val="201"/>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3040" w:type="dxa"/>
            <w:vAlign w:val="bottom"/>
          </w:tcPr>
          <w:p>
            <w:pPr>
              <w:jc w:val="center"/>
              <w:spacing w:after="0" w:line="201" w:lineRule="exact"/>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420" w:type="dxa"/>
            <w:vAlign w:val="bottom"/>
          </w:tcPr>
          <w:p>
            <w:pPr>
              <w:spacing w:after="0"/>
              <w:rPr>
                <w:sz w:val="17"/>
                <w:szCs w:val="17"/>
                <w:color w:val="auto"/>
              </w:rPr>
            </w:pPr>
          </w:p>
        </w:tc>
        <w:tc>
          <w:tcPr>
            <w:tcW w:w="296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16"/>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1830 R</w:t>
            </w:r>
            <w:r>
              <w:rPr>
                <w:rFonts w:ascii="Arial" w:cs="Arial" w:eastAsia="Arial" w:hAnsi="Arial"/>
                <w:sz w:val="14"/>
                <w:szCs w:val="14"/>
                <w:color w:val="auto"/>
              </w:rPr>
              <w:t>T</w:t>
            </w:r>
            <w:r>
              <w:rPr>
                <w:rFonts w:ascii="Arial" w:cs="Arial" w:eastAsia="Arial" w:hAnsi="Arial"/>
                <w:sz w:val="18"/>
                <w:szCs w:val="18"/>
                <w:color w:val="auto"/>
              </w:rPr>
              <w:t>. 130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NJ 08016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CT T</w:t>
            </w:r>
            <w:r>
              <w:rPr>
                <w:rFonts w:ascii="Arial" w:cs="Arial" w:eastAsia="Arial" w:hAnsi="Arial"/>
                <w:sz w:val="14"/>
                <w:szCs w:val="14"/>
                <w:color w:val="auto"/>
              </w:rPr>
              <w:t>ECHNOLOGIES</w:t>
            </w:r>
            <w:r>
              <w:rPr>
                <w:rFonts w:ascii="Arial" w:cs="Arial" w:eastAsia="Arial" w:hAnsi="Arial"/>
                <w:sz w:val="18"/>
                <w:szCs w:val="18"/>
                <w:color w:val="auto"/>
              </w:rPr>
              <w:t xml:space="preserve"> I</w:t>
            </w:r>
            <w:r>
              <w:rPr>
                <w:rFonts w:ascii="Arial" w:cs="Arial" w:eastAsia="Arial" w:hAnsi="Arial"/>
                <w:sz w:val="14"/>
                <w:szCs w:val="14"/>
                <w:color w:val="auto"/>
              </w:rPr>
              <w:t>NTERMEDIATE</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875 N</w:t>
            </w:r>
            <w:r>
              <w:rPr>
                <w:rFonts w:ascii="Arial" w:cs="Arial" w:eastAsia="Arial" w:hAnsi="Arial"/>
                <w:sz w:val="14"/>
                <w:szCs w:val="14"/>
                <w:color w:val="auto"/>
              </w:rPr>
              <w:t>ORTH</w:t>
            </w:r>
            <w:r>
              <w:rPr>
                <w:rFonts w:ascii="Arial" w:cs="Arial" w:eastAsia="Arial" w:hAnsi="Arial"/>
                <w:sz w:val="18"/>
                <w:szCs w:val="18"/>
                <w:color w:val="auto"/>
              </w:rPr>
              <w:t xml:space="preserve"> M</w:t>
            </w:r>
            <w:r>
              <w:rPr>
                <w:rFonts w:ascii="Arial" w:cs="Arial" w:eastAsia="Arial" w:hAnsi="Arial"/>
                <w:sz w:val="14"/>
                <w:szCs w:val="14"/>
                <w:color w:val="auto"/>
              </w:rPr>
              <w:t>ICHIGAN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HICAGO</w:t>
            </w:r>
            <w:r>
              <w:rPr>
                <w:rFonts w:ascii="Arial" w:cs="Arial" w:eastAsia="Arial" w:hAnsi="Arial"/>
                <w:sz w:val="18"/>
                <w:szCs w:val="18"/>
                <w:color w:val="auto"/>
              </w:rPr>
              <w:t xml:space="preserve"> IL 60601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4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EROSPACE</w:t>
            </w:r>
            <w:r>
              <w:rPr>
                <w:rFonts w:ascii="Arial" w:cs="Arial" w:eastAsia="Arial" w:hAnsi="Arial"/>
                <w:sz w:val="18"/>
                <w:szCs w:val="18"/>
                <w:color w:val="auto"/>
                <w:w w:val="96"/>
              </w:rPr>
              <w:t xml:space="preserve"> &amp; D</w:t>
            </w:r>
            <w:r>
              <w:rPr>
                <w:rFonts w:ascii="Arial" w:cs="Arial" w:eastAsia="Arial" w:hAnsi="Arial"/>
                <w:sz w:val="14"/>
                <w:szCs w:val="14"/>
                <w:color w:val="auto"/>
                <w:w w:val="96"/>
              </w:rPr>
              <w:t>EFENSE</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Common Equity</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IGICEL</w:t>
            </w:r>
            <w:r>
              <w:rPr>
                <w:rFonts w:ascii="Arial" w:cs="Arial" w:eastAsia="Arial" w:hAnsi="Arial"/>
                <w:sz w:val="18"/>
                <w:szCs w:val="18"/>
                <w:color w:val="auto"/>
              </w:rPr>
              <w:t xml:space="preserve"> L</w:t>
            </w:r>
            <w:r>
              <w:rPr>
                <w:rFonts w:ascii="Arial" w:cs="Arial" w:eastAsia="Arial" w:hAnsi="Arial"/>
                <w:sz w:val="14"/>
                <w:szCs w:val="14"/>
                <w:color w:val="auto"/>
              </w:rPr>
              <w:t>TD</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YOLL</w:t>
            </w:r>
            <w:r>
              <w:rPr>
                <w:rFonts w:ascii="Arial" w:cs="Arial" w:eastAsia="Arial" w:hAnsi="Arial"/>
                <w:sz w:val="18"/>
                <w:szCs w:val="18"/>
                <w:color w:val="auto"/>
              </w:rPr>
              <w:t xml:space="preserve"> B</w:t>
            </w:r>
            <w:r>
              <w:rPr>
                <w:rFonts w:ascii="Arial" w:cs="Arial" w:eastAsia="Arial" w:hAnsi="Arial"/>
                <w:sz w:val="14"/>
                <w:szCs w:val="14"/>
                <w:color w:val="auto"/>
              </w:rPr>
              <w:t>UILDING</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40 K</w:t>
            </w:r>
            <w:r>
              <w:rPr>
                <w:rFonts w:ascii="Arial" w:cs="Arial" w:eastAsia="Arial" w:hAnsi="Arial"/>
                <w:sz w:val="14"/>
                <w:szCs w:val="14"/>
                <w:color w:val="auto"/>
              </w:rPr>
              <w:t>NUTSFORD</w:t>
            </w:r>
            <w:r>
              <w:rPr>
                <w:rFonts w:ascii="Arial" w:cs="Arial" w:eastAsia="Arial" w:hAnsi="Arial"/>
                <w:sz w:val="18"/>
                <w:szCs w:val="18"/>
                <w:color w:val="auto"/>
              </w:rPr>
              <w:t xml:space="preserve"> B</w:t>
            </w:r>
            <w:r>
              <w:rPr>
                <w:rFonts w:ascii="Arial" w:cs="Arial" w:eastAsia="Arial" w:hAnsi="Arial"/>
                <w:sz w:val="14"/>
                <w:szCs w:val="14"/>
                <w:color w:val="auto"/>
              </w:rPr>
              <w:t>OULEVARD</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INGSTON</w:t>
            </w:r>
            <w:r>
              <w:rPr>
                <w:rFonts w:ascii="Arial" w:cs="Arial" w:eastAsia="Arial" w:hAnsi="Arial"/>
                <w:sz w:val="18"/>
                <w:szCs w:val="18"/>
                <w:color w:val="auto"/>
              </w:rPr>
              <w:t xml:space="preserve"> 5,</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AMAICA</w:t>
            </w:r>
            <w:r>
              <w:rPr>
                <w:rFonts w:ascii="Arial" w:cs="Arial" w:eastAsia="Arial" w:hAnsi="Arial"/>
                <w:sz w:val="18"/>
                <w:szCs w:val="18"/>
                <w:color w:val="auto"/>
              </w:rPr>
              <w:t>, W.I.</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w:t>
            </w:r>
            <w:r>
              <w:rPr>
                <w:rFonts w:ascii="Arial" w:cs="Arial" w:eastAsia="Arial" w:hAnsi="Arial"/>
                <w:sz w:val="18"/>
                <w:szCs w:val="18"/>
                <w:color w:val="auto"/>
              </w:rPr>
              <w:t>S</w:t>
            </w:r>
            <w:r>
              <w:rPr>
                <w:rFonts w:ascii="Arial" w:cs="Arial" w:eastAsia="Arial" w:hAnsi="Arial"/>
                <w:sz w:val="14"/>
                <w:szCs w:val="14"/>
                <w:color w:val="auto"/>
              </w:rPr>
              <w:t>OLUTIONS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NVIRONMENTAL</w:t>
            </w:r>
            <w:r>
              <w:rPr>
                <w:rFonts w:ascii="Arial" w:cs="Arial" w:eastAsia="Arial" w:hAnsi="Arial"/>
                <w:sz w:val="18"/>
                <w:szCs w:val="18"/>
                <w:color w:val="auto"/>
              </w:rPr>
              <w:t xml:space="preserve"> S</w:t>
            </w:r>
            <w:r>
              <w:rPr>
                <w:rFonts w:ascii="Arial" w:cs="Arial" w:eastAsia="Arial" w:hAnsi="Arial"/>
                <w:sz w:val="14"/>
                <w:szCs w:val="14"/>
                <w:color w:val="auto"/>
              </w:rPr>
              <w:t>ERVICES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11220 A</w:t>
            </w:r>
            <w:r>
              <w:rPr>
                <w:rFonts w:ascii="Arial" w:cs="Arial" w:eastAsia="Arial" w:hAnsi="Arial"/>
                <w:sz w:val="14"/>
                <w:szCs w:val="14"/>
                <w:color w:val="auto"/>
              </w:rPr>
              <w:t>SSET</w:t>
            </w:r>
            <w:r>
              <w:rPr>
                <w:rFonts w:ascii="Arial" w:cs="Arial" w:eastAsia="Arial" w:hAnsi="Arial"/>
                <w:sz w:val="18"/>
                <w:szCs w:val="18"/>
                <w:color w:val="auto"/>
              </w:rPr>
              <w:t xml:space="preserve"> L</w:t>
            </w:r>
            <w:r>
              <w:rPr>
                <w:rFonts w:ascii="Arial" w:cs="Arial" w:eastAsia="Arial" w:hAnsi="Arial"/>
                <w:sz w:val="14"/>
                <w:szCs w:val="14"/>
                <w:color w:val="auto"/>
              </w:rPr>
              <w:t>OOP</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201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ANASSAS</w:t>
            </w:r>
            <w:r>
              <w:rPr>
                <w:rFonts w:ascii="Arial" w:cs="Arial" w:eastAsia="Arial" w:hAnsi="Arial"/>
                <w:sz w:val="18"/>
                <w:szCs w:val="18"/>
                <w:color w:val="auto"/>
              </w:rPr>
              <w:t>, VA 20109</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L.L.C</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w:t>
            </w:r>
            <w:r>
              <w:rPr>
                <w:rFonts w:ascii="Arial" w:cs="Arial" w:eastAsia="Arial" w:hAnsi="Arial"/>
                <w:sz w:val="18"/>
                <w:szCs w:val="18"/>
                <w:color w:val="auto"/>
              </w:rPr>
              <w:t>. 300S</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TX 75251-1803</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D</w:t>
            </w:r>
            <w:r>
              <w:rPr>
                <w:rFonts w:ascii="Arial" w:cs="Arial" w:eastAsia="Arial" w:hAnsi="Arial"/>
                <w:sz w:val="14"/>
                <w:szCs w:val="14"/>
                <w:color w:val="auto"/>
              </w:rPr>
              <w:t>ALLAS</w:t>
            </w:r>
            <w:r>
              <w:rPr>
                <w:rFonts w:ascii="Arial" w:cs="Arial" w:eastAsia="Arial" w:hAnsi="Arial"/>
                <w:sz w:val="18"/>
                <w:szCs w:val="18"/>
                <w:color w:val="auto"/>
              </w:rPr>
              <w:t>, TX 75251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30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600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04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tcPr>
          <w:p>
            <w:pPr>
              <w:jc w:val="right"/>
              <w:ind w:right="894"/>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3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Name and Address of Portfolio</w:t>
            </w:r>
          </w:p>
        </w:tc>
        <w:tc>
          <w:tcPr>
            <w:tcW w:w="3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76"/>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83"/>
              </w:rPr>
              <w:t>Nature of Business</w:t>
            </w:r>
          </w:p>
        </w:tc>
        <w:tc>
          <w:tcPr>
            <w:tcW w:w="42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4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i2 H</w:t>
            </w:r>
            <w:r>
              <w:rPr>
                <w:rFonts w:ascii="Arial" w:cs="Arial" w:eastAsia="Arial" w:hAnsi="Arial"/>
                <w:sz w:val="14"/>
                <w:szCs w:val="14"/>
                <w:color w:val="auto"/>
              </w:rPr>
              <w:t>OLDINGS</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tc>
        <w:tc>
          <w:tcPr>
            <w:tcW w:w="1980" w:type="dxa"/>
            <w:vAlign w:val="bottom"/>
          </w:tcPr>
          <w:p>
            <w:pPr>
              <w:spacing w:after="0"/>
              <w:rPr>
                <w:sz w:val="17"/>
                <w:szCs w:val="17"/>
                <w:color w:val="auto"/>
              </w:rPr>
            </w:pPr>
          </w:p>
        </w:tc>
        <w:tc>
          <w:tcPr>
            <w:tcW w:w="3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w:t>
            </w:r>
            <w:r>
              <w:rPr>
                <w:rFonts w:ascii="Arial" w:cs="Arial" w:eastAsia="Arial" w:hAnsi="Arial"/>
                <w:sz w:val="14"/>
                <w:szCs w:val="14"/>
                <w:color w:val="auto"/>
                <w:w w:val="97"/>
              </w:rPr>
              <w:t>DEFENSE</w:t>
            </w:r>
          </w:p>
        </w:tc>
        <w:tc>
          <w:tcPr>
            <w:tcW w:w="420" w:type="dxa"/>
            <w:vAlign w:val="bottom"/>
          </w:tcPr>
          <w:p>
            <w:pPr>
              <w:spacing w:after="0"/>
              <w:rPr>
                <w:sz w:val="17"/>
                <w:szCs w:val="17"/>
                <w:color w:val="auto"/>
              </w:rPr>
            </w:pPr>
          </w:p>
        </w:tc>
        <w:tc>
          <w:tcPr>
            <w:tcW w:w="3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42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3.9%</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V</w:t>
            </w:r>
            <w:r>
              <w:rPr>
                <w:rFonts w:ascii="Arial" w:cs="Arial" w:eastAsia="Arial" w:hAnsi="Arial"/>
                <w:sz w:val="14"/>
                <w:szCs w:val="14"/>
                <w:color w:val="auto"/>
              </w:rPr>
              <w:t>ISUAL</w:t>
            </w:r>
            <w:r>
              <w:rPr>
                <w:rFonts w:ascii="Arial" w:cs="Arial" w:eastAsia="Arial" w:hAnsi="Arial"/>
                <w:sz w:val="18"/>
                <w:szCs w:val="18"/>
                <w:color w:val="auto"/>
              </w:rPr>
              <w:t xml:space="preserve"> S</w:t>
            </w:r>
            <w:r>
              <w:rPr>
                <w:rFonts w:ascii="Arial" w:cs="Arial" w:eastAsia="Arial" w:hAnsi="Arial"/>
                <w:sz w:val="14"/>
                <w:szCs w:val="14"/>
                <w:color w:val="auto"/>
              </w:rPr>
              <w:t>PACE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ULBOURN</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AMBRIDGESHIRE</w:t>
            </w:r>
            <w:r>
              <w:rPr>
                <w:rFonts w:ascii="Arial" w:cs="Arial" w:eastAsia="Arial" w:hAnsi="Arial"/>
                <w:sz w:val="18"/>
                <w:szCs w:val="18"/>
                <w:color w:val="auto"/>
              </w:rPr>
              <w:t>, CB215XH</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INGDOM</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w:t>
            </w:r>
            <w:r>
              <w:rPr>
                <w:rFonts w:ascii="Arial" w:cs="Arial" w:eastAsia="Arial" w:hAnsi="Arial"/>
                <w:sz w:val="14"/>
                <w:szCs w:val="14"/>
                <w:color w:val="auto"/>
              </w:rPr>
              <w:t>EST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0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(U.S.)</w:t>
            </w:r>
          </w:p>
        </w:tc>
        <w:tc>
          <w:tcPr>
            <w:tcW w:w="30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21333 H</w:t>
            </w:r>
            <w:r>
              <w:rPr>
                <w:rFonts w:ascii="Arial" w:cs="Arial" w:eastAsia="Arial" w:hAnsi="Arial"/>
                <w:sz w:val="14"/>
                <w:szCs w:val="14"/>
                <w:color w:val="auto"/>
              </w:rPr>
              <w:t>AGGERTY</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OVI</w:t>
            </w:r>
            <w:r>
              <w:rPr>
                <w:rFonts w:ascii="Arial" w:cs="Arial" w:eastAsia="Arial" w:hAnsi="Arial"/>
                <w:sz w:val="18"/>
                <w:szCs w:val="18"/>
                <w:color w:val="auto"/>
              </w:rPr>
              <w:t>, M</w:t>
            </w:r>
            <w:r>
              <w:rPr>
                <w:rFonts w:ascii="Arial" w:cs="Arial" w:eastAsia="Arial" w:hAnsi="Arial"/>
                <w:sz w:val="14"/>
                <w:szCs w:val="14"/>
                <w:color w:val="auto"/>
              </w:rPr>
              <w:t>ICHIGAN</w:t>
            </w:r>
            <w:r>
              <w:rPr>
                <w:rFonts w:ascii="Arial" w:cs="Arial" w:eastAsia="Arial" w:hAnsi="Arial"/>
                <w:sz w:val="18"/>
                <w:szCs w:val="18"/>
                <w:color w:val="auto"/>
              </w:rPr>
              <w:t xml:space="preserve"> 48375</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3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 xml:space="preserve">O </w:t>
            </w:r>
            <w:r>
              <w:rPr>
                <w:rFonts w:ascii="Arial" w:cs="Arial" w:eastAsia="Arial" w:hAnsi="Arial"/>
                <w:sz w:val="17"/>
                <w:szCs w:val="17"/>
                <w:color w:val="auto"/>
              </w:rPr>
              <w:t>H</w:t>
            </w:r>
            <w:r>
              <w:rPr>
                <w:rFonts w:ascii="Arial" w:cs="Arial" w:eastAsia="Arial" w:hAnsi="Arial"/>
                <w:sz w:val="15"/>
                <w:szCs w:val="15"/>
                <w:color w:val="auto"/>
              </w:rPr>
              <w:t xml:space="preserve">ARVEST </w:t>
            </w:r>
            <w:r>
              <w:rPr>
                <w:rFonts w:ascii="Arial" w:cs="Arial" w:eastAsia="Arial" w:hAnsi="Arial"/>
                <w:sz w:val="17"/>
                <w:szCs w:val="17"/>
                <w:color w:val="auto"/>
              </w:rPr>
              <w:t>P</w:t>
            </w:r>
            <w:r>
              <w:rPr>
                <w:rFonts w:ascii="Arial" w:cs="Arial" w:eastAsia="Arial" w:hAnsi="Arial"/>
                <w:sz w:val="15"/>
                <w:szCs w:val="15"/>
                <w:color w:val="auto"/>
              </w:rPr>
              <w:t>ARTNERS</w:t>
            </w:r>
            <w:r>
              <w:rPr>
                <w:rFonts w:ascii="Arial" w:cs="Arial" w:eastAsia="Arial" w:hAnsi="Arial"/>
                <w:sz w:val="17"/>
                <w:szCs w:val="17"/>
                <w:color w:val="auto"/>
              </w:rPr>
              <w:t>, I</w:t>
            </w:r>
            <w:r>
              <w:rPr>
                <w:rFonts w:ascii="Arial" w:cs="Arial" w:eastAsia="Arial" w:hAnsi="Arial"/>
                <w:sz w:val="15"/>
                <w:szCs w:val="15"/>
                <w:color w:val="auto"/>
              </w:rPr>
              <w:t>NC</w:t>
            </w:r>
            <w:r>
              <w:rPr>
                <w:rFonts w:ascii="Arial" w:cs="Arial" w:eastAsia="Arial" w:hAnsi="Arial"/>
                <w:sz w:val="17"/>
                <w:szCs w:val="17"/>
                <w:color w:val="auto"/>
              </w:rPr>
              <w: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280 P</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10017</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 xml:space="preserve"> C</w:t>
            </w:r>
            <w:r>
              <w:rPr>
                <w:rFonts w:ascii="Arial" w:cs="Arial" w:eastAsia="Arial" w:hAnsi="Arial"/>
                <w:sz w:val="14"/>
                <w:szCs w:val="14"/>
                <w:color w:val="auto"/>
              </w:rPr>
              <w:t>HEMICAL</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HEMICALS</w:t>
            </w:r>
            <w:r>
              <w:rPr>
                <w:rFonts w:ascii="Arial" w:cs="Arial" w:eastAsia="Arial" w:hAnsi="Arial"/>
                <w:sz w:val="18"/>
                <w:szCs w:val="18"/>
                <w:color w:val="auto"/>
                <w:w w:val="98"/>
              </w:rPr>
              <w:t>, P</w:t>
            </w:r>
            <w:r>
              <w:rPr>
                <w:rFonts w:ascii="Arial" w:cs="Arial" w:eastAsia="Arial" w:hAnsi="Arial"/>
                <w:sz w:val="14"/>
                <w:szCs w:val="14"/>
                <w:color w:val="auto"/>
                <w:w w:val="98"/>
              </w:rPr>
              <w:t>LASTICS</w:t>
            </w:r>
            <w:r>
              <w:rPr>
                <w:rFonts w:ascii="Arial" w:cs="Arial" w:eastAsia="Arial" w:hAnsi="Arial"/>
                <w:sz w:val="18"/>
                <w:szCs w:val="18"/>
                <w:color w:val="auto"/>
                <w:w w:val="98"/>
              </w:rPr>
              <w:t>, &amp; R</w:t>
            </w:r>
            <w:r>
              <w:rPr>
                <w:rFonts w:ascii="Arial" w:cs="Arial" w:eastAsia="Arial" w:hAnsi="Arial"/>
                <w:sz w:val="14"/>
                <w:szCs w:val="14"/>
                <w:color w:val="auto"/>
                <w:w w:val="98"/>
              </w:rPr>
              <w:t>UBBER</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B</w:t>
            </w:r>
            <w:r>
              <w:rPr>
                <w:rFonts w:ascii="Arial" w:cs="Arial" w:eastAsia="Arial" w:hAnsi="Arial"/>
                <w:sz w:val="14"/>
                <w:szCs w:val="14"/>
                <w:color w:val="auto"/>
              </w:rPr>
              <w:t>ASELL</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1221</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K</w:t>
            </w:r>
            <w:r>
              <w:rPr>
                <w:rFonts w:ascii="Arial" w:cs="Arial" w:eastAsia="Arial" w:hAnsi="Arial"/>
                <w:sz w:val="14"/>
                <w:szCs w:val="14"/>
                <w:color w:val="auto"/>
              </w:rPr>
              <w:t>INNEY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77010</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0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9889 W</w:t>
            </w:r>
            <w:r>
              <w:rPr>
                <w:rFonts w:ascii="Arial" w:cs="Arial" w:eastAsia="Arial" w:hAnsi="Arial"/>
                <w:sz w:val="14"/>
                <w:szCs w:val="14"/>
                <w:color w:val="auto"/>
              </w:rPr>
              <w:t>ILLOW</w:t>
            </w:r>
            <w:r>
              <w:rPr>
                <w:rFonts w:ascii="Arial" w:cs="Arial" w:eastAsia="Arial" w:hAnsi="Arial"/>
                <w:sz w:val="18"/>
                <w:szCs w:val="18"/>
                <w:color w:val="auto"/>
              </w:rPr>
              <w:t xml:space="preserve"> C</w:t>
            </w:r>
            <w:r>
              <w:rPr>
                <w:rFonts w:ascii="Arial" w:cs="Arial" w:eastAsia="Arial" w:hAnsi="Arial"/>
                <w:sz w:val="14"/>
                <w:szCs w:val="14"/>
                <w:color w:val="auto"/>
              </w:rPr>
              <w:t>REEK</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AN</w:t>
            </w:r>
            <w:r>
              <w:rPr>
                <w:rFonts w:ascii="Arial" w:cs="Arial" w:eastAsia="Arial" w:hAnsi="Arial"/>
                <w:sz w:val="18"/>
                <w:szCs w:val="18"/>
                <w:color w:val="auto"/>
              </w:rPr>
              <w:t xml:space="preserve"> D</w:t>
            </w:r>
            <w:r>
              <w:rPr>
                <w:rFonts w:ascii="Arial" w:cs="Arial" w:eastAsia="Arial" w:hAnsi="Arial"/>
                <w:sz w:val="14"/>
                <w:szCs w:val="14"/>
                <w:color w:val="auto"/>
              </w:rPr>
              <w:t>IEGO</w:t>
            </w:r>
            <w:r>
              <w:rPr>
                <w:rFonts w:ascii="Arial" w:cs="Arial" w:eastAsia="Arial" w:hAnsi="Arial"/>
                <w:sz w:val="18"/>
                <w:szCs w:val="18"/>
                <w:color w:val="auto"/>
              </w:rPr>
              <w:t>, CA 92131</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0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9"/>
                <w:szCs w:val="9"/>
                <w:color w:val="auto"/>
              </w:rPr>
              <w:t>TH</w:t>
            </w:r>
            <w:r>
              <w:rPr>
                <w:rFonts w:ascii="Arial" w:cs="Arial" w:eastAsia="Arial" w:hAnsi="Arial"/>
                <w:sz w:val="18"/>
                <w:szCs w:val="18"/>
                <w:color w:val="auto"/>
              </w:rPr>
              <w:t xml:space="preserve"> </w:t>
            </w:r>
            <w:r>
              <w:rPr>
                <w:rFonts w:ascii="Arial" w:cs="Arial" w:eastAsia="Arial" w:hAnsi="Arial"/>
                <w:sz w:val="14"/>
                <w:szCs w:val="14"/>
                <w:color w:val="auto"/>
              </w:rPr>
              <w:t>STREET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UEBECOR</w:t>
            </w:r>
            <w:r>
              <w:rPr>
                <w:rFonts w:ascii="Arial" w:cs="Arial" w:eastAsia="Arial" w:hAnsi="Arial"/>
                <w:sz w:val="18"/>
                <w:szCs w:val="18"/>
                <w:color w:val="auto"/>
              </w:rPr>
              <w:t xml:space="preserve"> W</w:t>
            </w:r>
            <w:r>
              <w:rPr>
                <w:rFonts w:ascii="Arial" w:cs="Arial" w:eastAsia="Arial" w:hAnsi="Arial"/>
                <w:sz w:val="14"/>
                <w:szCs w:val="14"/>
                <w:color w:val="auto"/>
              </w:rPr>
              <w:t>ORLD</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 xml:space="preserve">999 </w:t>
            </w:r>
            <w:r>
              <w:rPr>
                <w:rFonts w:ascii="Arial" w:cs="Arial" w:eastAsia="Arial" w:hAnsi="Arial"/>
                <w:sz w:val="14"/>
                <w:szCs w:val="14"/>
                <w:color w:val="auto"/>
              </w:rPr>
              <w:t>DE</w:t>
            </w:r>
            <w:r>
              <w:rPr>
                <w:rFonts w:ascii="Arial" w:cs="Arial" w:eastAsia="Arial" w:hAnsi="Arial"/>
                <w:sz w:val="18"/>
                <w:szCs w:val="18"/>
                <w:color w:val="auto"/>
              </w:rPr>
              <w:t xml:space="preserve"> M</w:t>
            </w:r>
            <w:r>
              <w:rPr>
                <w:rFonts w:ascii="Arial" w:cs="Arial" w:eastAsia="Arial" w:hAnsi="Arial"/>
                <w:sz w:val="14"/>
                <w:szCs w:val="14"/>
                <w:color w:val="auto"/>
              </w:rPr>
              <w:t>AISONNEUVE</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xml:space="preserve"> W</w:t>
            </w:r>
            <w:r>
              <w:rPr>
                <w:rFonts w:ascii="Arial" w:cs="Arial" w:eastAsia="Arial" w:hAnsi="Arial"/>
                <w:sz w:val="14"/>
                <w:szCs w:val="14"/>
                <w:color w:val="auto"/>
              </w:rPr>
              <w:t>EST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ONTREAL</w:t>
            </w:r>
            <w:r>
              <w:rPr>
                <w:rFonts w:ascii="Arial" w:cs="Arial" w:eastAsia="Arial" w:hAnsi="Arial"/>
                <w:sz w:val="18"/>
                <w:szCs w:val="18"/>
                <w:color w:val="auto"/>
              </w:rPr>
              <w:t>, Q</w:t>
            </w:r>
            <w:r>
              <w:rPr>
                <w:rFonts w:ascii="Arial" w:cs="Arial" w:eastAsia="Arial" w:hAnsi="Arial"/>
                <w:sz w:val="14"/>
                <w:szCs w:val="14"/>
                <w:color w:val="auto"/>
              </w:rPr>
              <w:t>UEBEC</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ANADA</w:t>
            </w:r>
            <w:r>
              <w:rPr>
                <w:rFonts w:ascii="Arial" w:cs="Arial" w:eastAsia="Arial" w:hAnsi="Arial"/>
                <w:sz w:val="18"/>
                <w:szCs w:val="18"/>
                <w:color w:val="auto"/>
              </w:rPr>
              <w:t xml:space="preserve"> H3A 3L4</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EWTON</w:t>
            </w:r>
            <w:r>
              <w:rPr>
                <w:rFonts w:ascii="Arial" w:cs="Arial" w:eastAsia="Arial" w:hAnsi="Arial"/>
                <w:sz w:val="18"/>
                <w:szCs w:val="18"/>
                <w:color w:val="auto"/>
              </w:rPr>
              <w:t>, MA 02466</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20" w:type="dxa"/>
            <w:vAlign w:val="bottom"/>
          </w:tcPr>
          <w:p>
            <w:pPr>
              <w:jc w:val="right"/>
              <w:ind w:right="1013"/>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3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Name and Address of Portfolio</w:t>
            </w:r>
          </w:p>
        </w:tc>
        <w:tc>
          <w:tcPr>
            <w:tcW w:w="3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76"/>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00" w:type="dxa"/>
            <w:vAlign w:val="bottom"/>
          </w:tcPr>
          <w:p>
            <w:pPr>
              <w:spacing w:after="0"/>
              <w:rPr>
                <w:sz w:val="15"/>
                <w:szCs w:val="15"/>
                <w:color w:val="auto"/>
              </w:rPr>
            </w:pPr>
          </w:p>
        </w:tc>
        <w:tc>
          <w:tcPr>
            <w:tcW w:w="80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r>
      <w:tr>
        <w:trPr>
          <w:trHeight w:val="201"/>
        </w:trPr>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60" w:type="dxa"/>
            <w:vAlign w:val="bottom"/>
          </w:tcPr>
          <w:p>
            <w:pPr>
              <w:spacing w:after="0"/>
              <w:rPr>
                <w:sz w:val="17"/>
                <w:szCs w:val="17"/>
                <w:color w:val="auto"/>
              </w:rPr>
            </w:pPr>
          </w:p>
        </w:tc>
        <w:tc>
          <w:tcPr>
            <w:tcW w:w="30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UILDINGS</w:t>
            </w:r>
            <w:r>
              <w:rPr>
                <w:rFonts w:ascii="Arial" w:cs="Arial" w:eastAsia="Arial" w:hAnsi="Arial"/>
                <w:sz w:val="18"/>
                <w:szCs w:val="18"/>
                <w:color w:val="auto"/>
                <w:w w:val="99"/>
              </w:rPr>
              <w:t xml:space="preserve"> &amp; R</w:t>
            </w:r>
            <w:r>
              <w:rPr>
                <w:rFonts w:ascii="Arial" w:cs="Arial" w:eastAsia="Arial" w:hAnsi="Arial"/>
                <w:sz w:val="14"/>
                <w:szCs w:val="14"/>
                <w:color w:val="auto"/>
                <w:w w:val="99"/>
              </w:rPr>
              <w:t>EAL</w:t>
            </w:r>
            <w:r>
              <w:rPr>
                <w:rFonts w:ascii="Arial" w:cs="Arial" w:eastAsia="Arial" w:hAnsi="Arial"/>
                <w:sz w:val="18"/>
                <w:szCs w:val="18"/>
                <w:color w:val="auto"/>
                <w:w w:val="99"/>
              </w:rPr>
              <w:t xml:space="preserve"> E</w:t>
            </w:r>
            <w:r>
              <w:rPr>
                <w:rFonts w:ascii="Arial" w:cs="Arial" w:eastAsia="Arial" w:hAnsi="Arial"/>
                <w:sz w:val="14"/>
                <w:szCs w:val="14"/>
                <w:color w:val="auto"/>
                <w:w w:val="99"/>
              </w:rPr>
              <w:t>STATE</w:t>
            </w:r>
          </w:p>
        </w:tc>
        <w:tc>
          <w:tcPr>
            <w:tcW w:w="420" w:type="dxa"/>
            <w:vAlign w:val="bottom"/>
          </w:tcPr>
          <w:p>
            <w:pPr>
              <w:spacing w:after="0"/>
              <w:rPr>
                <w:sz w:val="17"/>
                <w:szCs w:val="17"/>
                <w:color w:val="auto"/>
              </w:rPr>
            </w:pPr>
          </w:p>
        </w:tc>
        <w:tc>
          <w:tcPr>
            <w:tcW w:w="2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17"/>
                <w:szCs w:val="17"/>
                <w:color w:val="auto"/>
              </w:rPr>
            </w:pPr>
          </w:p>
        </w:tc>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EXAIR</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ETAIL</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50 W</w:t>
            </w:r>
            <w:r>
              <w:rPr>
                <w:rFonts w:ascii="Arial" w:cs="Arial" w:eastAsia="Arial" w:hAnsi="Arial"/>
                <w:sz w:val="14"/>
                <w:szCs w:val="14"/>
                <w:color w:val="auto"/>
              </w:rPr>
              <w:t>EST</w:t>
            </w:r>
            <w:r>
              <w:rPr>
                <w:rFonts w:ascii="Arial" w:cs="Arial" w:eastAsia="Arial" w:hAnsi="Arial"/>
                <w:sz w:val="18"/>
                <w:szCs w:val="18"/>
                <w:color w:val="auto"/>
              </w:rPr>
              <w:t xml:space="preserve"> B</w:t>
            </w:r>
            <w:r>
              <w:rPr>
                <w:rFonts w:ascii="Arial" w:cs="Arial" w:eastAsia="Arial" w:hAnsi="Arial"/>
                <w:sz w:val="14"/>
                <w:szCs w:val="14"/>
                <w:color w:val="auto"/>
              </w:rPr>
              <w:t>IG</w:t>
            </w:r>
            <w:r>
              <w:rPr>
                <w:rFonts w:ascii="Arial" w:cs="Arial" w:eastAsia="Arial" w:hAnsi="Arial"/>
                <w:sz w:val="18"/>
                <w:szCs w:val="18"/>
                <w:color w:val="auto"/>
              </w:rPr>
              <w:t xml:space="preserve"> B</w:t>
            </w:r>
            <w:r>
              <w:rPr>
                <w:rFonts w:ascii="Arial" w:cs="Arial" w:eastAsia="Arial" w:hAnsi="Arial"/>
                <w:sz w:val="14"/>
                <w:szCs w:val="14"/>
                <w:color w:val="auto"/>
              </w:rPr>
              <w:t>EAVER</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350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ROY</w:t>
            </w:r>
            <w:r>
              <w:rPr>
                <w:rFonts w:ascii="Arial" w:cs="Arial" w:eastAsia="Arial" w:hAnsi="Arial"/>
                <w:sz w:val="18"/>
                <w:szCs w:val="18"/>
                <w:color w:val="auto"/>
              </w:rPr>
              <w:t>, MI 48084</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 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9"/>
                <w:szCs w:val="9"/>
                <w:color w:val="auto"/>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w:t>
            </w:r>
          </w:p>
        </w:tc>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 R</w:t>
            </w:r>
            <w:r>
              <w:rPr>
                <w:rFonts w:ascii="Arial" w:cs="Arial" w:eastAsia="Arial" w:hAnsi="Arial"/>
                <w:sz w:val="14"/>
                <w:szCs w:val="14"/>
                <w:color w:val="auto"/>
              </w:rPr>
              <w:t>UBBER</w:t>
            </w: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TZ M</w:t>
            </w:r>
            <w:r>
              <w:rPr>
                <w:rFonts w:ascii="Arial" w:cs="Arial" w:eastAsia="Arial" w:hAnsi="Arial"/>
                <w:sz w:val="14"/>
                <w:szCs w:val="14"/>
                <w:color w:val="auto"/>
              </w:rPr>
              <w:t>ERGER</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p>
        </w:tc>
        <w:tc>
          <w:tcPr>
            <w:tcW w:w="300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6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1.3%</w:t>
            </w:r>
          </w:p>
        </w:tc>
        <w:tc>
          <w:tcPr>
            <w:tcW w:w="140" w:type="dxa"/>
            <w:vAlign w:val="bottom"/>
          </w:tcPr>
          <w:p>
            <w:pPr>
              <w:spacing w:after="0"/>
              <w:rPr>
                <w:sz w:val="24"/>
                <w:szCs w:val="24"/>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567 S</w:t>
            </w:r>
            <w:r>
              <w:rPr>
                <w:rFonts w:ascii="Arial" w:cs="Arial" w:eastAsia="Arial" w:hAnsi="Arial"/>
                <w:sz w:val="14"/>
                <w:szCs w:val="14"/>
                <w:color w:val="auto"/>
              </w:rPr>
              <w:t>AN</w:t>
            </w:r>
            <w:r>
              <w:rPr>
                <w:rFonts w:ascii="Arial" w:cs="Arial" w:eastAsia="Arial" w:hAnsi="Arial"/>
                <w:sz w:val="18"/>
                <w:szCs w:val="18"/>
                <w:color w:val="auto"/>
              </w:rPr>
              <w:t xml:space="preserve"> N</w:t>
            </w:r>
            <w:r>
              <w:rPr>
                <w:rFonts w:ascii="Arial" w:cs="Arial" w:eastAsia="Arial" w:hAnsi="Arial"/>
                <w:sz w:val="14"/>
                <w:szCs w:val="14"/>
                <w:color w:val="auto"/>
              </w:rPr>
              <w:t>ICOLAS</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360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EWPORT</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CA 92660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w:t>
            </w:r>
            <w:r>
              <w:rPr>
                <w:rFonts w:ascii="Arial" w:cs="Arial" w:eastAsia="Arial" w:hAnsi="Arial"/>
                <w:sz w:val="14"/>
                <w:szCs w:val="14"/>
                <w:color w:val="auto"/>
              </w:rPr>
              <w:t>O</w:t>
            </w:r>
            <w:r>
              <w:rPr>
                <w:rFonts w:ascii="Arial" w:cs="Arial" w:eastAsia="Arial" w:hAnsi="Arial"/>
                <w:sz w:val="18"/>
                <w:szCs w:val="18"/>
                <w:color w:val="auto"/>
              </w:rPr>
              <w:t>. 80202</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5620" w:right="4080" w:hanging="5612"/>
        <w:spacing w:after="0" w:line="440" w:lineRule="auto"/>
        <w:tabs>
          <w:tab w:leader="none" w:pos="4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 70</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June 30,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 Acquisition Sub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UP Acquisition is a leading independent pipeline engineering services firm in the United States, providing engineering, project management and survey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Trizetto Group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Trizetto Group is a leading healthcare information technology, software and consulting services provider.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i2 Holdings Ltd.</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is a leading worldwide provider of visual investigative analysis software for law enforcement, intelligence, military and Fortune 500 organizations.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 Technologies Intermediate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 Technologies is a leading outsource provider of “release of information” services to healthcare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Energy &amp; Infrastructure Services, Inc.</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company is a diversified provider of specialty services, including scaffolding, industrial coatings, insulation, refractory, and forming and shoring solutions, to North America’s energy markets.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Specialized Technology Resources,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STR is a leader in the consumer testing and inspection market, as well as the leading global provider of solar encapsulants.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IDQ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company is the leading provider of value-added products for the Do-It-Yourself light vehicle air conditioning repair aftermarket.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industry composition of the portfolio at fair value on September 30, 2008 and June 30, 2009 was as follows, excluding unearned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5"/>
              </w:rPr>
              <w:t>June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80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108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8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300" w:type="dxa"/>
            <w:vAlign w:val="bottom"/>
            <w:vMerge w:val="restart"/>
          </w:tcPr>
          <w:p>
            <w:pPr>
              <w:jc w:val="right"/>
              <w:ind w:right="2933"/>
              <w:spacing w:after="0"/>
              <w:rPr>
                <w:sz w:val="20"/>
                <w:szCs w:val="20"/>
                <w:color w:val="auto"/>
              </w:rPr>
            </w:pPr>
            <w:r>
              <w:rPr>
                <w:rFonts w:ascii="Arial" w:cs="Arial" w:eastAsia="Arial" w:hAnsi="Arial"/>
                <w:sz w:val="18"/>
                <w:szCs w:val="18"/>
                <w:color w:val="auto"/>
              </w:rPr>
              <w:t>72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Director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82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Since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of Term</w:t>
            </w: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01"/>
        </w:trPr>
        <w:tc>
          <w:tcPr>
            <w:tcW w:w="4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31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Chairman of Board and Chief Executive Officer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for each director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16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Aviv</w:t>
            </w:r>
          </w:p>
        </w:tc>
        <w:tc>
          <w:tcPr>
            <w:tcW w:w="4540" w:type="dxa"/>
            <w:vAlign w:val="bottom"/>
          </w:tcPr>
          <w:p>
            <w:pPr>
              <w:ind w:left="20"/>
              <w:spacing w:after="0" w:line="201" w:lineRule="exact"/>
              <w:rPr>
                <w:sz w:val="20"/>
                <w:szCs w:val="20"/>
                <w:color w:val="auto"/>
              </w:rPr>
            </w:pPr>
            <w:r>
              <w:rPr>
                <w:rFonts w:ascii="Arial" w:cs="Arial" w:eastAsia="Arial" w:hAnsi="Arial"/>
                <w:sz w:val="18"/>
                <w:szCs w:val="18"/>
                <w:color w:val="auto"/>
              </w:rPr>
              <w:t>Efrat</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45</w:t>
            </w:r>
          </w:p>
        </w:tc>
        <w:tc>
          <w:tcPr>
            <w:tcW w:w="34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Financial Officer</w:t>
            </w:r>
          </w:p>
        </w:tc>
      </w:tr>
      <w:tr>
        <w:trPr>
          <w:trHeight w:val="236"/>
        </w:trPr>
        <w:tc>
          <w:tcPr>
            <w:tcW w:w="4920" w:type="dxa"/>
            <w:vAlign w:val="bottom"/>
            <w:gridSpan w:val="2"/>
          </w:tcPr>
          <w:p>
            <w:pPr>
              <w:spacing w:after="0"/>
              <w:rPr>
                <w:sz w:val="20"/>
                <w:szCs w:val="20"/>
                <w:color w:val="auto"/>
              </w:rPr>
            </w:pPr>
            <w:r>
              <w:rPr>
                <w:rFonts w:ascii="Arial" w:cs="Arial" w:eastAsia="Arial" w:hAnsi="Arial"/>
                <w:sz w:val="18"/>
                <w:szCs w:val="18"/>
                <w:color w:val="auto"/>
              </w:rPr>
              <w:t>Guy Talarico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w w:val="89"/>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address for each executive officer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or by telephone at (212) 905-1000.</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Adam K. Bernstein (46),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Marshall Brozost (42),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Jeffrey Flug (46), Director. Mr. Flug became a director of PennantPark Investment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Samuel L. Katz (43),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Arthur H. Penn (46)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Aviv Efrat (45), Chief Financial Officer and Treasurer. Mr. Efrat joined PennantPark Investment in February 2007 as its Chief Financial Officer and Treasurer.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 Mr. Efrat earned his B.S. in Economics from Bringham Young University in 1991 and an M.B.A. from New York University in 1999.</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Guy Talarico (52)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fiscal year ended September 30, 2008, we held six board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and recommending to the board of directors whether the audited financial statements should be included in our annual report on Form 10-K; reviewing and discussing with management and the auditors our quarterly financial statements prior to the filing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Our board of directors has determined that Mr. Flug is our “Audit Committee financial expert” as that term is defined under Item 401 of Regulation S-K under the Securities Exchange Act of 1934, as amended, or the Exchange Act. The Audit Committee Charter is available on our website: </w:t>
      </w:r>
      <w:r>
        <w:rPr>
          <w:rFonts w:ascii="Arial" w:cs="Arial" w:eastAsia="Arial" w:hAnsi="Arial"/>
          <w:sz w:val="16"/>
          <w:szCs w:val="16"/>
          <w:i w:val="1"/>
          <w:iCs w:val="1"/>
          <w:color w:val="auto"/>
        </w:rPr>
        <w:t>http://www.pennantpark.com.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corporate governance regulations of the NASDAQ. Messrs. Bernstein, Brozost and Katz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color w:val="auto"/>
        </w:rPr>
        <w:t>http://www.pennantpark.com.</w:t>
      </w:r>
    </w:p>
    <w:p>
      <w:pPr>
        <w:spacing w:after="0" w:line="14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our board of directors and to serve if elected by the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Listing Standards and the 1940 Act, and all other applicable laws, rules, regulations and listing standards, the criteria, policies and principles set forth 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also may consider such other factors as it may deem are in our best interests and our stockholders. Our board of directors also believes it is appropriate for a key member of our management to participate as a member of our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2008.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Pension or</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benefits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paid</w:t>
            </w: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accrued as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r>
      <w:tr>
        <w:trPr>
          <w:trHeight w:val="134"/>
        </w:trPr>
        <w:tc>
          <w:tcPr>
            <w:tcW w:w="38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from the</w:t>
            </w:r>
          </w:p>
        </w:tc>
        <w:tc>
          <w:tcPr>
            <w:tcW w:w="4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8"/>
              </w:rPr>
              <w:t>part of our</w:t>
            </w:r>
          </w:p>
        </w:tc>
        <w:tc>
          <w:tcPr>
            <w:tcW w:w="4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director /</w:t>
            </w:r>
          </w:p>
        </w:tc>
      </w:tr>
      <w:tr>
        <w:trPr>
          <w:trHeight w:val="17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0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4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officer</w:t>
            </w:r>
          </w:p>
        </w:tc>
      </w:tr>
      <w:tr>
        <w:trPr>
          <w:trHeight w:val="201"/>
        </w:trPr>
        <w:tc>
          <w:tcPr>
            <w:tcW w:w="84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800" w:type="dxa"/>
            <w:vAlign w:val="bottom"/>
          </w:tcPr>
          <w:p>
            <w:pPr>
              <w:jc w:val="right"/>
              <w:spacing w:after="0"/>
              <w:rPr>
                <w:sz w:val="20"/>
                <w:szCs w:val="20"/>
                <w:color w:val="auto"/>
              </w:rPr>
            </w:pPr>
            <w:r>
              <w:rPr>
                <w:rFonts w:ascii="Arial" w:cs="Arial" w:eastAsia="Arial" w:hAnsi="Arial"/>
                <w:sz w:val="18"/>
                <w:szCs w:val="18"/>
                <w:color w:val="auto"/>
                <w:w w:val="91"/>
              </w:rPr>
              <w:t>$  131,250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$131,250</w:t>
            </w: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Marshall Brozost</w:t>
            </w:r>
          </w:p>
        </w:tc>
        <w:tc>
          <w:tcPr>
            <w:tcW w:w="800" w:type="dxa"/>
            <w:vAlign w:val="bottom"/>
          </w:tcPr>
          <w:p>
            <w:pPr>
              <w:jc w:val="right"/>
              <w:spacing w:after="0"/>
              <w:rPr>
                <w:sz w:val="20"/>
                <w:szCs w:val="20"/>
                <w:color w:val="auto"/>
              </w:rPr>
            </w:pPr>
            <w:r>
              <w:rPr>
                <w:rFonts w:ascii="Arial" w:cs="Arial" w:eastAsia="Arial" w:hAnsi="Arial"/>
                <w:sz w:val="18"/>
                <w:szCs w:val="18"/>
                <w:color w:val="auto"/>
              </w:rPr>
              <w:t>131,250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131,250</w:t>
            </w: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800" w:type="dxa"/>
            <w:vAlign w:val="bottom"/>
          </w:tcPr>
          <w:p>
            <w:pPr>
              <w:jc w:val="right"/>
              <w:spacing w:after="0"/>
              <w:rPr>
                <w:sz w:val="20"/>
                <w:szCs w:val="20"/>
                <w:color w:val="auto"/>
              </w:rPr>
            </w:pPr>
            <w:r>
              <w:rPr>
                <w:rFonts w:ascii="Arial" w:cs="Arial" w:eastAsia="Arial" w:hAnsi="Arial"/>
                <w:sz w:val="18"/>
                <w:szCs w:val="18"/>
                <w:color w:val="auto"/>
              </w:rPr>
              <w:t>138,750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138,750</w:t>
            </w:r>
          </w:p>
        </w:tc>
      </w:tr>
      <w:tr>
        <w:trPr>
          <w:trHeight w:val="210"/>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Samuel L. Katz</w:t>
            </w:r>
          </w:p>
        </w:tc>
        <w:tc>
          <w:tcPr>
            <w:tcW w:w="800" w:type="dxa"/>
            <w:vAlign w:val="bottom"/>
          </w:tcPr>
          <w:p>
            <w:pPr>
              <w:jc w:val="right"/>
              <w:spacing w:after="0"/>
              <w:rPr>
                <w:sz w:val="20"/>
                <w:szCs w:val="20"/>
                <w:color w:val="auto"/>
              </w:rPr>
            </w:pPr>
            <w:r>
              <w:rPr>
                <w:rFonts w:ascii="Arial" w:cs="Arial" w:eastAsia="Arial" w:hAnsi="Arial"/>
                <w:sz w:val="18"/>
                <w:szCs w:val="18"/>
                <w:color w:val="auto"/>
              </w:rPr>
              <w:t>127,500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127,500</w:t>
            </w: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0"/>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Arthur H. Penn</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Aviv Eftrat</w:t>
            </w:r>
            <w:r>
              <w:rPr>
                <w:rFonts w:ascii="Arial" w:cs="Arial" w:eastAsia="Arial" w:hAnsi="Arial"/>
                <w:sz w:val="11"/>
                <w:szCs w:val="11"/>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36"/>
        </w:trPr>
        <w:tc>
          <w:tcPr>
            <w:tcW w:w="38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Guy Talarico</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Independent directors each receive an annual fee of $75,000.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their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August 31, 2009,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consist of one interested director and four independent directors. An interested director is an “interested person” of us, as defined in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following table sets forth, as of August 31, 2009, certain ownership information with respect to our common stock for those persons who directly or indirectly own, control, or hold with the power to vote, 5 percent or more of our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7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70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40" w:type="dxa"/>
            <w:vAlign w:val="bottom"/>
            <w:gridSpan w:val="3"/>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700" w:type="dxa"/>
            <w:vAlign w:val="bottom"/>
          </w:tcPr>
          <w:p>
            <w:pPr>
              <w:jc w:val="right"/>
              <w:ind w:right="76"/>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Total Dynamic Dividend Fund</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1,296,000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2500 Westchester Suite, Suite 215</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NY 10577</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640" w:type="dxa"/>
            <w:vAlign w:val="bottom"/>
            <w:gridSpan w:val="3"/>
          </w:tcPr>
          <w:p>
            <w:pPr>
              <w:spacing w:after="0"/>
              <w:rPr>
                <w:sz w:val="20"/>
                <w:szCs w:val="20"/>
                <w:color w:val="auto"/>
              </w:rPr>
            </w:pPr>
            <w:r>
              <w:rPr>
                <w:rFonts w:ascii="Arial" w:cs="Arial" w:eastAsia="Arial" w:hAnsi="Arial"/>
                <w:sz w:val="18"/>
                <w:szCs w:val="18"/>
                <w:color w:val="auto"/>
              </w:rPr>
              <w:t>Clough Capital Partners L.P.</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Beneficial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1,457,185</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2,613,491</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75 State Street</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8,797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71,323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413,474</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Aviv Efrat</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28,646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(6 persons)</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695,235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99"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held by JAM Investments, LLC.</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268,073 shares held by PennantPark Investment Advisers, LLC.</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77" w:lineRule="exact"/>
        <w:rPr>
          <w:sz w:val="20"/>
          <w:szCs w:val="20"/>
          <w:color w:val="auto"/>
        </w:rPr>
      </w:pPr>
    </w:p>
    <w:p>
      <w:pPr>
        <w:ind w:left="460" w:hanging="408"/>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 Officers and Portfolio Managers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August 31, 2009. Information as to the beneficial ownerships based on information furnished to the company by such persons. We are not part of a “family of investment companies,” as that term is defined in the 1940 Act.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w:t>
            </w:r>
            <w:r>
              <w:rPr>
                <w:rFonts w:ascii="Arial" w:cs="Arial" w:eastAsia="Arial" w:hAnsi="Arial"/>
                <w:sz w:val="22"/>
                <w:szCs w:val="22"/>
                <w:b w:val="1"/>
                <w:bCs w:val="1"/>
                <w:color w:val="auto"/>
                <w:w w:val="87"/>
                <w:vertAlign w:val="superscript"/>
              </w:rPr>
              <w:t>(1)</w:t>
            </w:r>
          </w:p>
        </w:tc>
      </w:tr>
      <w:tr>
        <w:trPr>
          <w:trHeight w:val="201"/>
        </w:trPr>
        <w:tc>
          <w:tcPr>
            <w:tcW w:w="1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2"/>
              </w:rPr>
              <w:t>Independent directors</w:t>
            </w:r>
          </w:p>
        </w:tc>
        <w:tc>
          <w:tcPr>
            <w:tcW w:w="448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r>
              <w:rPr>
                <w:rFonts w:ascii="Arial" w:cs="Arial" w:eastAsia="Arial" w:hAnsi="Arial"/>
                <w:sz w:val="11"/>
                <w:szCs w:val="11"/>
                <w:color w:val="auto"/>
                <w:w w:val="88"/>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33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w:t>
            </w:r>
            <w:r>
              <w:rPr>
                <w:rFonts w:ascii="Arial" w:cs="Arial" w:eastAsia="Arial" w:hAnsi="Arial"/>
                <w:sz w:val="11"/>
                <w:szCs w:val="11"/>
                <w:color w:val="auto"/>
                <w:w w:val="89"/>
              </w:rPr>
              <w:t>(3)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who are not directors</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Geoffrey S. Chang</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The base management fee is calculated at an annual rate of 2.00% of our gross assets (net of U.S. Treasury Bills (“average adjusted gross total assets”)). Although the base management fee is 2.00% of our average adjusted gross total assets, the Investment Adviser waived a portion of the base management fee such that the base management fee equaled 1.50% from the consummation of the initial public offering through September 30, 2007. The base management fee was 1.75% from October 1, 2007 through March 31, 2008. Our base management fee has been 2.00% after March 31, 2008. For services rendered under our Investment Management Agreement the base management fee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 rated. For the nine months ended June 30, 2009 and June 30, 2008, the Investment Adviser earned base management fees, after fee waiver, of $5.5 million and $4.8 million, respectively.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is also included in the amount of our average adjusted gross total assets used to calculate the 2.00% base management fee. We have agreed to pay PennantPark Investment Advisers an incentive fee with respect to our Pre-Incentive Fee Net Investment Income in each calendar quarter as follows:</w:t>
      </w:r>
    </w:p>
    <w:p>
      <w:pPr>
        <w:spacing w:after="0" w:line="4"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300" w:hanging="325"/>
        <w:spacing w:after="0" w:line="255"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61"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 rated for any period of less than three months and adjusted for any share issuances or repurchases during the current quarter.</w:t>
      </w:r>
    </w:p>
    <w:p>
      <w:pPr>
        <w:spacing w:after="0" w:line="14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Graphical Representation of Calculation of Quarterly Incentive Fee Based on Net Investment Income</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109855</wp:posOffset>
            </wp:positionV>
            <wp:extent cx="3833495" cy="6261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334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nine months ended June 30, 2009 and June 30, 2008, the Investment Adviser earned $4.2 million and $2.4 million, respectively, in incentive fees.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net investment income does not exceed Hurdle; therefore there is no incentive fee.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20"/>
          </w:cols>
          <w:pgMar w:left="240" w:top="459" w:right="7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102"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360" w:hanging="452"/>
        <w:spacing w:after="0" w:line="306"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2009. Unless terminated earlier as described below, our Investment Management Agreement will continue in effect for a period of one year through February 2010.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 —We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offices of PennantPark Investment Advisers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pay the fees associated with such functions on a direct basis without profit to the Administrator. For the nine months ended June 30, 2009 and June 30, 2008, the Investment Adviser was reimbursed $1.4 million and $1.6 million, respectively, by PennantPark Investment, including expenses it incurred on behalf of the Administrator for the services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6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59"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jc w:val="both"/>
        <w:ind w:right="20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(stockholders have provided such consent on August 25, 2009 for a 12-month period), and our board of directors may decide that such an offering is in the best interest of our common stockholders and we may undertake such an offering. For more information, see “Sales of common stock below NAV.”</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In addition, there may be de minimis transaction charges incurred in connection with plan participation.</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June 30, 2009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August 31, 2009 was $8.35 per share. As of August 31, 2009, we had 16 stockholders of record.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August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21,068,772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benefits of these provisions outweigh the potential disadvantages of discouraging any such acquisition proposals because, among other things, the negotiation of such proposals may improve their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2010,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57" w:lineRule="auto"/>
        <w:rPr>
          <w:sz w:val="20"/>
          <w:szCs w:val="20"/>
          <w:color w:val="auto"/>
        </w:rPr>
      </w:pPr>
      <w:r>
        <w:rPr>
          <w:rFonts w:ascii="Arial" w:cs="Arial" w:eastAsia="Arial" w:hAnsi="Arial"/>
          <w:sz w:val="15"/>
          <w:szCs w:val="15"/>
          <w:color w:val="auto"/>
        </w:rPr>
        <w:t>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5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33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00"/>
          </w:cols>
          <w:pgMar w:left="240" w:top="459" w:right="3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may be changed without stockholder approval.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84"/>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jc w:val="both"/>
        <w:ind w:left="920" w:right="440" w:firstLine="421"/>
        <w:spacing w:after="0" w:line="259" w:lineRule="auto"/>
        <w:tabs>
          <w:tab w:leader="none" w:pos="1579" w:val="left"/>
        </w:tabs>
        <w:numPr>
          <w:ilvl w:val="1"/>
          <w:numId w:val="8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or is controlled by the Company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306"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2008, the definition of eligible portfolio company was expanded to include any domestic operating company that has a class of securities listed on a national securities exchange, so long as it has a market capitalization of less than $250 million. For this purpose, market capitalization is calculated using the price at which the portfolio company’s common equity is last sold, or the average of the bid and ask prices of the portfolio company’s common equity, in the principal market for such common equity on any day in the 60-day period immediately before the acquisition of its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http://www.sec.gov. You may also obtain copies of the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PennantPark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and PennantPark Investment Advisers are each be required to adopt and implement written policies and procedures reasonably designed to prevent violation of the federal securities laws, review these policies and procedures annually for their adequacy and the effectiveness of their implementation, and to designate a chief compliance officer to be responsible for administering the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 held companies and their insiders. Many of these requirements affect us. For example:</w:t>
      </w:r>
    </w:p>
    <w:p>
      <w:pPr>
        <w:spacing w:after="0" w:line="51" w:lineRule="exact"/>
        <w:rPr>
          <w:sz w:val="20"/>
          <w:szCs w:val="20"/>
          <w:color w:val="auto"/>
        </w:rPr>
      </w:pPr>
    </w:p>
    <w:p>
      <w:pPr>
        <w:ind w:left="900" w:right="34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80"/>
          </w:cols>
          <w:pgMar w:left="240" w:top="459" w:right="3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elected to be treated, and intend to qualify annually, as a RIC under Subchapter M of the Code. For a short period ending April 30, 2007, we were not a RIC and were subject to corporate-level income tax. To maintain RIC tax benefits, we must, among other requirements, meet certain source-of-income and asset diversification requirements (as described below). We also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jc w:val="center"/>
        <w:ind w:right="10060"/>
        <w:spacing w:after="0"/>
        <w:rPr>
          <w:sz w:val="20"/>
          <w:szCs w:val="20"/>
          <w:color w:val="auto"/>
        </w:rPr>
      </w:pPr>
      <w:r>
        <w:rPr>
          <w:rFonts w:ascii="Arial" w:cs="Arial" w:eastAsia="Arial" w:hAnsi="Arial"/>
          <w:sz w:val="16"/>
          <w:szCs w:val="16"/>
          <w:b w:val="1"/>
          <w:bCs w:val="1"/>
          <w:color w:val="auto"/>
        </w:rPr>
        <w:t>Taxation as a RIC</w:t>
      </w:r>
    </w:p>
    <w:p>
      <w:pPr>
        <w:spacing w:after="0" w:line="119" w:lineRule="exact"/>
        <w:rPr>
          <w:sz w:val="20"/>
          <w:szCs w:val="20"/>
          <w:color w:val="auto"/>
        </w:rPr>
      </w:pPr>
    </w:p>
    <w:p>
      <w:pPr>
        <w:jc w:val="center"/>
        <w:ind w:right="1008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except as provided below,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40"/>
          </w:cols>
          <w:pgMar w:left="240" w:top="460" w:right="3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PNC Global Investment Servicing,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the unaudited interim financial information as of June 30, 2009, and for the nine-month period then ended, included herein, KPMG LLP has reported that they applied limited procedures in accordance with professional standards for a review of such information. However, their separate report included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of 1933 for their report on the unaudited interim financial information because that report is not a “report” or a “part” of the registration statement prepared or certified by the accountants within the meaning of Sections 7 and 11 of the Securities Act of 1933.</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20" w:type="dxa"/>
            <w:vAlign w:val="bottom"/>
            <w:gridSpan w:val="9"/>
          </w:tcPr>
          <w:p>
            <w:pPr>
              <w:jc w:val="center"/>
              <w:ind w:right="820"/>
              <w:spacing w:after="0"/>
              <w:rPr>
                <w:sz w:val="20"/>
                <w:szCs w:val="20"/>
                <w:color w:val="auto"/>
              </w:rPr>
            </w:pPr>
            <w:r>
              <w:rPr>
                <w:rFonts w:ascii="Arial" w:cs="Arial" w:eastAsia="Arial" w:hAnsi="Arial"/>
                <w:sz w:val="18"/>
                <w:szCs w:val="18"/>
                <w:b w:val="1"/>
                <w:bCs w:val="1"/>
                <w:color w:val="auto"/>
                <w:w w:val="99"/>
              </w:rPr>
              <w:t>INDEX TO FINANCIAL STATEMENTS</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140" w:type="dxa"/>
            <w:vAlign w:val="bottom"/>
            <w:gridSpan w:val="15"/>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gridSpan w:val="15"/>
          </w:tcPr>
          <w:p>
            <w:pPr>
              <w:spacing w:after="0"/>
              <w:rPr>
                <w:sz w:val="20"/>
                <w:szCs w:val="20"/>
                <w:color w:val="auto"/>
              </w:rPr>
            </w:pPr>
            <w:r>
              <w:rPr>
                <w:rFonts w:ascii="Arial" w:cs="Arial" w:eastAsia="Arial" w:hAnsi="Arial"/>
                <w:sz w:val="18"/>
                <w:szCs w:val="18"/>
                <w:b w:val="1"/>
                <w:bCs w:val="1"/>
                <w:color w:val="auto"/>
              </w:rPr>
              <w:t>Annual Financial Statements</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7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58">
              <w:r>
                <w:rPr>
                  <w:rFonts w:ascii="Arial" w:cs="Arial" w:eastAsia="Arial" w:hAnsi="Arial"/>
                  <w:sz w:val="18"/>
                  <w:szCs w:val="18"/>
                  <w:color w:val="0000EE"/>
                  <w:w w:val="89"/>
                </w:rPr>
                <w:t>Management’s Report on Internal Control over Financial Reporting</w:t>
              </w:r>
            </w:hyperlink>
          </w:p>
        </w:tc>
        <w:tc>
          <w:tcPr>
            <w:tcW w:w="3380" w:type="dxa"/>
            <w:vAlign w:val="bottom"/>
            <w:gridSpan w:val="7"/>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04"/>
        </w:trPr>
        <w:tc>
          <w:tcPr>
            <w:tcW w:w="42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Reports of Independent Registered Public Accounting Firm</w:t>
              </w:r>
            </w:hyperlink>
          </w:p>
        </w:tc>
        <w:tc>
          <w:tcPr>
            <w:tcW w:w="3940" w:type="dxa"/>
            <w:vAlign w:val="bottom"/>
            <w:gridSpan w:val="8"/>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58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Consolidated Statements of Assets and Liabilities at September 30, 2008 and 2007</w:t>
              </w:r>
            </w:hyperlink>
          </w:p>
        </w:tc>
        <w:tc>
          <w:tcPr>
            <w:tcW w:w="2320" w:type="dxa"/>
            <w:vAlign w:val="bottom"/>
            <w:gridSpan w:val="5"/>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11420" w:type="dxa"/>
            <w:vAlign w:val="bottom"/>
            <w:gridSpan w:val="19"/>
          </w:tcPr>
          <w:p>
            <w:pPr>
              <w:spacing w:after="0"/>
              <w:rPr>
                <w:rFonts w:ascii="Arial" w:cs="Arial" w:eastAsia="Arial" w:hAnsi="Arial"/>
                <w:sz w:val="18"/>
                <w:szCs w:val="18"/>
                <w:color w:val="0000EE"/>
                <w:w w:val="93"/>
              </w:rPr>
            </w:pPr>
            <w:hyperlink w:anchor="page162">
              <w:r>
                <w:rPr>
                  <w:rFonts w:ascii="Arial" w:cs="Arial" w:eastAsia="Arial" w:hAnsi="Arial"/>
                  <w:sz w:val="18"/>
                  <w:szCs w:val="18"/>
                  <w:color w:val="0000EE"/>
                  <w:w w:val="93"/>
                </w:rPr>
                <w:t>Consolidated Statements of Operations for the year ended September 30, 2008 and the period from January 11, 2007 (inception) through September 30,</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162">
              <w:r>
                <w:rPr>
                  <w:rFonts w:ascii="Arial" w:cs="Arial" w:eastAsia="Arial" w:hAnsi="Arial"/>
                  <w:sz w:val="18"/>
                  <w:szCs w:val="18"/>
                  <w:color w:val="0000EE"/>
                  <w:w w:val="84"/>
                </w:rPr>
                <w:t>2007</w:t>
              </w:r>
            </w:hyperlink>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8140" w:type="dxa"/>
            <w:vAlign w:val="bottom"/>
            <w:gridSpan w:val="15"/>
          </w:tcPr>
          <w:p>
            <w:pPr>
              <w:spacing w:after="0"/>
              <w:rPr>
                <w:rFonts w:ascii="Arial" w:cs="Arial" w:eastAsia="Arial" w:hAnsi="Arial"/>
                <w:sz w:val="18"/>
                <w:szCs w:val="18"/>
                <w:color w:val="0000EE"/>
                <w:w w:val="87"/>
              </w:rPr>
            </w:pPr>
            <w:hyperlink w:anchor="page163">
              <w:r>
                <w:rPr>
                  <w:rFonts w:ascii="Arial" w:cs="Arial" w:eastAsia="Arial" w:hAnsi="Arial"/>
                  <w:sz w:val="18"/>
                  <w:szCs w:val="18"/>
                  <w:color w:val="0000EE"/>
                  <w:w w:val="87"/>
                </w:rPr>
                <w:t>Consolidated Statements of Changes in Net Assets for year ended September 30, 2008 and the period from January</w:t>
              </w:r>
            </w:hyperlink>
          </w:p>
        </w:tc>
        <w:tc>
          <w:tcPr>
            <w:tcW w:w="3280" w:type="dxa"/>
            <w:vAlign w:val="bottom"/>
            <w:gridSpan w:val="4"/>
          </w:tcPr>
          <w:p>
            <w:pPr>
              <w:jc w:val="right"/>
              <w:ind w:right="1132"/>
              <w:spacing w:after="0"/>
              <w:rPr>
                <w:rFonts w:ascii="Arial" w:cs="Arial" w:eastAsia="Arial" w:hAnsi="Arial"/>
                <w:sz w:val="18"/>
                <w:szCs w:val="18"/>
                <w:color w:val="0000EE"/>
                <w:w w:val="90"/>
              </w:rPr>
            </w:pPr>
            <w:hyperlink w:anchor="page163">
              <w:r>
                <w:rPr>
                  <w:rFonts w:ascii="Arial" w:cs="Arial" w:eastAsia="Arial" w:hAnsi="Arial"/>
                  <w:sz w:val="18"/>
                  <w:szCs w:val="18"/>
                  <w:color w:val="0000EE"/>
                  <w:w w:val="90"/>
                </w:rPr>
                <w:t>11, 2007 (inception) through</w:t>
              </w:r>
            </w:hyperlink>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9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September 30, 2007</w:t>
              </w:r>
            </w:hyperlink>
          </w:p>
        </w:tc>
        <w:tc>
          <w:tcPr>
            <w:tcW w:w="20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Borders>
              <w:top w:val="single" w:sz="8" w:color="0000EE"/>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1420" w:type="dxa"/>
            <w:vAlign w:val="bottom"/>
            <w:gridSpan w:val="19"/>
          </w:tcPr>
          <w:p>
            <w:pPr>
              <w:spacing w:after="0"/>
              <w:rPr>
                <w:rFonts w:ascii="Arial" w:cs="Arial" w:eastAsia="Arial" w:hAnsi="Arial"/>
                <w:sz w:val="18"/>
                <w:szCs w:val="18"/>
                <w:color w:val="0000EE"/>
                <w:w w:val="95"/>
              </w:rPr>
            </w:pPr>
            <w:hyperlink w:anchor="page164">
              <w:r>
                <w:rPr>
                  <w:rFonts w:ascii="Arial" w:cs="Arial" w:eastAsia="Arial" w:hAnsi="Arial"/>
                  <w:sz w:val="18"/>
                  <w:szCs w:val="18"/>
                  <w:color w:val="0000EE"/>
                  <w:w w:val="95"/>
                </w:rPr>
                <w:t>Consolidated Statements of Cash Flows for year ended September 30, 2008 and the period from January 11, 2007 (inception) through September 30,</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164">
              <w:r>
                <w:rPr>
                  <w:rFonts w:ascii="Arial" w:cs="Arial" w:eastAsia="Arial" w:hAnsi="Arial"/>
                  <w:sz w:val="18"/>
                  <w:szCs w:val="18"/>
                  <w:color w:val="0000EE"/>
                  <w:w w:val="84"/>
                </w:rPr>
                <w:t>2007</w:t>
              </w:r>
            </w:hyperlink>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41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65">
              <w:r>
                <w:rPr>
                  <w:rFonts w:ascii="Arial" w:cs="Arial" w:eastAsia="Arial" w:hAnsi="Arial"/>
                  <w:sz w:val="18"/>
                  <w:szCs w:val="18"/>
                  <w:color w:val="0000EE"/>
                  <w:w w:val="86"/>
                </w:rPr>
                <w:t>Schedules of Investments at September 30, 2008 and 2007</w:t>
              </w:r>
            </w:hyperlink>
          </w:p>
        </w:tc>
        <w:tc>
          <w:tcPr>
            <w:tcW w:w="4020" w:type="dxa"/>
            <w:vAlign w:val="bottom"/>
            <w:gridSpan w:val="9"/>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21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71">
              <w:r>
                <w:rPr>
                  <w:rFonts w:ascii="Arial" w:cs="Arial" w:eastAsia="Arial" w:hAnsi="Arial"/>
                  <w:sz w:val="18"/>
                  <w:szCs w:val="18"/>
                  <w:color w:val="0000EE"/>
                  <w:w w:val="87"/>
                </w:rPr>
                <w:t>Notes to Financial Statements</w:t>
              </w:r>
            </w:hyperlink>
          </w:p>
        </w:tc>
        <w:tc>
          <w:tcPr>
            <w:tcW w:w="6020" w:type="dxa"/>
            <w:vAlign w:val="bottom"/>
            <w:gridSpan w:val="10"/>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343"/>
        </w:trPr>
        <w:tc>
          <w:tcPr>
            <w:tcW w:w="8140" w:type="dxa"/>
            <w:vAlign w:val="bottom"/>
            <w:gridSpan w:val="15"/>
          </w:tcPr>
          <w:p>
            <w:pPr>
              <w:spacing w:after="0"/>
              <w:rPr>
                <w:sz w:val="20"/>
                <w:szCs w:val="20"/>
                <w:color w:val="auto"/>
              </w:rPr>
            </w:pPr>
            <w:r>
              <w:rPr>
                <w:rFonts w:ascii="Arial" w:cs="Arial" w:eastAsia="Arial" w:hAnsi="Arial"/>
                <w:sz w:val="18"/>
                <w:szCs w:val="18"/>
                <w:b w:val="1"/>
                <w:bCs w:val="1"/>
                <w:color w:val="auto"/>
              </w:rPr>
              <w:t>Interim Financial Statements</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140" w:type="dxa"/>
            <w:vAlign w:val="bottom"/>
            <w:gridSpan w:val="15"/>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Report of Independent Registered Public Accounting Firm</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20"/>
        </w:trPr>
        <w:tc>
          <w:tcPr>
            <w:tcW w:w="210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140" w:type="dxa"/>
            <w:vAlign w:val="bottom"/>
            <w:gridSpan w:val="15"/>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Statements of Assets and Liabilities at June 30, 2009 (unaudited) and September 30, 2008</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2100" w:type="dxa"/>
            <w:vAlign w:val="bottom"/>
            <w:gridSpan w:val="4"/>
            <w:shd w:val="clear" w:color="auto" w:fill="0000EE"/>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83">
              <w:r>
                <w:rPr>
                  <w:rFonts w:ascii="Arial" w:cs="Arial" w:eastAsia="Arial" w:hAnsi="Arial"/>
                  <w:sz w:val="18"/>
                  <w:szCs w:val="18"/>
                  <w:color w:val="0000EE"/>
                  <w:w w:val="87"/>
                </w:rPr>
                <w:t>Statements of Operations for the three and nine months ended June 30, 2009 (unaudited) and 2008 (unaudited)</w:t>
              </w:r>
            </w:hyperlink>
          </w:p>
        </w:tc>
        <w:tc>
          <w:tcPr>
            <w:tcW w:w="36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304"/>
        </w:trPr>
        <w:tc>
          <w:tcPr>
            <w:tcW w:w="79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84">
              <w:r>
                <w:rPr>
                  <w:rFonts w:ascii="Arial" w:cs="Arial" w:eastAsia="Arial" w:hAnsi="Arial"/>
                  <w:sz w:val="18"/>
                  <w:szCs w:val="18"/>
                  <w:color w:val="0000EE"/>
                  <w:w w:val="87"/>
                </w:rPr>
                <w:t>Statements of Changes in Net Assets for the nine months ended June 30, 2009 (unaudited) and 2008 (unaudited)</w:t>
              </w:r>
            </w:hyperlink>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304"/>
        </w:trPr>
        <w:tc>
          <w:tcPr>
            <w:tcW w:w="71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85">
              <w:r>
                <w:rPr>
                  <w:rFonts w:ascii="Arial" w:cs="Arial" w:eastAsia="Arial" w:hAnsi="Arial"/>
                  <w:sz w:val="18"/>
                  <w:szCs w:val="18"/>
                  <w:color w:val="0000EE"/>
                  <w:w w:val="87"/>
                </w:rPr>
                <w:t>Statements of Cash Flows for the nine months ended June 30, 2009 (unaudited) and 2008 (unaudited)</w:t>
              </w:r>
            </w:hyperlink>
          </w:p>
        </w:tc>
        <w:tc>
          <w:tcPr>
            <w:tcW w:w="100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04"/>
        </w:trPr>
        <w:tc>
          <w:tcPr>
            <w:tcW w:w="8140" w:type="dxa"/>
            <w:vAlign w:val="bottom"/>
            <w:gridSpan w:val="15"/>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Schedules of Investments at June 30, 2009 (unaudited) and September 30, 2008</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304"/>
        </w:trPr>
        <w:tc>
          <w:tcPr>
            <w:tcW w:w="5600" w:type="dxa"/>
            <w:vAlign w:val="bottom"/>
            <w:tcBorders>
              <w:top w:val="single" w:sz="8" w:color="0000EE"/>
            </w:tcBorders>
            <w:gridSpan w:val="9"/>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Notes to Financial Statements</w:t>
              </w:r>
            </w:hyperlink>
          </w:p>
        </w:tc>
        <w:tc>
          <w:tcPr>
            <w:tcW w:w="2540" w:type="dxa"/>
            <w:vAlign w:val="bottom"/>
            <w:gridSpan w:val="6"/>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gridSpan w:val="7"/>
          </w:tcPr>
          <w:p>
            <w:pPr>
              <w:jc w:val="center"/>
              <w:ind w:right="1460"/>
              <w:spacing w:after="0"/>
              <w:rPr>
                <w:sz w:val="20"/>
                <w:szCs w:val="20"/>
                <w:color w:val="auto"/>
              </w:rPr>
            </w:pPr>
            <w:r>
              <w:rPr>
                <w:rFonts w:ascii="Arial" w:cs="Arial" w:eastAsia="Arial" w:hAnsi="Arial"/>
                <w:sz w:val="18"/>
                <w:szCs w:val="18"/>
                <w:color w:val="auto"/>
                <w:w w:val="88"/>
              </w:rPr>
              <w:t>F-1</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management of PennantPark Investment Corporation (the “Company”) is responsible for establishing and maintaining adequate internal control over financial reporting. The Company’s internal control system is a process designed to provide reasonable assurance to the Company’s management and board of directors regarding the preparation and fair presentation of published financial statements.</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September 30, 2008. In making this assessment, we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Based on the assessment management believes that, as of September 30, 2008, the Company’s internal control over financial reporting is effective based on those criteria.</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that audited the financial statements has issued an audit report on the effectiveness of the Company’s internal control over financial reporting as of September 30, 2008. This report appears on page F-4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audited the accompanying statements of assets and liabilities of PennantPark Investment Corporation (the “Company”) as of September 30, 2008 and 2007, including the schedule of investments, and the related statements of operations, changes in net assets, and cash flows for the year ended September 30, 2008 and for the period from January 11, 2007 (inception) through September 30, 2007.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PennantPark Investment Corporation as of September 30, 2008 and 2007, and the results of their operations and their cash flows for the year ended September 30, 2008 and for the period from January 11, 2007 (inception) through September 30, 2007, in conformity with U.S. generally accepted accounting principles.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November 20, 2008 expressed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03375" cy="3600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Corporation’s (the Company) internal control over financial reporting as of September 30,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r>
        <w:rPr>
          <w:rFonts w:ascii="Arial" w:cs="Arial" w:eastAsia="Arial" w:hAnsi="Arial"/>
          <w:sz w:val="18"/>
          <w:szCs w:val="18"/>
          <w:i w:val="1"/>
          <w:iCs w:val="1"/>
          <w:color w:val="auto"/>
        </w:rPr>
        <w:t>.</w:t>
      </w:r>
      <w:r>
        <w:rPr>
          <w:rFonts w:ascii="Arial" w:cs="Arial" w:eastAsia="Arial" w:hAnsi="Arial"/>
          <w:sz w:val="18"/>
          <w:szCs w:val="18"/>
          <w:color w:val="auto"/>
        </w:rPr>
        <w:t xml:space="preserve"> Management of the Company is responsible for maintaining effective internal control over financial reporting and for its assessment of the effectiveness of internal control over financial reporting, included on page 78 of the Annual Report on Form 10-K,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 xml:space="preserve">In our opinion, PennantPark Investment Corporation maintained, in all material respects, effective internal control over financial reporting as of September 30,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as of September 30, 2008 and 2007, including the schedule of investments, and the related statements of operations, changes in net assets, and cash flows for the year ended September 30, 2008 and for the period from January 11, 2007 (inception) through September 30, 2007, and our report dated November 20, 2008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03375" cy="3600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w w:val="94"/>
              </w:rPr>
              <w:t>Non-controlled, non-affiliated investments, at fair value (cost—$427,481,745 and $298,789,297, respectively)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354,261,950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274,679,030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Non-controlled, affiliated investments, at fair value (cost—$16,692,261 and $16,092,573, respectively)</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17,885,870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372,147,820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291,016,608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equivalents (cost—$40,249,201 and $258,016,351, respectively)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40,249,201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257,959,635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6,046,199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1,367,479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419,810,699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555,007,676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Payable for cash equivalents purchased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252,759,931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Unfunded investments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3,989,948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202,000,000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payable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725,317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1,300,617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420"/>
              <w:spacing w:after="0"/>
              <w:rPr>
                <w:sz w:val="20"/>
                <w:szCs w:val="20"/>
                <w:color w:val="auto"/>
              </w:rPr>
            </w:pPr>
            <w:r>
              <w:rPr>
                <w:rFonts w:ascii="Arial" w:cs="Arial" w:eastAsia="Arial" w:hAnsi="Arial"/>
                <w:sz w:val="18"/>
                <w:szCs w:val="18"/>
                <w:b w:val="1"/>
                <w:bCs w:val="1"/>
                <w:color w:val="auto"/>
              </w:rPr>
              <w:t>Total liabilities</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209,082,439</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284,614,582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w w:val="93"/>
              </w:rPr>
              <w:t>Common stock, par value $0.001 per share, 100,000,000 shares authorized and 21,068,772 shares issued and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294,586,604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294,586,604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(602,660)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(196,769)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(11,250,567)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(72,026,186)</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(23,921,978)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210,728,260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60" w:type="dxa"/>
            <w:vAlign w:val="bottom"/>
            <w:vMerge w:val="continue"/>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419,810,699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555,007,676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37,809,280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340,533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879,537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39,810,962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13,107,341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7,136,580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2,565,085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3,791,900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6,308,933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1,835,816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2,301,973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2,136,303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1,158,750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21,675,689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6,338,238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20"/>
              <w:spacing w:after="0"/>
              <w:rPr>
                <w:sz w:val="20"/>
                <w:szCs w:val="20"/>
                <w:color w:val="auto"/>
              </w:rPr>
            </w:pPr>
            <w:r>
              <w:rPr>
                <w:rFonts w:ascii="Arial" w:cs="Arial" w:eastAsia="Arial" w:hAnsi="Arial"/>
                <w:sz w:val="18"/>
                <w:szCs w:val="18"/>
                <w:color w:val="auto"/>
              </w:rPr>
              <w:t>Base management fee waiver</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(420,731)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21,254,958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5,802,845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18,556,004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21"/>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cash equivalents: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(11,154,735)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(49,052,812)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(24,166,983)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948,604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245,005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(48,104,208)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(23,921,978)</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realized and unrealized loss from investments and cash equivalents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(59,258,943)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(24,003,747)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(40,702,939)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(16,699,251)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Gain (loss) per common share (see note 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January 11,</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(inception)</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7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18,556,004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(11,154,735)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(48,104,208)</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(23,921,978)</w:t>
            </w:r>
          </w:p>
        </w:tc>
      </w:tr>
      <w:tr>
        <w:trPr>
          <w:trHeight w:val="27"/>
        </w:trPr>
        <w:tc>
          <w:tcPr>
            <w:tcW w:w="7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(40,702,939)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(16,699,251)</w:t>
            </w: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from net investment income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(7,545,458)</w:t>
            </w: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Return of capital</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(28,356)</w:t>
            </w:r>
          </w:p>
        </w:tc>
      </w:tr>
      <w:tr>
        <w:trPr>
          <w:trHeight w:val="27"/>
        </w:trPr>
        <w:tc>
          <w:tcPr>
            <w:tcW w:w="7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and distributions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(7,573,814)</w:t>
            </w: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of common stock</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315,375,000</w:t>
            </w: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Offering costs related to public share offerings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(21,309,375)</w:t>
            </w: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Reinvestment of dividends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shd w:val="clear" w:color="auto" w:fill="CCEEFF"/>
          </w:tcPr>
          <w:p>
            <w:pPr>
              <w:spacing w:after="0"/>
              <w:rPr>
                <w:sz w:val="18"/>
                <w:szCs w:val="18"/>
                <w:color w:val="auto"/>
              </w:rPr>
            </w:pPr>
          </w:p>
        </w:tc>
      </w:tr>
      <w:tr>
        <w:trPr>
          <w:trHeight w:val="221"/>
        </w:trPr>
        <w:tc>
          <w:tcPr>
            <w:tcW w:w="72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294,666,159</w:t>
            </w:r>
          </w:p>
        </w:tc>
        <w:tc>
          <w:tcPr>
            <w:tcW w:w="120" w:type="dxa"/>
            <w:vAlign w:val="bottom"/>
          </w:tcPr>
          <w:p>
            <w:pPr>
              <w:spacing w:after="0"/>
              <w:rPr>
                <w:sz w:val="19"/>
                <w:szCs w:val="19"/>
                <w:color w:val="auto"/>
              </w:rPr>
            </w:pPr>
          </w:p>
        </w:tc>
      </w:tr>
      <w:tr>
        <w:trPr>
          <w:trHeight w:val="218"/>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(decrease) increase in net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(59,664,834)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shd w:val="clear" w:color="auto" w:fill="CCEEFF"/>
          </w:tcPr>
          <w:p>
            <w:pPr>
              <w:spacing w:after="0"/>
              <w:rPr>
                <w:sz w:val="18"/>
                <w:szCs w:val="18"/>
                <w:color w:val="auto"/>
              </w:rPr>
            </w:pPr>
          </w:p>
        </w:tc>
      </w:tr>
      <w:tr>
        <w:trPr>
          <w:trHeight w:val="322"/>
        </w:trPr>
        <w:tc>
          <w:tcPr>
            <w:tcW w:w="72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270,393,094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End of period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210,728,260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Shares issued from subscriptions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21,025,000</w:t>
            </w: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20" w:type="dxa"/>
            <w:vAlign w:val="bottom"/>
            <w:shd w:val="clear" w:color="auto" w:fill="CCEEFF"/>
          </w:tcPr>
          <w:p>
            <w:pPr>
              <w:spacing w:after="0"/>
              <w:rPr>
                <w:sz w:val="18"/>
                <w:szCs w:val="18"/>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Total increase in capital shares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decrease in net assets resulting from operations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(40,702,939)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(16,699,251)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reconcile net decrease in net assets resulting from operations to net cash used by operating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48,104,208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23,921,978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11,154,735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(1,285,365)</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(206,790,979)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(413,972,173)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Payment-in-kind interest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(2,434,562)</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(668,268)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70,120,751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99,635,961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interest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(1,528,349)</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146,104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distributions payable to stockholders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5,056,505</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payables for cash equivalents purchased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(252,759,931)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252,759,931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increase in payables for investments purchased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(16,583,921)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16,583,921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(3,989,948)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554,328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190,824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used by operating activities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(390,748,539)</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(37,871,414)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issuance of common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315,375,000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Capitalized borrowing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(1,261,296)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461,040,000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271,913,786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(269,040,000)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(261,913,786)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173,038,105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295,831,049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(217,710,434)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257,959,635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257,959,635</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40,249,201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257,959,635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2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4,982,247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Non-cash financing activities consist of the reinvestment of dividends totaling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Maturity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2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80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Non-Affiliated Portfolio</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Companies—187.2%</w:t>
            </w:r>
            <w:r>
              <w:rPr>
                <w:rFonts w:ascii="Arial" w:cs="Arial" w:eastAsia="Arial" w:hAnsi="Arial"/>
                <w:sz w:val="20"/>
                <w:szCs w:val="20"/>
                <w:b w:val="1"/>
                <w:bCs w:val="1"/>
                <w:color w:val="auto"/>
                <w:vertAlign w:val="superscript"/>
              </w:rPr>
              <w:t>(1)</w:t>
            </w: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Notes—76.8%</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11/30/2015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$ 16,268,634</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$ 16,268,634</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03/01/2012</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Products</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21,587,384</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04/17/2015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7,831,761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03/19/2014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19,502,246</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06/06/2014</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21,649,325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05/20/2012</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13.75%</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19,555,782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12/28/2015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9,922,722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04/15/2015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12.38%</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26,337,698</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Merger Sub,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10/01/2016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11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19,811,785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02/08/2015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13.50%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20,428,146</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187,877,433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182,895,483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161,758,819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02/07/2015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2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9.81%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11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11,682,795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02/07/2015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8.81%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13,068,290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8"/>
              </w:rPr>
              <w:t>04/30/2015</w:t>
            </w: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1200" w:type="dxa"/>
            <w:vAlign w:val="bottom"/>
            <w:gridSpan w:val="3"/>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11.26%</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L+750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12,000,000</w:t>
            </w:r>
          </w:p>
        </w:tc>
        <w:tc>
          <w:tcPr>
            <w:tcW w:w="11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11,947,073</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11/04/2014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9.31%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05/15/2015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2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10.55%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L+775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9,951,058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05/15/2017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12.50%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16,565,952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06/15/2015</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120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8.54%</w:t>
            </w:r>
            <w:r>
              <w:rPr>
                <w:rFonts w:ascii="Arial" w:cs="Arial" w:eastAsia="Arial" w:hAnsi="Arial"/>
                <w:sz w:val="15"/>
                <w:szCs w:val="15"/>
                <w:color w:val="auto"/>
                <w:vertAlign w:val="superscript"/>
              </w:rPr>
              <w:t>(6)</w:t>
            </w: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L+575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12,500,000</w:t>
            </w:r>
          </w:p>
        </w:tc>
        <w:tc>
          <w:tcPr>
            <w:tcW w:w="11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11,838,114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12/15/2014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 Plastics and Rubber</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22,485,895</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06/15/2015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15,866,044</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128,100,000</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123,405,221</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8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841,927</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841,927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jc w:val="right"/>
              <w:ind w:right="380"/>
              <w:spacing w:after="0" w:line="297"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(7)</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(TZ Merger Sub, Inc.)</w:t>
            </w:r>
          </w:p>
        </w:tc>
        <w:tc>
          <w:tcPr>
            <w:tcW w:w="84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76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686</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6.50%</w:t>
            </w:r>
            <w:r>
              <w:rPr>
                <w:rFonts w:ascii="Arial" w:cs="Arial" w:eastAsia="Arial" w:hAnsi="Arial"/>
                <w:sz w:val="22"/>
                <w:szCs w:val="22"/>
                <w:color w:val="auto"/>
                <w:vertAlign w:val="superscript"/>
              </w:rPr>
              <w:t>(6)</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(TZ Merger Sub, Inc.)</w:t>
            </w:r>
          </w:p>
        </w:tc>
        <w:tc>
          <w:tcPr>
            <w:tcW w:w="84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1200" w:type="dxa"/>
            <w:vAlign w:val="bottom"/>
            <w:gridSpan w:val="3"/>
            <w:vMerge w:val="continue"/>
            <w:shd w:val="clear" w:color="auto" w:fill="CCEEFF"/>
          </w:tcPr>
          <w:p>
            <w:pPr>
              <w:spacing w:after="0"/>
              <w:rPr>
                <w:sz w:val="13"/>
                <w:szCs w:val="13"/>
                <w:color w:val="auto"/>
              </w:rPr>
            </w:pPr>
          </w:p>
        </w:tc>
        <w:tc>
          <w:tcPr>
            <w:tcW w:w="7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8.00%</w:t>
            </w:r>
            <w:r>
              <w:rPr>
                <w:rFonts w:ascii="Arial" w:cs="Arial" w:eastAsia="Arial" w:hAnsi="Arial"/>
                <w:sz w:val="22"/>
                <w:szCs w:val="22"/>
                <w:color w:val="auto"/>
                <w:vertAlign w:val="superscript"/>
              </w:rPr>
              <w:t>(6)</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4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200" w:type="dxa"/>
            <w:vAlign w:val="bottom"/>
            <w:gridSpan w:val="3"/>
            <w:vMerge w:val="continue"/>
          </w:tcPr>
          <w:p>
            <w:pPr>
              <w:spacing w:after="0"/>
              <w:rPr>
                <w:sz w:val="14"/>
                <w:szCs w:val="14"/>
                <w:color w:val="auto"/>
              </w:rPr>
            </w:pPr>
          </w:p>
        </w:tc>
        <w:tc>
          <w:tcPr>
            <w:tcW w:w="76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91,608</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2,499,066</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6"/>
              </w:rPr>
              <w:t>Current</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Maturity</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06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Common Equity/Partnership</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20"/>
                <w:szCs w:val="20"/>
                <w:b w:val="1"/>
                <w:bCs w:val="1"/>
                <w:color w:val="auto"/>
                <w:vertAlign w:val="superscript"/>
              </w:rPr>
              <w:t>(7)</w:t>
            </w:r>
            <w:r>
              <w:rPr>
                <w:rFonts w:ascii="Arial" w:cs="Arial" w:eastAsia="Arial" w:hAnsi="Arial"/>
                <w:sz w:val="13"/>
                <w:szCs w:val="13"/>
                <w:b w:val="1"/>
                <w:bCs w:val="1"/>
                <w:color w:val="auto"/>
              </w:rPr>
              <w:t>—4.0%</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3,000,000</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998,883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149,557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94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200" w:type="dxa"/>
            <w:vAlign w:val="bottom"/>
          </w:tcPr>
          <w:p>
            <w:pPr>
              <w:spacing w:after="0"/>
              <w:rPr>
                <w:sz w:val="13"/>
                <w:szCs w:val="13"/>
                <w:color w:val="auto"/>
              </w:rPr>
            </w:pPr>
          </w:p>
        </w:tc>
        <w:tc>
          <w:tcPr>
            <w:tcW w:w="9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(TZ Merger Sub,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91,608</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2,569,208</w:t>
            </w:r>
          </w:p>
        </w:tc>
        <w:tc>
          <w:tcPr>
            <w:tcW w:w="0" w:type="dxa"/>
            <w:vAlign w:val="bottom"/>
          </w:tcPr>
          <w:p>
            <w:pPr>
              <w:spacing w:after="0"/>
              <w:rPr>
                <w:sz w:val="1"/>
                <w:szCs w:val="1"/>
                <w:color w:val="auto"/>
              </w:rPr>
            </w:pPr>
          </w:p>
        </w:tc>
      </w:tr>
      <w:tr>
        <w:trPr>
          <w:trHeight w:val="156"/>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541,793</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6,659,360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8,464,883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05/28/2013</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5.06%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7,896,473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7,889,120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82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5"/>
              </w:rPr>
              <w:t>01/31/2013</w:t>
            </w:r>
          </w:p>
        </w:tc>
        <w:tc>
          <w:tcPr>
            <w:tcW w:w="19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4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L+250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1,484,888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Childcare</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08/07/2012</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12.04%</w:t>
            </w:r>
            <w:r>
              <w:rPr>
                <w:rFonts w:ascii="Arial" w:cs="Arial" w:eastAsia="Arial" w:hAnsi="Arial"/>
                <w:sz w:val="17"/>
                <w:szCs w:val="17"/>
                <w:color w:val="auto"/>
                <w:vertAlign w:val="superscript"/>
              </w:rPr>
              <w:t>(6)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14,014,177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12,965,204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12,192,334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08/07/2012</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12.25%</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P+725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08/28/2014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4.81%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09/16/2013</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3,411,892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12/19/2013</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8"/>
              </w:rPr>
              <w:t>Cargo Transport</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6,912,500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6,912,500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5,149,813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03/08/2014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4.83%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04/15/2014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5.31%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4,275,000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5"/>
              </w:rPr>
              <w:t>02/07/2014</w:t>
            </w:r>
          </w:p>
        </w:tc>
        <w:tc>
          <w:tcPr>
            <w:tcW w:w="19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14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Furnishings, Housewares and</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Durable Consumer Products</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03/08/2014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5.46%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4,564,563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4,564,563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2,639,837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Longview Power,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02/28/2014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Utilities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5.54%</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2,630,001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01/18/2014</w:t>
            </w:r>
          </w:p>
        </w:tc>
        <w:tc>
          <w:tcPr>
            <w:tcW w:w="19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5.96%</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3,950,100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3,950,100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2,567,565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4"/>
              </w:rPr>
              <w:t>Housewares and Durable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03/28/2014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3,723,300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02/28/2013</w:t>
            </w:r>
          </w:p>
        </w:tc>
        <w:tc>
          <w:tcPr>
            <w:tcW w:w="19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4.62%</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6,895,000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6,900,583</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5,274,675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4"/>
              </w:rPr>
              <w:t>Housewares and Durable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02/01/2013</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5.07%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03/16/2014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1,474,667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1,194,480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05/04/2014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03/02/2014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7"/>
              </w:rPr>
              <w:t>Printing and Publishing</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699,350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Rexnord ,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07/19/2013</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5.76%</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2,917,576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2,917,576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2,625,819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01/30/2014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5.30%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2,592,017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2,592,017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01/30/2014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P+150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90,311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65,927</w:t>
            </w: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106,271,980</w:t>
            </w:r>
          </w:p>
        </w:tc>
        <w:tc>
          <w:tcPr>
            <w:tcW w:w="1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105,222,862</w:t>
            </w: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78,844,929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Investments in Non-Controlled, Non-Affiliated Portfolio</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427,481,745</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354,261,950</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6"/>
              </w:rPr>
              <w:t>Current</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Above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Coupon</w:t>
            </w:r>
          </w:p>
        </w:tc>
        <w:tc>
          <w:tcPr>
            <w:tcW w:w="88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92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Affiliated Portfolio Companies</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—8.5%</w:t>
            </w:r>
            <w:r>
              <w:rPr>
                <w:rFonts w:ascii="Arial" w:cs="Arial" w:eastAsia="Arial" w:hAnsi="Arial"/>
                <w:sz w:val="20"/>
                <w:szCs w:val="20"/>
                <w:b w:val="1"/>
                <w:bCs w:val="1"/>
                <w:color w:val="auto"/>
                <w:vertAlign w:val="superscript"/>
              </w:rPr>
              <w:t>(2)</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Notes—2.1%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07/02/2014</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18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93"/>
              </w:rPr>
              <w:t>4,414,356</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4,192,261</w:t>
            </w:r>
          </w:p>
        </w:tc>
        <w:tc>
          <w:tcPr>
            <w:tcW w:w="3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4,414,356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Second Lien Secured Debt—4.0%</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07/02/2013</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Leisure, Amusement, Motion</w:t>
            </w:r>
          </w:p>
        </w:tc>
        <w:tc>
          <w:tcPr>
            <w:tcW w:w="118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8.55%</w:t>
            </w:r>
          </w:p>
        </w:tc>
        <w:tc>
          <w:tcPr>
            <w:tcW w:w="88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93"/>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8,347,500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102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220" w:type="dxa"/>
            <w:vAlign w:val="bottom"/>
          </w:tcPr>
          <w:p>
            <w:pPr>
              <w:spacing w:after="0"/>
              <w:rPr>
                <w:sz w:val="11"/>
                <w:szCs w:val="11"/>
                <w:color w:val="auto"/>
              </w:rPr>
            </w:pPr>
          </w:p>
        </w:tc>
        <w:tc>
          <w:tcPr>
            <w:tcW w:w="960" w:type="dxa"/>
            <w:vAlign w:val="bottom"/>
            <w:gridSpan w:val="2"/>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3,750,000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5,124,014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Investments in Non-Controlled, Affiliated Portfolio Companies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16,692,261</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17,885,870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Investments—176.6%</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2"/>
              </w:rPr>
              <w:t>444,174,006</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372,147,820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Money Market—Mutual Funds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2"/>
              </w:rPr>
              <w:t>40,249,201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40,249,201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40,249,201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40,249,201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Equivalents—195.7%</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2"/>
              </w:rPr>
              <w:t>484,423,207</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412,397,021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Assets—(95.7%)</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84"/>
              </w:rPr>
              <w:t>(201,668,761)</w:t>
            </w: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210,728,260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1"/>
              </w:rPr>
              <w:t>Basis Point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Spread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90"/>
              </w:rPr>
              <w:t>Current</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2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4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Investments in Non-Controlled, Non-</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b w:val="1"/>
                <w:bCs w:val="1"/>
                <w:color w:val="auto"/>
              </w:rPr>
              <w:t>Affiliated Portfolio Companies—</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101.6%</w:t>
            </w:r>
            <w:r>
              <w:rPr>
                <w:rFonts w:ascii="Arial" w:cs="Arial" w:eastAsia="Arial" w:hAnsi="Arial"/>
                <w:sz w:val="20"/>
                <w:szCs w:val="20"/>
                <w:b w:val="1"/>
                <w:bCs w:val="1"/>
                <w:color w:val="auto"/>
                <w:vertAlign w:val="superscript"/>
              </w:rPr>
              <w:t>(1)</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w w:val="98"/>
              </w:rPr>
              <w:t>Subordinated Debt/Corporate Notes—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60" w:type="dxa"/>
            <w:vAlign w:val="bottom"/>
            <w:gridSpan w:val="2"/>
          </w:tcPr>
          <w:p>
            <w:pPr>
              <w:ind w:left="220"/>
              <w:spacing w:after="0"/>
              <w:rPr>
                <w:sz w:val="20"/>
                <w:szCs w:val="20"/>
                <w:color w:val="auto"/>
              </w:rPr>
            </w:pPr>
            <w:r>
              <w:rPr>
                <w:rFonts w:ascii="Arial" w:cs="Arial" w:eastAsia="Arial" w:hAnsi="Arial"/>
                <w:sz w:val="14"/>
                <w:szCs w:val="14"/>
                <w:b w:val="1"/>
                <w:bCs w:val="1"/>
                <w:color w:val="auto"/>
              </w:rPr>
              <w:t>19.8%</w:t>
            </w:r>
          </w:p>
        </w:tc>
        <w:tc>
          <w:tcPr>
            <w:tcW w:w="1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11/30/2015</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12.20%</w:t>
            </w:r>
            <w:r>
              <w:rPr>
                <w:rFonts w:ascii="Arial" w:cs="Arial" w:eastAsia="Arial" w:hAnsi="Arial"/>
                <w:sz w:val="17"/>
                <w:szCs w:val="17"/>
                <w:color w:val="auto"/>
                <w:vertAlign w:val="superscript"/>
              </w:rPr>
              <w:t>(7)</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L+700</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14,580,690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$14,580,690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$14,580,690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03/01/2012</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1"/>
                <w:szCs w:val="11"/>
                <w:color w:val="auto"/>
              </w:rPr>
              <w:t>11.68%</w:t>
            </w:r>
            <w:r>
              <w:rPr>
                <w:rFonts w:ascii="Arial" w:cs="Arial" w:eastAsia="Arial" w:hAnsi="Arial"/>
                <w:sz w:val="17"/>
                <w:szCs w:val="17"/>
                <w:color w:val="auto"/>
                <w:vertAlign w:val="superscript"/>
              </w:rPr>
              <w:t>(7)</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L+625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18,500,000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18,106,103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Realogy, Corp.</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04/15/2015</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28,000,000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26,117,780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Total Subordinated Debt/Corporate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82"/>
              </w:rPr>
              <w:t>61,080,690</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58,804,573</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53,480,690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11/04/2014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12.08%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L+650</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10,000,000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05/15/2015</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13.31%</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L+775</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10,000,000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9,932,321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(6)</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05/15/2017</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19,000,000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16,198,167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12,730,000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Specialized Technology Resources,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12/15/2014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12.13%</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L+700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17,500,000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17,493,750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06/15/2015</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1"/>
                <w:szCs w:val="11"/>
                <w:color w:val="auto"/>
              </w:rPr>
              <w:t>11.30%</w:t>
            </w:r>
            <w:r>
              <w:rPr>
                <w:rFonts w:ascii="Arial" w:cs="Arial" w:eastAsia="Arial" w:hAnsi="Arial"/>
                <w:sz w:val="17"/>
                <w:szCs w:val="17"/>
                <w:color w:val="auto"/>
                <w:vertAlign w:val="superscript"/>
              </w:rPr>
              <w:t>(7)</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L+600</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13,000,000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12,886,250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12,431,250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69,500,000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66,510,488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58,998,750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Common Equity/Partnership Interest</w:t>
            </w:r>
            <w:r>
              <w:rPr>
                <w:rFonts w:ascii="Arial" w:cs="Arial" w:eastAsia="Arial" w:hAnsi="Arial"/>
                <w:sz w:val="14"/>
                <w:szCs w:val="14"/>
                <w:b w:val="1"/>
                <w:bCs w:val="1"/>
                <w:color w:val="auto"/>
                <w:vertAlign w:val="superscript"/>
              </w:rPr>
              <w:t>(8)</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—1.2%</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0" w:type="dxa"/>
            <w:vAlign w:val="bottom"/>
          </w:tcPr>
          <w:p>
            <w:pPr>
              <w:spacing w:after="0"/>
              <w:rPr>
                <w:sz w:val="12"/>
                <w:szCs w:val="12"/>
                <w:color w:val="auto"/>
              </w:rPr>
            </w:pPr>
          </w:p>
        </w:tc>
        <w:tc>
          <w:tcPr>
            <w:tcW w:w="8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Par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Debt—58.8%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Berry Plastics Group,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04/03/2015</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7.34%</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7,462,500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7,462,500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7,274,602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Burlington Coat Factory Warehouse Corp.</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05/28/2013</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7.76%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7,896,473</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7,887,537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7,571,975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80" w:type="dxa"/>
            <w:vAlign w:val="bottom"/>
            <w:gridSpan w:val="2"/>
          </w:tcPr>
          <w:p>
            <w:pPr>
              <w:spacing w:after="0" w:line="138" w:lineRule="exact"/>
              <w:rPr>
                <w:sz w:val="20"/>
                <w:szCs w:val="20"/>
                <w:color w:val="auto"/>
              </w:rPr>
            </w:pPr>
            <w:r>
              <w:rPr>
                <w:rFonts w:ascii="Arial" w:cs="Arial" w:eastAsia="Arial" w:hAnsi="Arial"/>
                <w:sz w:val="14"/>
                <w:szCs w:val="14"/>
                <w:color w:val="auto"/>
              </w:rPr>
              <w:t>Charter Communications Operating,</w:t>
            </w:r>
          </w:p>
        </w:tc>
        <w:tc>
          <w:tcPr>
            <w:tcW w:w="7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03/06/2014</w:t>
            </w:r>
          </w:p>
        </w:tc>
        <w:tc>
          <w:tcPr>
            <w:tcW w:w="4140" w:type="dxa"/>
            <w:vAlign w:val="bottom"/>
          </w:tcPr>
          <w:p>
            <w:pPr>
              <w:jc w:val="center"/>
              <w:spacing w:after="0" w:line="138" w:lineRule="exact"/>
              <w:rPr>
                <w:sz w:val="20"/>
                <w:szCs w:val="20"/>
                <w:color w:val="auto"/>
              </w:rPr>
            </w:pPr>
            <w:r>
              <w:rPr>
                <w:rFonts w:ascii="Arial" w:cs="Arial" w:eastAsia="Arial" w:hAnsi="Arial"/>
                <w:sz w:val="14"/>
                <w:szCs w:val="14"/>
                <w:color w:val="auto"/>
                <w:w w:val="88"/>
              </w:rPr>
              <w:t>Cable Television</w:t>
            </w:r>
          </w:p>
        </w:tc>
        <w:tc>
          <w:tcPr>
            <w:tcW w:w="100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rPr>
              <w:t>7.13%</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L+200</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w w:val="82"/>
              </w:rPr>
              <w:t>15,000,000</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14,992,740</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14,468,310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L.L.C.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Cohr Holdings,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01/31/2013</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8.04%</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2,985,000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2,985,000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FR Brand Acquisition Corp.</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02/07/2014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7.53%</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1,990,000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1,990,000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1,887,183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08/28/2014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7.47%</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7,000,000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09/16/2013</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7.61%</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6,483,750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6,487,788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6,147,405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12/19/2013</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L+350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6,947,500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6,947,500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6,079,062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03/08/2014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7.60%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9,000,000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7,845,003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Hawker Beechcraft,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03/28/2014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7.21%</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1,990,780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1,990,780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1,930,226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Health Management Associates,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02/28/2014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6.95%</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L+175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9,950,000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9,950,000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9,441,615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04/15/2014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8.06%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5,000,000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Jacuzzi Brands Corp.</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02/07/2014</w:t>
            </w:r>
          </w:p>
        </w:tc>
        <w:tc>
          <w:tcPr>
            <w:tcW w:w="4140" w:type="dxa"/>
            <w:vAlign w:val="bottom"/>
          </w:tcPr>
          <w:p>
            <w:pPr>
              <w:jc w:val="center"/>
              <w:spacing w:after="0"/>
              <w:rPr>
                <w:sz w:val="20"/>
                <w:szCs w:val="20"/>
                <w:color w:val="auto"/>
              </w:rPr>
            </w:pPr>
            <w:r>
              <w:rPr>
                <w:rFonts w:ascii="Arial" w:cs="Arial" w:eastAsia="Arial" w:hAnsi="Arial"/>
                <w:sz w:val="14"/>
                <w:szCs w:val="14"/>
                <w:color w:val="auto"/>
                <w:w w:val="86"/>
              </w:rPr>
              <w:t>Home and Office Furnishings, Housewares and Durable Consumer Products</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7.44%</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L+225</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9,963,514</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9,963,514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8,947,235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Basis Point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Maturity</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4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Debt—(Continued)</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Level 3 Financing,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03/13/2014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7.61%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1,939,642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Levlad, L.L.C.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03/08/2014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4,842,920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4,842,920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3,357,757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Longview Power, L.L.C.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02/28/2014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2,020,000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2,020,000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1,939,200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Longview Power, L.L.C.</w:t>
            </w:r>
            <w:r>
              <w:rPr>
                <w:rFonts w:ascii="Arial" w:cs="Arial" w:eastAsia="Arial" w:hAnsi="Arial"/>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02/28/2014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Mach Gen, L.L.C.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02/22/2014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7.34%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3,972,813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3,971,545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3,845,683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384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w w:val="88"/>
              </w:rPr>
              <w:t>01/18/2014   Home and Office Furnishings, Housewares and Durable</w:t>
            </w:r>
          </w:p>
        </w:tc>
        <w:tc>
          <w:tcPr>
            <w:tcW w:w="9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7.61%</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3,990,000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3,990,000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3,740,625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McJunkin Corp.</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01/31/2014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7.45%</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982,525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982,525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965,331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03/28/2014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3,835,725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200" w:type="dxa"/>
            <w:vAlign w:val="bottom"/>
            <w:gridSpan w:val="3"/>
          </w:tcPr>
          <w:p>
            <w:pPr>
              <w:spacing w:after="0"/>
              <w:rPr>
                <w:sz w:val="20"/>
                <w:szCs w:val="20"/>
                <w:color w:val="auto"/>
              </w:rPr>
            </w:pPr>
            <w:r>
              <w:rPr>
                <w:rFonts w:ascii="Arial" w:cs="Arial" w:eastAsia="Arial" w:hAnsi="Arial"/>
                <w:sz w:val="14"/>
                <w:szCs w:val="14"/>
                <w:color w:val="auto"/>
              </w:rPr>
              <w:t>National Bedding Co., L.L.C.</w:t>
            </w:r>
          </w:p>
        </w:tc>
        <w:tc>
          <w:tcPr>
            <w:tcW w:w="3840" w:type="dxa"/>
            <w:vAlign w:val="bottom"/>
            <w:gridSpan w:val="3"/>
          </w:tcPr>
          <w:p>
            <w:pPr>
              <w:ind w:left="20"/>
              <w:spacing w:after="0"/>
              <w:rPr>
                <w:sz w:val="20"/>
                <w:szCs w:val="20"/>
                <w:color w:val="auto"/>
              </w:rPr>
            </w:pPr>
            <w:r>
              <w:rPr>
                <w:rFonts w:ascii="Arial" w:cs="Arial" w:eastAsia="Arial" w:hAnsi="Arial"/>
                <w:sz w:val="14"/>
                <w:szCs w:val="14"/>
                <w:color w:val="auto"/>
                <w:w w:val="88"/>
              </w:rPr>
              <w:t>08/31/2011   Home and Office Furnishings, Housewares and Durable</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7.43%</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L+200</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6,965,000</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6,971,653</w:t>
            </w:r>
          </w:p>
        </w:tc>
        <w:tc>
          <w:tcPr>
            <w:tcW w:w="2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6,668,988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02/01/2013</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7.59%</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4,716,922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03/16/2014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7.36%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1,493,333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1,493,333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Proquest CSA, L.L.C.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02/09/2014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955,833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955,833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05/04/2014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8.56%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4,974,167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4,974,167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4,839,742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03/02/2014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Rexnord , L.L.C.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07/19/2013</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8"/>
              </w:rPr>
              <w:t>Manufacturing and Basic Industry</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7.64%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4,937,500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4,937,500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4,835,664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01/30/2014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2,867,302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2,867,302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2,680,927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Univision Communications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09/29/2014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6"/>
              </w:rPr>
              <w:t>Broadcasting and Entertainment</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7.57%</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14,093,960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14,093,960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13,389,262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Univision Communications Inc.</w:t>
            </w:r>
            <w:r>
              <w:rPr>
                <w:rFonts w:ascii="Arial" w:cs="Arial" w:eastAsia="Arial" w:hAnsi="Arial"/>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09/29/2014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Broadcasting and Entertainment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906,040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906,040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Valassis Communications,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03/02/2014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6.95%</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L+175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7,061,899</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7,061,899</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6,549,911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Valassis Communications, Inc.</w:t>
            </w:r>
            <w:r>
              <w:rPr>
                <w:rFonts w:ascii="Arial" w:cs="Arial" w:eastAsia="Arial" w:hAnsi="Arial"/>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03/02/2014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2,103,908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2,103,908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1,951,375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Western Refining,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05/30/2014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6.88%</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L+175</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3,714,286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3,714,286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3,640,000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170,481,009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170,474,236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158,929,905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3"/>
              </w:rPr>
              <w:t>Total Investments in Non-Controlled, Non-Affiliated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gridSpan w:val="2"/>
          </w:tcPr>
          <w:p>
            <w:pPr>
              <w:ind w:left="200"/>
              <w:spacing w:after="0"/>
              <w:rPr>
                <w:sz w:val="20"/>
                <w:szCs w:val="20"/>
                <w:color w:val="auto"/>
              </w:rPr>
            </w:pPr>
            <w:r>
              <w:rPr>
                <w:rFonts w:ascii="Arial" w:cs="Arial" w:eastAsia="Arial" w:hAnsi="Arial"/>
                <w:sz w:val="14"/>
                <w:szCs w:val="14"/>
                <w:b w:val="1"/>
                <w:bCs w:val="1"/>
                <w:color w:val="auto"/>
              </w:rPr>
              <w:t>Portfolio Companies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84"/>
              </w:rPr>
              <w:t>298,789,297</w:t>
            </w:r>
          </w:p>
        </w:tc>
        <w:tc>
          <w:tcPr>
            <w:tcW w:w="240" w:type="dxa"/>
            <w:vAlign w:val="bottom"/>
          </w:tcPr>
          <w:p>
            <w:pPr>
              <w:jc w:val="right"/>
              <w:spacing w:after="0"/>
              <w:rPr>
                <w:sz w:val="20"/>
                <w:szCs w:val="20"/>
                <w:color w:val="auto"/>
              </w:rPr>
            </w:pPr>
            <w:r>
              <w:rPr>
                <w:rFonts w:ascii="Arial" w:cs="Arial" w:eastAsia="Arial" w:hAnsi="Arial"/>
                <w:sz w:val="14"/>
                <w:szCs w:val="14"/>
                <w:u w:val="single" w:color="auto"/>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84"/>
              </w:rPr>
              <w:t>274,679,030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Basis Point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Maturity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86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12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Affiliated Portfolio Companies—</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jc w:val="right"/>
              <w:ind w:right="35"/>
              <w:spacing w:after="0" w:line="176" w:lineRule="exact"/>
              <w:rPr>
                <w:sz w:val="20"/>
                <w:szCs w:val="20"/>
                <w:color w:val="auto"/>
              </w:rPr>
            </w:pPr>
            <w:r>
              <w:rPr>
                <w:rFonts w:ascii="Arial" w:cs="Arial" w:eastAsia="Arial" w:hAnsi="Arial"/>
                <w:sz w:val="13"/>
                <w:szCs w:val="13"/>
                <w:b w:val="1"/>
                <w:bCs w:val="1"/>
                <w:color w:val="auto"/>
              </w:rPr>
              <w:t>6.0%</w:t>
            </w:r>
            <w:r>
              <w:rPr>
                <w:rFonts w:ascii="Arial" w:cs="Arial" w:eastAsia="Arial" w:hAnsi="Arial"/>
                <w:sz w:val="20"/>
                <w:szCs w:val="20"/>
                <w:b w:val="1"/>
                <w:bCs w:val="1"/>
                <w:color w:val="auto"/>
                <w:vertAlign w:val="superscript"/>
              </w:rPr>
              <w:t>(2)</w:t>
            </w:r>
          </w:p>
        </w:tc>
        <w:tc>
          <w:tcPr>
            <w:tcW w:w="3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Notes—1.4%</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07/02/2014</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18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(7)</w:t>
            </w:r>
          </w:p>
        </w:tc>
        <w:tc>
          <w:tcPr>
            <w:tcW w:w="8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3,837,578</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3,592,573</w:t>
            </w:r>
          </w:p>
        </w:tc>
        <w:tc>
          <w:tcPr>
            <w:tcW w:w="3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3,837,578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Debt—3.2%</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07/02/2013</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18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11.11%</w:t>
            </w:r>
          </w:p>
        </w:tc>
        <w:tc>
          <w:tcPr>
            <w:tcW w:w="8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L+575</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8,750,000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(8)</w:t>
            </w:r>
            <w:r>
              <w:rPr>
                <w:rFonts w:ascii="Arial" w:cs="Arial" w:eastAsia="Arial" w:hAnsi="Arial"/>
                <w:sz w:val="11"/>
                <w:szCs w:val="11"/>
                <w:b w:val="1"/>
                <w:bCs w:val="1"/>
                <w:color w:val="auto"/>
              </w:rPr>
              <w:t>—1.4%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8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200" w:type="dxa"/>
            <w:vAlign w:val="bottom"/>
          </w:tcPr>
          <w:p>
            <w:pPr>
              <w:spacing w:after="0"/>
              <w:rPr>
                <w:sz w:val="11"/>
                <w:szCs w:val="11"/>
                <w:color w:val="auto"/>
              </w:rPr>
            </w:pPr>
          </w:p>
        </w:tc>
        <w:tc>
          <w:tcPr>
            <w:tcW w:w="980" w:type="dxa"/>
            <w:vAlign w:val="bottom"/>
            <w:gridSpan w:val="2"/>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3,750,000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Investments in Non-Controlled, Affiliated Portfolio Companies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16,092,573</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16,337,578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Investments—107.6%</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2"/>
              </w:rPr>
              <w:t>314,881,870</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291,016,608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Equivalents—95.4%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U.S. Treasury Bill</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12/27/2007</w:t>
            </w:r>
          </w:p>
        </w:tc>
        <w:tc>
          <w:tcPr>
            <w:tcW w:w="1600" w:type="dxa"/>
            <w:vAlign w:val="bottom"/>
          </w:tcPr>
          <w:p>
            <w:pPr>
              <w:spacing w:after="0"/>
              <w:rPr>
                <w:sz w:val="12"/>
                <w:szCs w:val="12"/>
                <w:color w:val="auto"/>
              </w:rPr>
            </w:pP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3.64%</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2"/>
              </w:rPr>
              <w:t>255,000,000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2"/>
              </w:rPr>
              <w:t>252,759,931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9"/>
              </w:rPr>
              <w:t>252,703,215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Money Market—Mutual Fund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5,256,420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5,256,420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5,256,420</w:t>
            </w: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Cash Equivalents</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2"/>
              </w:rPr>
              <w:t>260,256,420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2"/>
              </w:rPr>
              <w:t>258,016,351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257,959,635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Equivalents—203.0%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572,898,221</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548,976,243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Assets—(103.0%)</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4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4"/>
              </w:rPr>
              <w:t>(278,583,149)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270,393,094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 Rate (LIBOR or “L”).</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purchases of securities with delayed draws. These securities do not have a basis point spread above index.</w:t>
      </w:r>
    </w:p>
    <w:p>
      <w:pPr>
        <w:spacing w:after="0" w:line="68" w:lineRule="exact"/>
        <w:rPr>
          <w:rFonts w:ascii="Arial" w:cs="Arial" w:eastAsia="Arial" w:hAnsi="Arial"/>
          <w:sz w:val="14"/>
          <w:szCs w:val="14"/>
          <w:color w:val="auto"/>
        </w:rPr>
      </w:pPr>
    </w:p>
    <w:p>
      <w:pPr>
        <w:ind w:left="340" w:right="30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PennantPark Investment and its wholly owned special purpose subsidiary, Pennant SPV Company, LLC (“Pennant SPV”) a Delaware corporation. On April 24, 2007, Pennant SPV transferred all of its assets to PennantPark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60" w:hanging="446"/>
        <w:spacing w:after="0" w:line="290"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We expect that there will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include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51"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are believed to be inaccurate, our board of directors undertakes a multi-step valuation process each quarter, as described below:</w:t>
      </w:r>
    </w:p>
    <w:p>
      <w:pPr>
        <w:spacing w:after="0" w:line="51" w:lineRule="exact"/>
        <w:rPr>
          <w:sz w:val="20"/>
          <w:szCs w:val="20"/>
          <w:color w:val="auto"/>
        </w:rPr>
      </w:pPr>
    </w:p>
    <w:p>
      <w:pPr>
        <w:ind w:left="1480" w:right="160" w:hanging="567"/>
        <w:spacing w:after="0" w:line="268"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80" w:right="40" w:hanging="567"/>
        <w:spacing w:after="0" w:line="256"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1480" w:right="200" w:hanging="567"/>
        <w:spacing w:after="0" w:line="259"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9"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5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Investments purchased within 60 days of maturity are valued at cost plus accreted discount, or minus amortized premium, which approximates value.</w:t>
      </w:r>
    </w:p>
    <w:p>
      <w:pPr>
        <w:spacing w:after="0" w:line="124" w:lineRule="exact"/>
        <w:rPr>
          <w:rFonts w:ascii="Arial" w:cs="Arial" w:eastAsia="Arial" w:hAnsi="Arial"/>
          <w:sz w:val="15"/>
          <w:szCs w:val="15"/>
          <w:color w:val="auto"/>
        </w:rPr>
      </w:pPr>
    </w:p>
    <w:p>
      <w:pPr>
        <w:ind w:left="900" w:right="20" w:hanging="446"/>
        <w:spacing w:after="0" w:line="255"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61"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98" w:lineRule="auto"/>
        <w:rPr>
          <w:sz w:val="20"/>
          <w:szCs w:val="20"/>
          <w:color w:val="auto"/>
        </w:rPr>
      </w:pPr>
      <w:r>
        <w:rPr>
          <w:rFonts w:ascii="Arial" w:cs="Arial" w:eastAsia="Arial" w:hAnsi="Arial"/>
          <w:sz w:val="16"/>
          <w:szCs w:val="16"/>
          <w:color w:val="auto"/>
        </w:rPr>
        <w:t>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to the extent that we expect to collect such amounts.</w:t>
      </w:r>
    </w:p>
    <w:p>
      <w:pPr>
        <w:spacing w:after="0" w:line="45" w:lineRule="exact"/>
        <w:rPr>
          <w:sz w:val="20"/>
          <w:szCs w:val="20"/>
          <w:color w:val="auto"/>
        </w:rPr>
      </w:pPr>
    </w:p>
    <w:p>
      <w:pPr>
        <w:ind w:left="900" w:right="60" w:hanging="446"/>
        <w:spacing w:after="0" w:line="286"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as of its next taxable year-end,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2007 or September 30, 2008. Although we file federal and state tax returns, our major tax jurisdiction is federal. Our 2008 and 2007 federal tax year remains subject to examination by the IRS.</w:t>
      </w:r>
    </w:p>
    <w:p>
      <w:pPr>
        <w:spacing w:after="0" w:line="43"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jc w:val="both"/>
        <w:ind w:left="900" w:right="120" w:hanging="446"/>
        <w:spacing w:after="0" w:line="298"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1"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have adopted SFAS 157 on October 1, 2008. This adoption did not affect the Company’s financial position or its results of operations.</w:t>
      </w:r>
    </w:p>
    <w:p>
      <w:pPr>
        <w:spacing w:after="0" w:line="39" w:lineRule="exact"/>
        <w:rPr>
          <w:rFonts w:ascii="Arial" w:cs="Arial" w:eastAsia="Arial" w:hAnsi="Arial"/>
          <w:sz w:val="16"/>
          <w:szCs w:val="16"/>
          <w:color w:val="auto"/>
        </w:rPr>
      </w:pPr>
    </w:p>
    <w:p>
      <w:pPr>
        <w:ind w:left="900" w:right="120" w:hanging="446"/>
        <w:spacing w:after="0" w:line="291"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SFAS 159 on October 1, 2008 and have made an irrevocable election to apply the fair value option to our credit facility liability. Upon our adoption our Net Asset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306" w:lineRule="auto"/>
        <w:rPr>
          <w:sz w:val="20"/>
          <w:szCs w:val="20"/>
          <w:color w:val="auto"/>
        </w:rPr>
      </w:pPr>
      <w:r>
        <w:rPr>
          <w:rFonts w:ascii="Arial" w:cs="Arial" w:eastAsia="Arial" w:hAnsi="Arial"/>
          <w:sz w:val="16"/>
          <w:szCs w:val="16"/>
          <w:color w:val="auto"/>
        </w:rPr>
        <w:t>Value increased by $41.8 million, or $1.98 per share, due to the fair value adjustment related to our credit facility. After adoption, subsequent changes in the fair value of our credit facility will be recorded in the Statement of Operations. We have not elected to apply the fair value option to any other financial assets or liabilities. The balances in the September 30, 2008 financial statements as reported did not reflect such adoption.</w:t>
      </w:r>
    </w:p>
    <w:p>
      <w:pPr>
        <w:spacing w:after="0" w:line="39" w:lineRule="exact"/>
        <w:rPr>
          <w:sz w:val="20"/>
          <w:szCs w:val="20"/>
          <w:color w:val="auto"/>
        </w:rPr>
      </w:pPr>
    </w:p>
    <w:p>
      <w:pPr>
        <w:ind w:left="900" w:hanging="446"/>
        <w:spacing w:after="0"/>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246" w:lineRule="exact"/>
        <w:rPr>
          <w:rFonts w:ascii="Arial" w:cs="Arial" w:eastAsia="Arial" w:hAnsi="Arial"/>
          <w:sz w:val="18"/>
          <w:szCs w:val="18"/>
          <w:color w:val="auto"/>
        </w:rPr>
      </w:pPr>
    </w:p>
    <w:p>
      <w:pPr>
        <w:ind w:left="180" w:hanging="172"/>
        <w:spacing w:after="0"/>
        <w:tabs>
          <w:tab w:leader="none" w:pos="1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9).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after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 ended September 30, 2008, the Investment Adviser received a net base management fee of $6.7 million from the Company. For the period from April 24, 2007 (initial public offering) through September 30, 2007, the Investment Adviser received a net base management fee of approximately $1.9 million from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46" w:lineRule="exact"/>
        <w:rPr>
          <w:sz w:val="20"/>
          <w:szCs w:val="20"/>
          <w:color w:val="auto"/>
        </w:rPr>
      </w:pPr>
    </w:p>
    <w:p>
      <w:pPr>
        <w:ind w:right="20" w:firstLine="464"/>
        <w:spacing w:after="0" w:line="306" w:lineRule="auto"/>
        <w:tabs>
          <w:tab w:leader="none" w:pos="7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 ended September 30, 2008, the Adviser received an incentive fee of $3.8 million from the Company. For the period from April 24, 2007 (initial public offering) through September 30, 2007, the Investment Adviser did not receive an incentive fee from the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 ended September 30, 2008, the Investment Adviser was reimbursed $2.0 million from the Company, including expenses it incurred on behalf of the Administrator, for services described above. For the period from April 24, 2007 (initial public offering) through September 30, 2007, the Investment Adviser was reimbursed approximately $490,000 from the Company for services described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 portion of the net proceeds of the Company’s initial public offering was used for organizational, offering and other expenses. Organizational expenses were treated as expenses incurred. Offering costs of $21.3 million were charged to net assets after the completion of the initial public offering on April 24,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On September 30, 2008, PennantPark Investment’s total net assets and net asset value per share were $210.7 million and $10.00, respectively. On September 30, 2007, PennantPark Investment’s total net assets and net asset value per share were $270.4 million and $12.83, respectively.</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20"/>
          </w:cols>
          <w:pgMar w:left="240" w:top="460"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(40,702,939)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21,068,772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20,936,149*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Since completion of IPO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Purchases and sales/repayments of long-term investments for the fiscal year ended September 30, 2008 totaled $206.8 million and $70.1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2008</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132,155,221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104,242,000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75,260,488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187,087,744</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166,173,175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62,397,146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57,318,268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9,298,819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9,298,819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Common equity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10,409,360</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13,588,897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6,750,000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105,222,862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78,844,929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170,474,236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158,929,905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40,249,201</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40,249,201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258,016,351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257,959,635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484,423,207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412,397,021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572,898,221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548,976,243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represents the original cost adjusted for the accretion of discounts and amortization of premiums on debt investments, if any.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2008 and September 30, 2007.</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62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84"/>
              </w:rPr>
              <w:t>September 30, 2008</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6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Energy /Utilities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w:t>
            </w: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Manufacturing / Basic Industry</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Broadcast and Entertainment</w:t>
            </w:r>
          </w:p>
        </w:tc>
        <w:tc>
          <w:tcPr>
            <w:tcW w:w="262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262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262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2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fiscal year ended September 30, 2008, there were no permanent book-to-tax differences present. Aggregate stockholders’ equity was not affected as a result of any reclassification. As of September 30, 2008, the cost of investments for federal income tax purposes was $444.2 million resulting in a gross unrealized appreciation and depreciation of $7.9 million and $79.9 million, respectively. The following reconciles net increase in stockholders’ equity resulting from operations to taxable income for the year ended September 30, 2008:</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stockholders’ equity resulting from operations</w:t>
            </w:r>
          </w:p>
        </w:tc>
        <w:tc>
          <w:tcPr>
            <w:tcW w:w="2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$(40,702,939)</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unrealized depreciation on investments transactions not taxable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48,104,208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 not taxable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11,154,735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 derived from revenue recognition of contractual PIK interest</w:t>
            </w:r>
          </w:p>
        </w:tc>
        <w:tc>
          <w:tcPr>
            <w:tcW w:w="2760" w:type="dxa"/>
            <w:vAlign w:val="bottom"/>
            <w:gridSpan w:val="3"/>
          </w:tcPr>
          <w:p>
            <w:pPr>
              <w:jc w:val="right"/>
              <w:ind w:right="60"/>
              <w:spacing w:after="0"/>
              <w:rPr>
                <w:sz w:val="20"/>
                <w:szCs w:val="20"/>
                <w:color w:val="auto"/>
              </w:rPr>
            </w:pPr>
            <w:r>
              <w:rPr>
                <w:rFonts w:ascii="Arial" w:cs="Arial" w:eastAsia="Arial" w:hAnsi="Arial"/>
                <w:sz w:val="18"/>
                <w:szCs w:val="18"/>
                <w:color w:val="auto"/>
              </w:rPr>
              <w:t>(295,894)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deductible expenses</w:t>
            </w:r>
          </w:p>
        </w:tc>
        <w:tc>
          <w:tcPr>
            <w:tcW w:w="1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Taxable income before deductions for distributions</w:t>
            </w:r>
          </w:p>
        </w:tc>
        <w:tc>
          <w:tcPr>
            <w:tcW w:w="1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20" w:type="dxa"/>
            <w:vAlign w:val="bottom"/>
            <w:vMerge w:val="continue"/>
          </w:tcPr>
          <w:p>
            <w:pPr>
              <w:spacing w:after="0"/>
              <w:rPr>
                <w:sz w:val="19"/>
                <w:szCs w:val="19"/>
                <w:color w:val="auto"/>
              </w:rPr>
            </w:pP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$ 18,246,302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4620"/>
              <w:spacing w:after="0"/>
              <w:rPr>
                <w:sz w:val="20"/>
                <w:szCs w:val="20"/>
                <w:color w:val="auto"/>
              </w:rPr>
            </w:pPr>
            <w:r>
              <w:rPr>
                <w:rFonts w:ascii="Arial" w:cs="Arial" w:eastAsia="Arial" w:hAnsi="Arial"/>
                <w:sz w:val="18"/>
                <w:szCs w:val="18"/>
                <w:color w:val="auto"/>
              </w:rPr>
              <w:t>F-21</w:t>
            </w:r>
          </w:p>
        </w:tc>
        <w:tc>
          <w:tcPr>
            <w:tcW w:w="1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2008, the components of accumulated losses on tax basis and reconciliation to accumulated losses on a book basis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(602,660)</w:t>
            </w:r>
          </w:p>
        </w:tc>
      </w:tr>
      <w:tr>
        <w:trPr>
          <w:trHeight w:val="223"/>
        </w:trPr>
        <w:tc>
          <w:tcPr>
            <w:tcW w:w="9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(602,660)</w:t>
            </w:r>
          </w:p>
        </w:tc>
      </w:tr>
      <w:tr>
        <w:trPr>
          <w:trHeight w:val="216"/>
        </w:trPr>
        <w:tc>
          <w:tcPr>
            <w:tcW w:w="9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Capital loss carry forward*</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(205,217)</w:t>
            </w: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2007 capital losses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(11,045,348)</w:t>
            </w:r>
          </w:p>
        </w:tc>
      </w:tr>
      <w:tr>
        <w:trPr>
          <w:trHeight w:val="216"/>
        </w:trPr>
        <w:tc>
          <w:tcPr>
            <w:tcW w:w="9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Net unrealized appreciation (depreciation) of investments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(72,026,186)</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earnings/(deficit)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(83,879,411)</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Expires 2016.</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Under federal tax law, foreign currency and capital losses realized after October 31 may be deferred and treated as having arisen on the first day of the following fiscal year. For the year ended September 30, 2008, the Corporation incurred post October capital losses of $11.0 million that will be deferred to the year ended September 30,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2008 or September 30, 2007.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January 11,</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(inception)</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7260" w:type="dxa"/>
            <w:vAlign w:val="bottom"/>
          </w:tcPr>
          <w:p>
            <w:pPr>
              <w:spacing w:after="0"/>
              <w:rPr>
                <w:sz w:val="12"/>
                <w:szCs w:val="12"/>
                <w:color w:val="auto"/>
              </w:rPr>
            </w:pPr>
          </w:p>
        </w:tc>
        <w:tc>
          <w:tcPr>
            <w:tcW w:w="18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12.83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0.88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change in realized and unrealized loss</w:t>
            </w:r>
          </w:p>
        </w:tc>
        <w:tc>
          <w:tcPr>
            <w:tcW w:w="1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15.00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12.83</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7.41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13.40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8"/>
                <w:szCs w:val="18"/>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w w:val="95"/>
              </w:rPr>
              <w:t>21,068,772</w:t>
            </w: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21,068,772</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w w:val="85"/>
              </w:rPr>
              <w:t>210,728,260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270,393,094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5"/>
              </w:rPr>
              <w:t>119,472,732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5.67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20.10%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sz w:val="20"/>
          <w:szCs w:val="20"/>
          <w:color w:val="auto"/>
        </w:rPr>
      </w:pPr>
    </w:p>
    <w:p>
      <w:pPr>
        <w:ind w:left="460" w:right="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the fiscal year ended September 30, 2008, the ratio of operating expenses before management fee waiver to average net assets was 6.47%, and the ratio of total expenses before management fee waiver to average net assets was 9.13%. For the period from April 24, 2007 (initial public offering) through September 30, 2007, the ratio of operating expenses before management fee waiver to average net assets was 4.28%, and the ratio of total expenses before management fee waiver to average net assets was 5.78%.</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96"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September 30, 2008, there was $202.0 million in outstanding borrowings under the Credit Agreement (including $40.0 million temporary draw), with an average interest rate of 3.93%.</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60"/>
          </w:cols>
          <w:pgMar w:left="240" w:top="460"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Separately, Pennant SPV Company, LLC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Credit Agreement contains customary affirmative and negative covenants, including the maintenance of a minimum stockholders’ equity, the maintenance of a ratio not less than 200% of total assets (less total liabilities other than indebtedness) to total indebtedness (approximately 204% including temporary draw as of September 30, 2008 or 230% excluding such draws), and restrictions on certain payments and issuance of debt. For a complete list of such covenants, see our current report on Form 8-K, filed June 28, 2007.</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Subsequent to September 30, 2008 and through the date of this report, conditions in the public debt and equity markets have continued to deteriorate and our net asset value has continued to decline. The Credit Agreement requires the Company to maintain a minimum amount of shareholder’s equity and requires that the Company’s outstanding borrowings under the Credit Agreement not exceed a certain percentage of the values of its portfolio companies. The Company’s continued compliance with these covenants depends on many factors, some of which are beyond the Company’s control. For example, during the fiscal year ended September 30, 2008, net unrealized depreciation in the Company’s portfolio increased and, given the further deterioration in public capital markets and pricing levels subsequent to this period, net unrealized depreciation in the portfolio may continue to increase in the future. Further material net asset devaluation could have a material adverse effect on the Company’s operations, and could require the Company to reduce its borrowings under the Credit Agreement in order to comply with certain of the Credit Agreement covenants, including the ratio of total assets to total indebtedness.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reviewed the accompanying statement of assets and liabilities of PennantPark Investment Corporation (the “Company”), including the schedule of investments, as of June 30, 2009, the statements of operations for the three and nine month periods ended June 30, 2009 and 2008, and the statements of changes in net assets, and cash flows for the nine months ended June 30, 2009 and 2008. These interim financial statements are the responsibility of the Company’s management.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2008; and in our report dated November 20, 2008,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03375" cy="3600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5,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4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40" w:type="dxa"/>
            <w:vAlign w:val="bottom"/>
          </w:tcPr>
          <w:p>
            <w:pPr>
              <w:ind w:left="2940"/>
              <w:spacing w:after="0"/>
              <w:rPr>
                <w:sz w:val="20"/>
                <w:szCs w:val="20"/>
                <w:color w:val="auto"/>
              </w:rPr>
            </w:pPr>
            <w:r>
              <w:rPr>
                <w:rFonts w:ascii="Arial" w:cs="Arial" w:eastAsia="Arial" w:hAnsi="Arial"/>
                <w:sz w:val="18"/>
                <w:szCs w:val="18"/>
                <w:b w:val="1"/>
                <w:bCs w:val="1"/>
                <w:color w:val="auto"/>
              </w:rPr>
              <w:t>PENNANTPARK INVESTMENT CORPORATION</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40" w:type="dxa"/>
            <w:vAlign w:val="bottom"/>
          </w:tcPr>
          <w:p>
            <w:pPr>
              <w:ind w:left="3040"/>
              <w:spacing w:after="0"/>
              <w:rPr>
                <w:sz w:val="20"/>
                <w:szCs w:val="20"/>
                <w:color w:val="auto"/>
              </w:rPr>
            </w:pPr>
            <w:r>
              <w:rPr>
                <w:rFonts w:ascii="Arial" w:cs="Arial" w:eastAsia="Arial" w:hAnsi="Arial"/>
                <w:sz w:val="18"/>
                <w:szCs w:val="18"/>
                <w:b w:val="1"/>
                <w:bCs w:val="1"/>
                <w:color w:val="auto"/>
              </w:rPr>
              <w:t>STATEMENTS OF ASSETS AND LIABILITIES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June 30, 2009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(cost—$435,642,024 and $427,481,745,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377,382,905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354,261,950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Non-controlled, affiliated investments, at fair value (cost—$17,200,193 and $16,692,261, respectively)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15,755,326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17,885,870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at fair value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393,138,231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541,136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40,249,201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1,381,011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4,770,692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1,271,943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401,103,013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419,810,699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Liabilities</w:t>
            </w:r>
          </w:p>
        </w:tc>
        <w:tc>
          <w:tcPr>
            <w:tcW w:w="7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5,056,505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4,183,666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6,331,385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(fair value: $134,057,558 and $160,204,000, respectively) (cost: $187,300,000 and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$202,000,000, respectively)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(see note 7)</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134,057,558</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72,308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1,928,082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1,415,872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1,080,397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154,125,773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209,082,439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3"/>
              </w:rPr>
              <w:t>Net Assets</w:t>
            </w:r>
          </w:p>
        </w:tc>
        <w:tc>
          <w:tcPr>
            <w:tcW w:w="7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w w:val="97"/>
              </w:rPr>
              <w:t>Common stock, par value $0.001 per share, 100,000,000 shares authorized and 21,068,772 shares issued and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21,069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294,586,604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294,586,604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928,718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41,796,000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(42,097,607)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(11,250,567)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(59,703,986)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(72,026,186)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Net unrealized depreciation on credit facility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11,446,442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246,977,240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210,728,260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401,103,013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419,810,699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3"/>
              </w:rPr>
              <w:t>June 30, 2009</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2008</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3"/>
              </w:rPr>
              <w:t>June 30, 2009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June 30, 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10,347,405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9,212,625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31,930,815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27,148,848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123,955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111,924</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351,449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298,349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337,832</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988,668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1,063,257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10,769,709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9,662,381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33,270,932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28,379,911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1,928,082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1,829,909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5,495,505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1,412,925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985,287</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4,175,224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2,433,394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791,587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1,656,140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3,817,133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582,177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591,726</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1,558,672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1,804,047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658,178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1,523,505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5,103,278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5,721,240</w:t>
            </w: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16,570,039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15,678,748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waiver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expenses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5,103,278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5,721,240</w:t>
            </w: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16,570,039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15,258,017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5,666,431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3,941,141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16,700,893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13,121,894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w w:val="97"/>
              </w:rPr>
              <w:t>Realized and unrealized gain (loss) on investments, cash equivalents and</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credit facility:</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(24,701,776)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(401,624)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(30,847,040)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27,736,328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10,700,808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14,960,676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(41,097,670)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(318,107)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964,139</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(2,638,476)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(1,064,091)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(9,202,647)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11,446,442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18,215,574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11,664,947</w:t>
            </w: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23,768,642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(42,161,761)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Net realized and unrealized gain (loss) from investments, cash equivalents,</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and credit facility</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(6,486,202)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11,263,323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(7,078,398)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(42,782,759)</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net assets resulting from operations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(819,771)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15,204,464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9,622,495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(29,660,865)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Net (decrease) increase in net assets resulting from operations per common share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7"/>
              </w:rPr>
              <w:t>June 30, 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16,700,893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13,121,894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(30,847,040)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 and cash equivalents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12,322,200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(42,161,761)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11,446,442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9,622,495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(29,660,865)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to Stockholders:</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(15,169,515)</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(13,905,390)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dividends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(15,169,515)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(13,905,390)</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decrease in net assets</w:t>
            </w: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gridSpan w:val="2"/>
            <w:vMerge w:val="continue"/>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(5,547,020)</w:t>
            </w: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(43,566,255)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210,728,260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(see note 7)</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41,796,000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760" w:type="dxa"/>
            <w:vAlign w:val="bottom"/>
            <w:gridSpan w:val="2"/>
          </w:tcPr>
          <w:p>
            <w:pPr>
              <w:spacing w:after="0"/>
              <w:rPr>
                <w:sz w:val="20"/>
                <w:szCs w:val="20"/>
                <w:color w:val="auto"/>
              </w:rPr>
            </w:pPr>
            <w:r>
              <w:rPr>
                <w:rFonts w:ascii="Arial" w:cs="Arial" w:eastAsia="Arial" w:hAnsi="Arial"/>
                <w:sz w:val="18"/>
                <w:szCs w:val="18"/>
                <w:color w:val="auto"/>
              </w:rPr>
              <w:t>Adjusted beginning of period</w:t>
            </w: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252,524,260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246,977,240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226,826,839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Undistributed (distribution in excess of) net investment income, at period end</w:t>
            </w: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928,718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(980,265)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7"/>
              </w:rPr>
              <w:t>June 30, 2009</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7"/>
              </w:rPr>
              <w:t>June 30,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9,622,495</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(29,660,865)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Adjustments to reconcile net increase (decrease) in net assets resulting from operations to net cash used by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 and cash equivalents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(12,322,200)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42,161,761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depreciation on credit facility</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(11,446,442)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30,847,040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(1,903,798)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(47,957,218)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(149,312,146)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(2,528,233)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12,873,998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14,410,296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receivable for investment sold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(1,381,011)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Decrease in interest receivable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1,275,507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Decrease in payables for cash equivalents purchased</w:t>
            </w:r>
          </w:p>
        </w:tc>
        <w:tc>
          <w:tcPr>
            <w:tcW w:w="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4,183,666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6,331,385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interest payable on credit facility</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(653,009)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(decrease) in management fee payable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1,842,186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1,292,839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(Decrease) increase in accrued other expenses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(11,291)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331,658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by operating activities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(9,838,550)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(397,124,009)</w:t>
            </w: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(15,169,515)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(13,905,390)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85,300,000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359,840,000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(100,000,000)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(165,740,000)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1280"/>
              <w:spacing w:after="0"/>
              <w:rPr>
                <w:sz w:val="20"/>
                <w:szCs w:val="20"/>
                <w:color w:val="auto"/>
              </w:rPr>
            </w:pPr>
            <w:r>
              <w:rPr>
                <w:rFonts w:ascii="Arial" w:cs="Arial" w:eastAsia="Arial" w:hAnsi="Arial"/>
                <w:sz w:val="18"/>
                <w:szCs w:val="18"/>
                <w:color w:val="auto"/>
              </w:rPr>
              <w:t>Net cash (used) provided by financing activities</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(29,869,515)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180,194,610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(39,708,065)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(216,929,399)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257,959,635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41,030,236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 and non-cash financing activity: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4,270,412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3,840,424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41,796,000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7"/>
              </w:rPr>
              <w:t>Fair Value</w:t>
            </w:r>
            <w:r>
              <w:rPr>
                <w:rFonts w:ascii="Arial" w:cs="Arial" w:eastAsia="Arial" w:hAnsi="Arial"/>
                <w:sz w:val="22"/>
                <w:szCs w:val="22"/>
                <w:b w:val="1"/>
                <w:bCs w:val="1"/>
                <w:color w:val="auto"/>
                <w:w w:val="87"/>
                <w:vertAlign w:val="superscript"/>
              </w:rPr>
              <w:t>(3)</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90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0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8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4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Companies—152.8%</w:t>
            </w:r>
            <w:r>
              <w:rPr>
                <w:rFonts w:ascii="Arial" w:cs="Arial" w:eastAsia="Arial" w:hAnsi="Arial"/>
                <w:sz w:val="16"/>
                <w:szCs w:val="16"/>
                <w:b w:val="1"/>
                <w:bCs w:val="1"/>
                <w:color w:val="auto"/>
                <w:vertAlign w:val="superscript"/>
              </w:rPr>
              <w:t>(1)(2)</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 / Corporate Notes—61.2%</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3/1/2012</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9.27%</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L+750</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22,500,000</w:t>
            </w: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21,787,179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19,980,000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4/17/2015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7,976,044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3/19/2014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20,210,550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19,780,909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20,210,550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Digicel Ltd.</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4/1/2014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TELECOMMUNICATIONS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12.00%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6/6/2014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22,499,596</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22,219,219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22,724,592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5/20/2012</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13.75%</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19,647,170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12/28/2015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EDUCATION</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10,259,430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10,129,726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10,054,242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Realogy Corp.</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5"/>
              </w:rPr>
              <w:t>BUILDINGS &amp; REAL</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6"/>
              </w:rPr>
              <w:t>4/15/2015</w:t>
            </w: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88"/>
              </w:rPr>
              <w:t>ESTATE</w:t>
            </w:r>
          </w:p>
        </w:tc>
        <w:tc>
          <w:tcPr>
            <w:tcW w:w="11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12.38%</w:t>
            </w:r>
          </w:p>
        </w:tc>
        <w:tc>
          <w:tcPr>
            <w:tcW w:w="9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28,000,000</w:t>
            </w:r>
          </w:p>
        </w:tc>
        <w:tc>
          <w:tcPr>
            <w:tcW w:w="2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26,531,029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7,840,000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Merger Sub,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10/1/2016</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20,197,856</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20,020,106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20,197,856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 Sub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2/8/2015</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8"/>
              </w:rPr>
              <w:t>OIL &amp; GAS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13.50%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21,000,000</w:t>
            </w:r>
          </w:p>
        </w:tc>
        <w:tc>
          <w:tcPr>
            <w:tcW w:w="2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20,531,948</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 / Corporate Notes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173,776,900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169,618,330</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151,216,708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Debt—41.9%</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Infrastucture Services,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ENERGY/UTILITIES</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6.46%</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L+600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13,600,000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13,130,857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12,267,200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Infrastucture Services,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6"/>
              </w:rPr>
              <w:t>ENERGY/UTILITIES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7.69%</w:t>
            </w:r>
          </w:p>
        </w:tc>
        <w:tc>
          <w:tcPr>
            <w:tcW w:w="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L+700</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2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11,720,122</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11,232,000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4/30/2015</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HEALTHCARE,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EDUCATION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CHILDCARE</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8.10%</w:t>
            </w:r>
          </w:p>
        </w:tc>
        <w:tc>
          <w:tcPr>
            <w:tcW w:w="9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L+750</w:t>
            </w:r>
          </w:p>
        </w:tc>
        <w:tc>
          <w:tcPr>
            <w:tcW w:w="2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12,000,000</w:t>
            </w:r>
          </w:p>
        </w:tc>
        <w:tc>
          <w:tcPr>
            <w:tcW w:w="28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94"/>
              </w:rPr>
              <w:t>11,953,089</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11,076,000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3/1/2014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CARGO TRANSPORT</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90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2,182,000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2,182,000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2,182,000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11/4/2014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L+650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5/15/2017</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9"/>
              </w:rPr>
              <w:t>TRANSPORTATION</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12.50%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16,840,878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5/15/2015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TRANSPORTATION</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8.63%</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L+775</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9,965,034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Sheridan Holdings,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6"/>
              </w:rPr>
              <w:t>6/15/2015</w:t>
            </w: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3"/>
              </w:rPr>
              <w:t>HEALTHCARE,</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6"/>
              </w:rPr>
              <w:t>EDUCATION &amp;</w:t>
            </w: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6.07%</w:t>
            </w:r>
            <w:r>
              <w:rPr>
                <w:rFonts w:ascii="Arial" w:cs="Arial" w:eastAsia="Arial" w:hAnsi="Arial"/>
                <w:sz w:val="22"/>
                <w:szCs w:val="22"/>
                <w:color w:val="auto"/>
                <w:vertAlign w:val="superscript"/>
              </w:rPr>
              <w:t>(6)</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93"/>
              </w:rPr>
              <w:t>CHILDCARE</w:t>
            </w:r>
          </w:p>
        </w:tc>
        <w:tc>
          <w:tcPr>
            <w:tcW w:w="1180" w:type="dxa"/>
            <w:vAlign w:val="bottom"/>
            <w:gridSpan w:val="3"/>
            <w:vMerge w:val="continue"/>
          </w:tcPr>
          <w:p>
            <w:pPr>
              <w:spacing w:after="0"/>
              <w:rPr>
                <w:sz w:val="13"/>
                <w:szCs w:val="13"/>
                <w:color w:val="auto"/>
              </w:rPr>
            </w:pPr>
          </w:p>
        </w:tc>
        <w:tc>
          <w:tcPr>
            <w:tcW w:w="9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L+575</w:t>
            </w:r>
          </w:p>
        </w:tc>
        <w:tc>
          <w:tcPr>
            <w:tcW w:w="2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21,500,000</w:t>
            </w:r>
          </w:p>
        </w:tc>
        <w:tc>
          <w:tcPr>
            <w:tcW w:w="2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18,786,899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4"/>
              </w:rPr>
              <w:t>18,253,500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Specialized Technology Resources, Inc.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CHEMICALS, PLASTICS</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7.31%</w:t>
            </w:r>
            <w:r>
              <w:rPr>
                <w:rFonts w:ascii="Arial" w:cs="Arial" w:eastAsia="Arial" w:hAnsi="Arial"/>
                <w:sz w:val="22"/>
                <w:szCs w:val="22"/>
                <w:color w:val="auto"/>
                <w:vertAlign w:val="superscript"/>
              </w:rPr>
              <w:t>(6)</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12/15/2014</w:t>
            </w: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&amp; RUBBER</w:t>
            </w:r>
          </w:p>
        </w:tc>
        <w:tc>
          <w:tcPr>
            <w:tcW w:w="1180" w:type="dxa"/>
            <w:vAlign w:val="bottom"/>
            <w:gridSpan w:val="3"/>
            <w:vMerge w:val="continue"/>
            <w:shd w:val="clear" w:color="auto" w:fill="CCEEFF"/>
          </w:tcPr>
          <w:p>
            <w:pPr>
              <w:spacing w:after="0"/>
              <w:rPr>
                <w:sz w:val="13"/>
                <w:szCs w:val="13"/>
                <w:color w:val="auto"/>
              </w:rPr>
            </w:pPr>
          </w:p>
        </w:tc>
        <w:tc>
          <w:tcPr>
            <w:tcW w:w="9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L+700</w:t>
            </w:r>
          </w:p>
        </w:tc>
        <w:tc>
          <w:tcPr>
            <w:tcW w:w="2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22,500,000</w:t>
            </w:r>
          </w:p>
        </w:tc>
        <w:tc>
          <w:tcPr>
            <w:tcW w:w="2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22,487,594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22,500,000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6/15/2015</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FINANCIAL SERVICES</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7.06%</w:t>
            </w:r>
            <w:r>
              <w:rPr>
                <w:rFonts w:ascii="Arial" w:cs="Arial" w:eastAsia="Arial" w:hAnsi="Arial"/>
                <w:sz w:val="17"/>
                <w:szCs w:val="17"/>
                <w:color w:val="auto"/>
                <w:vertAlign w:val="superscript"/>
              </w:rPr>
              <w:t>(6)</w:t>
            </w:r>
          </w:p>
        </w:tc>
        <w:tc>
          <w:tcPr>
            <w:tcW w:w="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L+675</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2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15,936,742</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13,909,500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139,282,000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133,003,215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103,370,200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Preferred Equity / 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—4.2%</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12.00%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797,288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921,359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12.00%</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(TZ Merger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(TZ Merger Sub,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1,389,109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8"/>
              </w:rPr>
              <w:t>OIL &amp; GAS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8.00%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91,608</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2,499,066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2,778,961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L.L.C. (Advanstar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20.00%</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 / Partnership Interests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4,054,722</w:t>
            </w:r>
          </w:p>
        </w:tc>
        <w:tc>
          <w:tcPr>
            <w:tcW w:w="2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9,573,076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10,259,189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 / Partnership Interests</w:t>
            </w:r>
            <w:r>
              <w:rPr>
                <w:rFonts w:ascii="Arial" w:cs="Arial" w:eastAsia="Arial" w:hAnsi="Arial"/>
                <w:sz w:val="17"/>
                <w:szCs w:val="17"/>
                <w:b w:val="1"/>
                <w:bCs w:val="1"/>
                <w:color w:val="auto"/>
                <w:vertAlign w:val="superscript"/>
              </w:rPr>
              <w:t>(7)</w:t>
            </w:r>
            <w:r>
              <w:rPr>
                <w:rFonts w:ascii="Arial" w:cs="Arial" w:eastAsia="Arial" w:hAnsi="Arial"/>
                <w:sz w:val="11"/>
                <w:szCs w:val="11"/>
                <w:b w:val="1"/>
                <w:bCs w:val="1"/>
                <w:color w:val="auto"/>
              </w:rPr>
              <w:t>—5.5%</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3,005,163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gridSpan w:val="2"/>
          </w:tcPr>
          <w:p>
            <w:pPr>
              <w:ind w:left="200"/>
              <w:spacing w:after="0"/>
              <w:rPr>
                <w:sz w:val="20"/>
                <w:szCs w:val="20"/>
                <w:color w:val="auto"/>
              </w:rPr>
            </w:pPr>
            <w:r>
              <w:rPr>
                <w:rFonts w:ascii="Arial" w:cs="Arial" w:eastAsia="Arial" w:hAnsi="Arial"/>
                <w:sz w:val="14"/>
                <w:szCs w:val="14"/>
                <w:color w:val="auto"/>
              </w:rPr>
              <w:t>Holdings, Inc.)</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BUSINESS SERVICES</w:t>
            </w:r>
          </w:p>
        </w:tc>
        <w:tc>
          <w:tcPr>
            <w:tcW w:w="20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5,556</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3,200,000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6,462,006</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Basis Point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90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4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 / 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—(Continued)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440,000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  2,467,643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 (Greatwide Logistics Services,</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L.L.C.)</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CARGO TRANSPORT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106,299</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1,779,455</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2,034,392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(TZ Merger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6,467</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1,122,240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Holdings Inc., (UP Acquisition Sub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OIL &amp; GAS</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91,608</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1,607,618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 / Partnership Interests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648,092</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8,448,272</w:t>
            </w:r>
          </w:p>
        </w:tc>
        <w:tc>
          <w:tcPr>
            <w:tcW w:w="2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13,704,085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Equity—Warrants</w:t>
            </w:r>
            <w:r>
              <w:rPr>
                <w:rFonts w:ascii="Arial" w:cs="Arial" w:eastAsia="Arial" w:hAnsi="Arial"/>
                <w:sz w:val="17"/>
                <w:szCs w:val="17"/>
                <w:b w:val="1"/>
                <w:bCs w:val="1"/>
                <w:color w:val="auto"/>
                <w:vertAlign w:val="superscript"/>
              </w:rPr>
              <w:t>(7)</w:t>
            </w:r>
            <w:r>
              <w:rPr>
                <w:rFonts w:ascii="Arial" w:cs="Arial" w:eastAsia="Arial" w:hAnsi="Arial"/>
                <w:sz w:val="11"/>
                <w:szCs w:val="11"/>
                <w:b w:val="1"/>
                <w:bCs w:val="1"/>
                <w:color w:val="auto"/>
              </w:rPr>
              <w:t>—0.0%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VSS-AHC HOLDINGS, LLC (expires 11/6/18)</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20.00%</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3"/>
                <w:szCs w:val="13"/>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Debt—40.0%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3/4/2015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7"/>
              </w:rPr>
              <w:t>DISTRIBUTION</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7.70%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$ 13,964,912</w:t>
            </w: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11,852,349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13,154,947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5/28/2013</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2.56%</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L+225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7,877,863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7,871,705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6,125,038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EnviroSolutions, Inc.</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6"/>
              </w:rPr>
              <w:t>ENVIRONMENTAL</w:t>
            </w: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3"/>
              </w:rPr>
              <w:t>L+775</w:t>
            </w:r>
            <w:r>
              <w:rPr>
                <w:rFonts w:ascii="Arial" w:cs="Arial" w:eastAsia="Arial" w:hAnsi="Arial"/>
                <w:sz w:val="22"/>
                <w:szCs w:val="22"/>
                <w:color w:val="auto"/>
                <w:w w:val="83"/>
                <w:vertAlign w:val="superscript"/>
              </w:rPr>
              <w:t>(8)</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8"/>
              </w:rPr>
              <w:t>7/7/2012</w:t>
            </w: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90"/>
              </w:rPr>
              <w:t>SERVICES</w:t>
            </w:r>
          </w:p>
        </w:tc>
        <w:tc>
          <w:tcPr>
            <w:tcW w:w="118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14,122,062</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13,281,220</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14,122,062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3/8/2014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2.57%</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1"/>
              </w:rPr>
              <w:t>L+225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8,865,000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8,865,000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6,232,096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4/15/2014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TELECOMMUNICATIONS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3.19%</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L+250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4,462,500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2/7/2014</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PRODUCTS</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2.58%</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L+225</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9,835,811</w:t>
            </w:r>
          </w:p>
        </w:tc>
        <w:tc>
          <w:tcPr>
            <w:tcW w:w="11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9,835,811</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4,081,861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3/8/2014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7.75%</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L+475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4,446,133</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4,446,133</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2,769,937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Lyondell Chemical Co.</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12/15/2009</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CHEMICALS, PLASTICS</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86"/>
              </w:rPr>
              <w:t>L+1,000</w:t>
            </w:r>
            <w:r>
              <w:rPr>
                <w:rFonts w:ascii="Arial" w:cs="Arial" w:eastAsia="Arial" w:hAnsi="Arial"/>
                <w:sz w:val="22"/>
                <w:szCs w:val="22"/>
                <w:color w:val="auto"/>
                <w:w w:val="86"/>
                <w:vertAlign w:val="superscript"/>
              </w:rPr>
              <w:t>(8)</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&amp; RUBBER</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13.00%</w:t>
            </w:r>
          </w:p>
        </w:tc>
        <w:tc>
          <w:tcPr>
            <w:tcW w:w="900" w:type="dxa"/>
            <w:vAlign w:val="bottom"/>
            <w:gridSpan w:val="2"/>
            <w:vMerge w:val="continue"/>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12,668,615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12,862,512</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13,037,589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0"/>
                <w:szCs w:val="10"/>
                <w:color w:val="auto"/>
              </w:rPr>
              <w:t>Lyondell Chemical Co.</w:t>
            </w:r>
            <w:r>
              <w:rPr>
                <w:rFonts w:ascii="Arial" w:cs="Arial" w:eastAsia="Arial" w:hAnsi="Arial"/>
                <w:sz w:val="15"/>
                <w:szCs w:val="15"/>
                <w:color w:val="auto"/>
                <w:vertAlign w:val="superscript"/>
              </w:rPr>
              <w:t>(9)</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12/15/2009</w:t>
            </w: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4"/>
              </w:rPr>
              <w:t>CHEMICALS, PLASTICS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94"/>
              </w:rPr>
              <w:t>&amp; RUBBER</w:t>
            </w:r>
          </w:p>
        </w:tc>
        <w:tc>
          <w:tcPr>
            <w:tcW w:w="200" w:type="dxa"/>
            <w:vAlign w:val="bottom"/>
          </w:tcPr>
          <w:p>
            <w:pPr>
              <w:spacing w:after="0"/>
              <w:rPr>
                <w:sz w:val="13"/>
                <w:szCs w:val="13"/>
                <w:color w:val="auto"/>
              </w:rPr>
            </w:pPr>
          </w:p>
        </w:tc>
        <w:tc>
          <w:tcPr>
            <w:tcW w:w="98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6,331,385</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6,382,317</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6,515,786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1/18/2014</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PRODUCTS</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2.56%</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L+225</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3,920,175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3,920,175</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2,944,051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3/28/2014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2.63%</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L+200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1,915,102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1,915,102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1,599,110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2/28/2013</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PRODUCTS</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2.38%</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6,842,500</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6,847,056</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5,838,931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2/1/2013</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3.22%</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L+225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4,887,500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4,887,500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3,597,200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3/16/2014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2.31%</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Quebecor World,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7/21/2012</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5"/>
              </w:rPr>
              <w:t>PRINTING</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9.00%</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L+600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5/4/2014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5.25%</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4,886,667</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4,886,667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3,127,467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Rexair,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6/30/2010</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7"/>
              </w:rPr>
              <w:t>RETAIL</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4.85%</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L+425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2,658,369</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1,991,445</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1,993,777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Rexnord, L.L.C.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7/19/2013</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MANUFACTURING/</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BASIC INDUSTRY</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2.31%</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2,895,305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2,895,305</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2,461,009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1/30/2014</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6.38%</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L+550</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2,682,328</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2,682,328</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2,395,319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118,726,233</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114,999,131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98,832,723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90"/>
              </w:rPr>
              <w:t>Current</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Coupon</w:t>
            </w:r>
          </w:p>
        </w:tc>
        <w:tc>
          <w:tcPr>
            <w:tcW w:w="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435,642,024</w:t>
            </w: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377,382,905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Companies—6.4%</w:t>
            </w:r>
            <w:r>
              <w:rPr>
                <w:rFonts w:ascii="Arial" w:cs="Arial" w:eastAsia="Arial" w:hAnsi="Arial"/>
                <w:sz w:val="18"/>
                <w:szCs w:val="18"/>
                <w:b w:val="1"/>
                <w:bCs w:val="1"/>
                <w:color w:val="auto"/>
                <w:vertAlign w:val="superscript"/>
              </w:rPr>
              <w:t>(1)(2)</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 / Corporate Notes—2.0%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88"/>
              </w:rPr>
              <w:t>7/2/2014</w:t>
            </w:r>
          </w:p>
        </w:tc>
        <w:tc>
          <w:tcPr>
            <w:tcW w:w="100" w:type="dxa"/>
            <w:vAlign w:val="bottom"/>
          </w:tcPr>
          <w:p>
            <w:pPr>
              <w:spacing w:after="0"/>
              <w:rPr>
                <w:sz w:val="11"/>
                <w:szCs w:val="11"/>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90"/>
              </w:rPr>
              <w:t>LEISURE,</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700" w:type="dxa"/>
            <w:vAlign w:val="bottom"/>
          </w:tcPr>
          <w:p>
            <w:pPr>
              <w:ind w:left="2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w w:val="97"/>
              </w:rPr>
              <w:t>$ 4,903,147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4,700,193</w:t>
            </w:r>
          </w:p>
        </w:tc>
        <w:tc>
          <w:tcPr>
            <w:tcW w:w="16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4,817,342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94"/>
              </w:rPr>
              <w:t>ENTERTAINMENT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88"/>
              </w:rPr>
              <w:t>7/2/2013</w:t>
            </w:r>
          </w:p>
        </w:tc>
        <w:tc>
          <w:tcPr>
            <w:tcW w:w="100" w:type="dxa"/>
            <w:vAlign w:val="bottom"/>
          </w:tcPr>
          <w:p>
            <w:pPr>
              <w:spacing w:after="0"/>
              <w:rPr>
                <w:sz w:val="11"/>
                <w:szCs w:val="11"/>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90"/>
              </w:rPr>
              <w:t>LEISURE,</w:t>
            </w:r>
          </w:p>
        </w:tc>
        <w:tc>
          <w:tcPr>
            <w:tcW w:w="10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6.78%</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1"/>
              </w:rPr>
              <w:t>L+575</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8,750,000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8,750,000</w:t>
            </w:r>
          </w:p>
        </w:tc>
        <w:tc>
          <w:tcPr>
            <w:tcW w:w="16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7,848,750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94"/>
              </w:rPr>
              <w:t>ENTERTAINMENT</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 / 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—1.2%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90"/>
              </w:rPr>
              <w:t>LEISURE,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37,500</w:t>
            </w:r>
          </w:p>
        </w:tc>
        <w:tc>
          <w:tcPr>
            <w:tcW w:w="1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3,750,000</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3,089,234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94"/>
              </w:rPr>
              <w:t>ENTERTAINMENT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17,200,193</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15,755,326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Investments—159.2%</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87"/>
              </w:rPr>
              <w:t>452,842,217</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393,138,231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Equivalents—0.2%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541,136</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541,136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Equivalents—159.4%</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7"/>
              </w:rPr>
              <w:t>453,383,353</w:t>
            </w:r>
          </w:p>
        </w:tc>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393,679,367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5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Liabilities in Excess of Other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Assets—(59.4%)</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(146,702,127)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246,977,240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LIBOR or Prime rate floor applies.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purchases of securities with delayed settlement. These securities do not have a basis point spread above index.</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Basis Point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Spread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98"/>
              </w:rPr>
              <w:t>Current</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Value</w:t>
            </w:r>
            <w:r>
              <w:rPr>
                <w:rFonts w:ascii="Arial" w:cs="Arial" w:eastAsia="Arial" w:hAnsi="Arial"/>
                <w:sz w:val="22"/>
                <w:szCs w:val="22"/>
                <w:b w:val="1"/>
                <w:bCs w:val="1"/>
                <w:color w:val="auto"/>
                <w:w w:val="90"/>
                <w:vertAlign w:val="superscript"/>
              </w:rPr>
              <w:t>(3)</w:t>
            </w:r>
          </w:p>
        </w:tc>
        <w:tc>
          <w:tcPr>
            <w:tcW w:w="0" w:type="dxa"/>
            <w:vAlign w:val="bottom"/>
          </w:tcPr>
          <w:p>
            <w:pPr>
              <w:spacing w:after="0"/>
              <w:rPr>
                <w:sz w:val="1"/>
                <w:szCs w:val="1"/>
                <w:color w:val="auto"/>
              </w:rPr>
            </w:pPr>
          </w:p>
        </w:tc>
      </w:tr>
      <w:tr>
        <w:trPr>
          <w:trHeight w:val="176"/>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Coupon</w:t>
            </w:r>
          </w:p>
        </w:tc>
        <w:tc>
          <w:tcPr>
            <w:tcW w:w="98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4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40" w:type="dxa"/>
            <w:vAlign w:val="bottom"/>
            <w:gridSpan w:val="5"/>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Companies—168.1%</w:t>
            </w:r>
            <w:r>
              <w:rPr>
                <w:rFonts w:ascii="Arial" w:cs="Arial" w:eastAsia="Arial" w:hAnsi="Arial"/>
                <w:sz w:val="16"/>
                <w:szCs w:val="16"/>
                <w:b w:val="1"/>
                <w:bCs w:val="1"/>
                <w:color w:val="auto"/>
                <w:vertAlign w:val="superscript"/>
              </w:rPr>
              <w:t>(1)(2)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Subordinated Debt / Corporate Notes—76.8%</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11/30/2015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16,268,634</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16,268,634</w:t>
            </w: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03/01/2012</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340" w:type="dxa"/>
            <w:vAlign w:val="bottom"/>
            <w:gridSpan w:val="3"/>
          </w:tcPr>
          <w:p>
            <w:pPr>
              <w:jc w:val="right"/>
              <w:ind w:right="30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L+625</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21,587,384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04/17/2015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7,831,761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03/19/2014</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tcPr>
          <w:p>
            <w:pPr>
              <w:jc w:val="right"/>
              <w:ind w:right="30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19,502,246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06/06/2014</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21,649,325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05/20/2012</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13.75%</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19,555,782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12/28/2015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9,922,722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04/15/2015</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12.38%</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26,337,698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Merger Sub,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10/01/2016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19,811,785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02/08/2015</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13.50%</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20,428,146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Total Subordinated Debt / Corporate Notes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187,877,433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182,895,483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161,758,819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Brand Energy and Infrastructure Services,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02/07/2015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Energy / Utilities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9.81%</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11,682,795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w w:val="97"/>
              </w:rPr>
              <w:t>Brand Energy and Infrastructure Services,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02/07/2015</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0"/>
              </w:rPr>
              <w:t>Energy / Utilities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8.81%</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L+600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13,600,000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13,068,290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Generics International (U.S.),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04/30/2015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11.26%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L+750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11,947,073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11/04/2014</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9.31%</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L+650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05/15/2015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10.55%</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L+775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9,951,058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05/15/2017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16,565,952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Sheridan Holdings,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06/15/2015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8.54%</w:t>
            </w:r>
            <w:r>
              <w:rPr>
                <w:rFonts w:ascii="Arial" w:cs="Arial" w:eastAsia="Arial" w:hAnsi="Arial"/>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L+575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11,838,114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12/15/2014</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340" w:type="dxa"/>
            <w:vAlign w:val="bottom"/>
            <w:gridSpan w:val="3"/>
          </w:tcPr>
          <w:p>
            <w:pPr>
              <w:jc w:val="right"/>
              <w:ind w:right="30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L+700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22,485,895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06/15/2015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L+600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15,866,044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Second Lien Secured Debt</w:t>
            </w: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5"/>
              </w:rPr>
              <w:t>128,100,000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123,405,221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Basis Point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Spread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tcPr>
          <w:p>
            <w:pPr>
              <w:jc w:val="right"/>
              <w:ind w:right="700"/>
              <w:spacing w:after="0" w:line="135" w:lineRule="exact"/>
              <w:rPr>
                <w:sz w:val="20"/>
                <w:szCs w:val="20"/>
                <w:color w:val="auto"/>
              </w:rPr>
            </w:pPr>
            <w:r>
              <w:rPr>
                <w:rFonts w:ascii="Arial" w:cs="Arial" w:eastAsia="Arial" w:hAnsi="Arial"/>
                <w:sz w:val="14"/>
                <w:szCs w:val="14"/>
                <w:b w:val="1"/>
                <w:bCs w:val="1"/>
                <w:color w:val="auto"/>
                <w:w w:val="90"/>
              </w:rPr>
              <w:t>Current</w:t>
            </w: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Above</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6"/>
              </w:rPr>
              <w:t>Value</w:t>
            </w:r>
            <w:r>
              <w:rPr>
                <w:rFonts w:ascii="Arial" w:cs="Arial" w:eastAsia="Arial" w:hAnsi="Arial"/>
                <w:sz w:val="22"/>
                <w:szCs w:val="22"/>
                <w:b w:val="1"/>
                <w:bCs w:val="1"/>
                <w:color w:val="auto"/>
                <w:w w:val="86"/>
                <w:vertAlign w:val="superscript"/>
              </w:rPr>
              <w:t>(3)</w:t>
            </w:r>
          </w:p>
        </w:tc>
        <w:tc>
          <w:tcPr>
            <w:tcW w:w="0" w:type="dxa"/>
            <w:vAlign w:val="bottom"/>
          </w:tcPr>
          <w:p>
            <w:pPr>
              <w:spacing w:after="0"/>
              <w:rPr>
                <w:sz w:val="1"/>
                <w:szCs w:val="1"/>
                <w:color w:val="auto"/>
              </w:rPr>
            </w:pPr>
          </w:p>
        </w:tc>
      </w:tr>
      <w:tr>
        <w:trPr>
          <w:trHeight w:val="176"/>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Maturity</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340" w:type="dxa"/>
            <w:vAlign w:val="bottom"/>
          </w:tcPr>
          <w:p>
            <w:pPr>
              <w:spacing w:after="0"/>
              <w:rPr>
                <w:sz w:val="15"/>
                <w:szCs w:val="15"/>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Coupon</w:t>
            </w:r>
          </w:p>
        </w:tc>
        <w:tc>
          <w:tcPr>
            <w:tcW w:w="1080" w:type="dxa"/>
            <w:vAlign w:val="bottom"/>
            <w:gridSpan w:val="2"/>
          </w:tcPr>
          <w:p>
            <w:pPr>
              <w:jc w:val="center"/>
              <w:ind w:right="3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Par</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 (Consolidated Foundries,</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152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12.00%</w:t>
            </w:r>
            <w:r>
              <w:rPr>
                <w:rFonts w:ascii="Arial" w:cs="Arial" w:eastAsia="Arial" w:hAnsi="Arial"/>
                <w:sz w:val="22"/>
                <w:szCs w:val="22"/>
                <w:color w:val="auto"/>
                <w:vertAlign w:val="superscript"/>
              </w:rPr>
              <w:t>(6)</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10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1520" w:type="dxa"/>
            <w:vAlign w:val="bottom"/>
            <w:gridSpan w:val="3"/>
            <w:vMerge w:val="continue"/>
          </w:tcPr>
          <w:p>
            <w:pPr>
              <w:spacing w:after="0"/>
              <w:rPr>
                <w:sz w:val="13"/>
                <w:szCs w:val="13"/>
                <w:color w:val="auto"/>
              </w:rPr>
            </w:pPr>
          </w:p>
        </w:tc>
        <w:tc>
          <w:tcPr>
            <w:tcW w:w="10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842</w:t>
            </w:r>
          </w:p>
        </w:tc>
        <w:tc>
          <w:tcPr>
            <w:tcW w:w="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841,927</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841,927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i2 Holdings Ltd.</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152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12.00%</w:t>
            </w:r>
            <w:r>
              <w:rPr>
                <w:rFonts w:ascii="Arial" w:cs="Arial" w:eastAsia="Arial" w:hAnsi="Arial"/>
                <w:sz w:val="22"/>
                <w:szCs w:val="22"/>
                <w:color w:val="auto"/>
                <w:vertAlign w:val="superscript"/>
              </w:rPr>
              <w:t>(6)</w:t>
            </w: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1520" w:type="dxa"/>
            <w:vAlign w:val="bottom"/>
            <w:gridSpan w:val="3"/>
            <w:vMerge w:val="continue"/>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3,960,000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w w:val="99"/>
              </w:rPr>
              <w:t>3,960,000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(TZ Merger Sub, Inc.)</w:t>
            </w:r>
          </w:p>
        </w:tc>
        <w:tc>
          <w:tcPr>
            <w:tcW w:w="10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34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685,820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(TZ Merger Sub, Inc.)</w:t>
            </w:r>
          </w:p>
        </w:tc>
        <w:tc>
          <w:tcPr>
            <w:tcW w:w="10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1"/>
                <w:szCs w:val="11"/>
                <w:color w:val="auto"/>
              </w:rPr>
              <w:t>6.50%</w:t>
            </w:r>
            <w:r>
              <w:rPr>
                <w:rFonts w:ascii="Arial" w:cs="Arial" w:eastAsia="Arial" w:hAnsi="Arial"/>
                <w:sz w:val="17"/>
                <w:szCs w:val="17"/>
                <w:color w:val="auto"/>
                <w:vertAlign w:val="superscript"/>
              </w:rPr>
              <w:t>(6)</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1,312,006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Acquisitions Sub Inc.)</w:t>
            </w:r>
          </w:p>
        </w:tc>
        <w:tc>
          <w:tcPr>
            <w:tcW w:w="10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1"/>
                <w:szCs w:val="11"/>
                <w:color w:val="auto"/>
              </w:rPr>
              <w:t>8.00%</w:t>
            </w:r>
            <w:r>
              <w:rPr>
                <w:rFonts w:ascii="Arial" w:cs="Arial" w:eastAsia="Arial" w:hAnsi="Arial"/>
                <w:sz w:val="17"/>
                <w:szCs w:val="17"/>
                <w:color w:val="auto"/>
                <w:vertAlign w:val="superscript"/>
              </w:rPr>
              <w:t>(6)</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91,608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2,499,066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9,298,819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Common Equity/Partnership</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200"/>
              <w:spacing w:after="0" w:line="176"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20"/>
                <w:szCs w:val="20"/>
                <w:b w:val="1"/>
                <w:bCs w:val="1"/>
                <w:color w:val="auto"/>
                <w:vertAlign w:val="superscript"/>
              </w:rPr>
              <w:t>(7)</w:t>
            </w:r>
            <w:r>
              <w:rPr>
                <w:rFonts w:ascii="Arial" w:cs="Arial" w:eastAsia="Arial" w:hAnsi="Arial"/>
                <w:sz w:val="13"/>
                <w:szCs w:val="13"/>
                <w:b w:val="1"/>
                <w:bCs w:val="1"/>
                <w:color w:val="auto"/>
              </w:rPr>
              <w:t>—4.0%</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AHC Mezzanine</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(Advanstar Inc.)</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Other Media</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9"/>
              </w:rPr>
              <w:t>3,000,000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998,883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(Consolidated Foundries,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340" w:type="dxa"/>
            <w:vAlign w:val="bottom"/>
          </w:tcPr>
          <w:p>
            <w:pPr>
              <w:spacing w:after="0"/>
              <w:rPr>
                <w:sz w:val="13"/>
                <w:szCs w:val="13"/>
                <w:color w:val="auto"/>
              </w:rPr>
            </w:pPr>
          </w:p>
        </w:tc>
        <w:tc>
          <w:tcPr>
            <w:tcW w:w="11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1,627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16,271</w:t>
            </w:r>
          </w:p>
        </w:tc>
        <w:tc>
          <w:tcPr>
            <w:tcW w:w="12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149,557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 (CT Technologies</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Business</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Intermediate Holdings, Inc.)</w:t>
            </w:r>
          </w:p>
        </w:tc>
        <w:tc>
          <w:tcPr>
            <w:tcW w:w="104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5,556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w w:val="99"/>
              </w:rPr>
              <w:t>3,200,000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i2 Holdings Ltd.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340" w:type="dxa"/>
            <w:vAlign w:val="bottom"/>
          </w:tcPr>
          <w:p>
            <w:pPr>
              <w:spacing w:after="0"/>
              <w:rPr>
                <w:sz w:val="13"/>
                <w:szCs w:val="13"/>
                <w:color w:val="auto"/>
              </w:rPr>
            </w:pPr>
          </w:p>
        </w:tc>
        <w:tc>
          <w:tcPr>
            <w:tcW w:w="11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440,000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440,000</w:t>
            </w:r>
          </w:p>
        </w:tc>
        <w:tc>
          <w:tcPr>
            <w:tcW w:w="12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1,545,062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(TZ Merger Sub, Inc.)</w:t>
            </w:r>
          </w:p>
        </w:tc>
        <w:tc>
          <w:tcPr>
            <w:tcW w:w="10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2,173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10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34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91,608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916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2,569,208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541,793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6,659,360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8,464,883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Par</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05/28/2013</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5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5.06%</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7,896,473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7,889,120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Education and</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01/31/2013</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152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5.35%</w:t>
            </w:r>
          </w:p>
        </w:tc>
        <w:tc>
          <w:tcPr>
            <w:tcW w:w="10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L+250</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2,955,000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w w:val="99"/>
              </w:rPr>
              <w:t>2,955,000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1,484,888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EnviroSolutions,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9"/>
              </w:rPr>
              <w:t>Environmental</w:t>
            </w:r>
          </w:p>
        </w:tc>
        <w:tc>
          <w:tcPr>
            <w:tcW w:w="152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12.04%</w:t>
            </w:r>
            <w:r>
              <w:rPr>
                <w:rFonts w:ascii="Arial" w:cs="Arial" w:eastAsia="Arial" w:hAnsi="Arial"/>
                <w:sz w:val="22"/>
                <w:szCs w:val="22"/>
                <w:color w:val="auto"/>
                <w:vertAlign w:val="superscript"/>
              </w:rPr>
              <w:t>(6)</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L+825</w:t>
            </w:r>
            <w:r>
              <w:rPr>
                <w:rFonts w:ascii="Arial" w:cs="Arial" w:eastAsia="Arial" w:hAnsi="Arial"/>
                <w:sz w:val="22"/>
                <w:szCs w:val="22"/>
                <w:color w:val="auto"/>
                <w:vertAlign w:val="superscript"/>
              </w:rPr>
              <w:t>(8)</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08/07/2012</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1520" w:type="dxa"/>
            <w:vAlign w:val="bottom"/>
            <w:gridSpan w:val="3"/>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14,014,177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88"/>
              </w:rPr>
              <w:t>12,965,204</w:t>
            </w:r>
          </w:p>
        </w:tc>
        <w:tc>
          <w:tcPr>
            <w:tcW w:w="12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4"/>
              </w:rPr>
              <w:t>12,192,334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EnviroSolutions,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Environmental</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08/07/2012</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152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12.25%</w:t>
            </w:r>
          </w:p>
        </w:tc>
        <w:tc>
          <w:tcPr>
            <w:tcW w:w="10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P+725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2,293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08/28/2014</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w:t>
            </w:r>
          </w:p>
        </w:tc>
        <w:tc>
          <w:tcPr>
            <w:tcW w:w="15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4.81%</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7,000,000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10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09/16/2013</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5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5.57%</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3,411,892</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Greatwide Logistics Services,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9"/>
              </w:rPr>
              <w:t>Cargo</w:t>
            </w:r>
          </w:p>
        </w:tc>
        <w:tc>
          <w:tcPr>
            <w:tcW w:w="340" w:type="dxa"/>
            <w:vAlign w:val="bottom"/>
          </w:tcPr>
          <w:p>
            <w:pPr>
              <w:spacing w:after="0"/>
              <w:rPr>
                <w:sz w:val="11"/>
                <w:szCs w:val="11"/>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(7)</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12/19/2013</w:t>
            </w:r>
          </w:p>
        </w:tc>
        <w:tc>
          <w:tcPr>
            <w:tcW w:w="920" w:type="dxa"/>
            <w:vAlign w:val="bottom"/>
          </w:tcPr>
          <w:p>
            <w:pPr>
              <w:jc w:val="center"/>
              <w:spacing w:after="0"/>
              <w:rPr>
                <w:sz w:val="20"/>
                <w:szCs w:val="20"/>
                <w:color w:val="auto"/>
              </w:rPr>
            </w:pPr>
            <w:r>
              <w:rPr>
                <w:rFonts w:ascii="Arial" w:cs="Arial" w:eastAsia="Arial" w:hAnsi="Arial"/>
                <w:sz w:val="14"/>
                <w:szCs w:val="14"/>
                <w:color w:val="auto"/>
                <w:w w:val="86"/>
              </w:rPr>
              <w:t>Transport</w:t>
            </w:r>
          </w:p>
        </w:tc>
        <w:tc>
          <w:tcPr>
            <w:tcW w:w="3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6,912,500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6,912,500</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5,149,813</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98"/>
              </w:rPr>
              <w:t>Current</w:t>
            </w: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Value</w:t>
            </w:r>
            <w:r>
              <w:rPr>
                <w:rFonts w:ascii="Arial" w:cs="Arial" w:eastAsia="Arial" w:hAnsi="Arial"/>
                <w:sz w:val="22"/>
                <w:szCs w:val="22"/>
                <w:b w:val="1"/>
                <w:bCs w:val="1"/>
                <w:color w:val="auto"/>
                <w:w w:val="90"/>
                <w:vertAlign w:val="superscript"/>
              </w:rPr>
              <w:t>(3)</w:t>
            </w:r>
          </w:p>
        </w:tc>
        <w:tc>
          <w:tcPr>
            <w:tcW w:w="0" w:type="dxa"/>
            <w:vAlign w:val="bottom"/>
          </w:tcPr>
          <w:p>
            <w:pPr>
              <w:spacing w:after="0"/>
              <w:rPr>
                <w:sz w:val="1"/>
                <w:szCs w:val="1"/>
                <w:color w:val="auto"/>
              </w:rPr>
            </w:pPr>
          </w:p>
        </w:tc>
      </w:tr>
      <w:tr>
        <w:trPr>
          <w:trHeight w:val="176"/>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Coupon</w:t>
            </w:r>
          </w:p>
        </w:tc>
        <w:tc>
          <w:tcPr>
            <w:tcW w:w="7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Debt—(Continued)</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Hanley- Wood, L.L.C.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03/08/2014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4.83%</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8,932,500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8,932,500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04/15/2014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5.31%</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L+250</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5,000,000</w:t>
            </w: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40" w:type="dxa"/>
            <w:vAlign w:val="bottom"/>
            <w:gridSpan w:val="3"/>
          </w:tcPr>
          <w:p>
            <w:pPr>
              <w:spacing w:after="0" w:line="159" w:lineRule="exact"/>
              <w:rPr>
                <w:sz w:val="20"/>
                <w:szCs w:val="20"/>
                <w:color w:val="auto"/>
              </w:rPr>
            </w:pPr>
            <w:r>
              <w:rPr>
                <w:rFonts w:ascii="Arial" w:cs="Arial" w:eastAsia="Arial" w:hAnsi="Arial"/>
                <w:sz w:val="14"/>
                <w:szCs w:val="14"/>
                <w:color w:val="auto"/>
              </w:rPr>
              <w:t>Jacuzzi Brands Corp.</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02/07/2014</w:t>
            </w:r>
          </w:p>
        </w:tc>
        <w:tc>
          <w:tcPr>
            <w:tcW w:w="136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34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5.35%</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9,890,541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9,890,541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6,156,861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Levlad,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03/08/2014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5.46%</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4,564,563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4,564,563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2,639,837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Longview Power, L.L.C.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02/28/2014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5.54%</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2,630,001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Mattress Holding Corp.</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01/18/2014</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340" w:type="dxa"/>
            <w:vAlign w:val="bottom"/>
            <w:gridSpan w:val="3"/>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5.96%</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L+225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3,950,100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3,950,100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2,567,565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03/28/2014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5.81%</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3,940,000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3,940,000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3,723,300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National Bedding Co., L.L.C.</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02/28/2013</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340" w:type="dxa"/>
            <w:vAlign w:val="bottom"/>
            <w:gridSpan w:val="3"/>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4.62%</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L+200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6,895,000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6,900,583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5,274,675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02/01/2013</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5.07%</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4,925,000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4,925,000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3,558,313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03/16/2014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5.71%</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1,474,667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1,474,667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05/04/2014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5.81%</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L+300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4,924,167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4,924,167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4,825,683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Printing and</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Reader’s Digest Association, Inc.</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03/02/2014</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1340" w:type="dxa"/>
            <w:vAlign w:val="bottom"/>
            <w:gridSpan w:val="3"/>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4.71%</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L+200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985,000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985,000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699,350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spacing w:after="0" w:line="138" w:lineRule="exact"/>
              <w:rPr>
                <w:sz w:val="20"/>
                <w:szCs w:val="20"/>
                <w:color w:val="auto"/>
              </w:rPr>
            </w:pPr>
            <w:r>
              <w:rPr>
                <w:rFonts w:ascii="Arial" w:cs="Arial" w:eastAsia="Arial" w:hAnsi="Arial"/>
                <w:sz w:val="14"/>
                <w:szCs w:val="14"/>
                <w:color w:val="auto"/>
                <w:w w:val="91"/>
              </w:rPr>
              <w:t>Manufacturing /</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gridSpan w:val="3"/>
          </w:tcPr>
          <w:p>
            <w:pPr>
              <w:spacing w:after="0" w:line="159" w:lineRule="exact"/>
              <w:rPr>
                <w:sz w:val="20"/>
                <w:szCs w:val="20"/>
                <w:color w:val="auto"/>
              </w:rPr>
            </w:pPr>
            <w:r>
              <w:rPr>
                <w:rFonts w:ascii="Arial" w:cs="Arial" w:eastAsia="Arial" w:hAnsi="Arial"/>
                <w:sz w:val="14"/>
                <w:szCs w:val="14"/>
                <w:color w:val="auto"/>
              </w:rPr>
              <w:t>Rexnord , L.L.C.</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07/19/2013</w:t>
            </w:r>
          </w:p>
        </w:tc>
        <w:tc>
          <w:tcPr>
            <w:tcW w:w="1360" w:type="dxa"/>
            <w:vAlign w:val="bottom"/>
          </w:tcPr>
          <w:p>
            <w:pPr>
              <w:jc w:val="center"/>
              <w:spacing w:after="0" w:line="159" w:lineRule="exact"/>
              <w:rPr>
                <w:sz w:val="20"/>
                <w:szCs w:val="20"/>
                <w:color w:val="auto"/>
              </w:rPr>
            </w:pPr>
            <w:r>
              <w:rPr>
                <w:rFonts w:ascii="Arial" w:cs="Arial" w:eastAsia="Arial" w:hAnsi="Arial"/>
                <w:sz w:val="14"/>
                <w:szCs w:val="14"/>
                <w:color w:val="auto"/>
                <w:w w:val="90"/>
              </w:rPr>
              <w:t>Basic Industry</w:t>
            </w:r>
          </w:p>
        </w:tc>
        <w:tc>
          <w:tcPr>
            <w:tcW w:w="134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5.76%</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1"/>
              </w:rPr>
              <w:t>L+200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2,917,576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2,917,576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2,625,819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01/30/2014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5.30%</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L+250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2,592,017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2,592,017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01/30/2014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6.50%</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7"/>
              </w:rPr>
              <w:t>P+150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90,311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90,311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65,927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106,271,980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105,222,862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78,844,929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9"/>
              </w:rPr>
              <w:t>Investments in Non-Controlled, Non-Affiliated Portfolio</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Companies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427,481,745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354,261,950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4"/>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Affiliated Portfolio Companies—8.5%</w:t>
            </w:r>
            <w:r>
              <w:rPr>
                <w:rFonts w:ascii="Arial" w:cs="Arial" w:eastAsia="Arial" w:hAnsi="Arial"/>
                <w:sz w:val="17"/>
                <w:szCs w:val="17"/>
                <w:b w:val="1"/>
                <w:bCs w:val="1"/>
                <w:color w:val="auto"/>
                <w:vertAlign w:val="superscript"/>
              </w:rPr>
              <w:t>(1)(2)</w:t>
            </w: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 / Corporate Notes—2.1%</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Leisure,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Amusement, Motion</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3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Performance Holdings, Inc.</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07/02/2014</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340" w:type="dxa"/>
            <w:vAlign w:val="bottom"/>
            <w:gridSpan w:val="3"/>
            <w:vMerge w:val="continue"/>
            <w:shd w:val="clear" w:color="auto" w:fill="CCEEFF"/>
          </w:tcPr>
          <w:p>
            <w:pPr>
              <w:spacing w:after="0"/>
              <w:rPr>
                <w:sz w:val="13"/>
                <w:szCs w:val="13"/>
                <w:color w:val="auto"/>
              </w:rPr>
            </w:pPr>
          </w:p>
        </w:tc>
        <w:tc>
          <w:tcPr>
            <w:tcW w:w="7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4,414,356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4,192,261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4,414,356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Maturity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6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Debt—4.0%</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88"/>
              </w:rPr>
              <w:t>07/02/2013</w:t>
            </w:r>
          </w:p>
        </w:tc>
        <w:tc>
          <w:tcPr>
            <w:tcW w:w="820" w:type="dxa"/>
            <w:vAlign w:val="bottom"/>
          </w:tcPr>
          <w:p>
            <w:pPr>
              <w:jc w:val="center"/>
              <w:spacing w:after="0" w:line="138" w:lineRule="exact"/>
              <w:rPr>
                <w:sz w:val="20"/>
                <w:szCs w:val="20"/>
                <w:color w:val="auto"/>
              </w:rPr>
            </w:pPr>
            <w:r>
              <w:rPr>
                <w:rFonts w:ascii="Arial" w:cs="Arial" w:eastAsia="Arial" w:hAnsi="Arial"/>
                <w:sz w:val="14"/>
                <w:szCs w:val="14"/>
                <w:color w:val="auto"/>
                <w:w w:val="88"/>
              </w:rPr>
              <w:t>Leisure,</w:t>
            </w:r>
          </w:p>
        </w:tc>
        <w:tc>
          <w:tcPr>
            <w:tcW w:w="106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8.55%</w:t>
            </w:r>
          </w:p>
        </w:tc>
        <w:tc>
          <w:tcPr>
            <w:tcW w:w="680" w:type="dxa"/>
            <w:vAlign w:val="bottom"/>
          </w:tcPr>
          <w:p>
            <w:pPr>
              <w:jc w:val="center"/>
              <w:spacing w:after="0" w:line="138" w:lineRule="exact"/>
              <w:rPr>
                <w:sz w:val="20"/>
                <w:szCs w:val="20"/>
                <w:color w:val="auto"/>
              </w:rPr>
            </w:pPr>
            <w:r>
              <w:rPr>
                <w:rFonts w:ascii="Arial" w:cs="Arial" w:eastAsia="Arial" w:hAnsi="Arial"/>
                <w:sz w:val="14"/>
                <w:szCs w:val="14"/>
                <w:color w:val="auto"/>
                <w:w w:val="91"/>
              </w:rPr>
              <w:t>L+575</w:t>
            </w:r>
          </w:p>
        </w:tc>
        <w:tc>
          <w:tcPr>
            <w:tcW w:w="3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w w:val="96"/>
              </w:rPr>
              <w:t>8,750,000</w:t>
            </w:r>
          </w:p>
        </w:tc>
        <w:tc>
          <w:tcPr>
            <w:tcW w:w="20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8,750,000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8,347,500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6"/>
              </w:rPr>
              <w:t>Amusement,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Motion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4"/>
              </w:rPr>
              <w:t>Pictures,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820" w:type="dxa"/>
            <w:vAlign w:val="bottom"/>
          </w:tcPr>
          <w:p>
            <w:pPr>
              <w:jc w:val="center"/>
              <w:spacing w:after="0" w:line="138" w:lineRule="exact"/>
              <w:rPr>
                <w:sz w:val="20"/>
                <w:szCs w:val="20"/>
                <w:color w:val="auto"/>
              </w:rPr>
            </w:pPr>
            <w:r>
              <w:rPr>
                <w:rFonts w:ascii="Arial" w:cs="Arial" w:eastAsia="Arial" w:hAnsi="Arial"/>
                <w:sz w:val="14"/>
                <w:szCs w:val="14"/>
                <w:color w:val="auto"/>
                <w:w w:val="88"/>
              </w:rPr>
              <w:t>Leisure,</w:t>
            </w:r>
          </w:p>
        </w:tc>
        <w:tc>
          <w:tcPr>
            <w:tcW w:w="200" w:type="dxa"/>
            <w:vAlign w:val="bottom"/>
          </w:tcPr>
          <w:p>
            <w:pPr>
              <w:spacing w:after="0"/>
              <w:rPr>
                <w:sz w:val="11"/>
                <w:szCs w:val="11"/>
                <w:color w:val="auto"/>
              </w:rPr>
            </w:pPr>
          </w:p>
        </w:tc>
        <w:tc>
          <w:tcPr>
            <w:tcW w:w="860" w:type="dxa"/>
            <w:vAlign w:val="bottom"/>
            <w:gridSpan w:val="2"/>
          </w:tcPr>
          <w:p>
            <w:pPr>
              <w:ind w:left="300"/>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37,500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5,124,014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6"/>
              </w:rPr>
              <w:t>Amusement,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Motion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4"/>
              </w:rPr>
              <w:t>Pictures,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16,692,261</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17,885,870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Investments—176.6%</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7"/>
              </w:rPr>
              <w:t>444,174,006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372,147,820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Par</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Money Market—Mutual Funds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40,249,201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40,249,201</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40,249,201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40,249,201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40,249,201</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40,249,201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Equivalents—195.7%</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7"/>
              </w:rPr>
              <w:t>484,423,207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412,397,021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Liabilities in Excess of Other</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Assets—(95.7%)</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(201,668,761)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auto"/>
              </w:rPr>
              <w:t>Net Assets—100.0%</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210,728,260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LIBOR floor applies.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PennantPark Investment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w:t>
      </w:r>
    </w:p>
    <w:p>
      <w:pPr>
        <w:spacing w:after="0" w:line="14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PennantPark Investment Advisers, LLC (the “Investment Adviser” or “PennantPark Investment Advisers”)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by and among the Company and the underwriters, and elected to purchase 625,000 shares of common stock at a price of $15.00 per share, resulting in net proceeds of $8.8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520" w:firstLine="456"/>
        <w:spacing w:after="0" w:line="256" w:lineRule="auto"/>
        <w:rPr>
          <w:sz w:val="20"/>
          <w:szCs w:val="20"/>
          <w:color w:val="auto"/>
        </w:rPr>
      </w:pPr>
      <w:r>
        <w:rPr>
          <w:rFonts w:ascii="Arial" w:cs="Arial" w:eastAsia="Arial" w:hAnsi="Arial"/>
          <w:sz w:val="18"/>
          <w:szCs w:val="18"/>
          <w:color w:val="auto"/>
        </w:rPr>
        <w:t>The accompanying financial statements are prepared in accordance with accounting principles generally accepted in the United States of America (“GAAP”). In the opinion of management, all adjustments, consisting solely of normal recurring accruals, considered necessary for the fair presentation of financial statements for the interim periods, have been included. The results of operations for interim periods are not necessarily indicative of results to be expected for the full year.</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Certain financial information normally included in annual financial statements, including certain financial statement footnotes, prepared in accordance with GAAP, is not required for interim reporting purposes and has been condensed or omitted herein. These financial statements should be read in conjunction with the Company’s financial statements and notes related thereto included in the Company’s Annual Report on Form 10-K for the year ended September 30, 2008, which was filed with the SEC on November 20, 2008.</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 of assets and liabilities at the date of the financial statements and the reported amounts of income and expenses during the reported period. Changes in the economic environment, financial markets and any other parameters used in determining these estimates could cause actual results to differ materially.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20" w:hanging="446"/>
        <w:spacing w:after="0" w:line="290"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expect that there will not be readily available market values for most of the investments which are or will be in our portfolio, and we value such investments at fair value as determined in good faith by or under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direction of our board of directors using a documented valuation policy, described further below,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these differences could be material.</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an investment, our board of directors undertakes a multi-step valuation process each quarter, as described below:</w:t>
      </w:r>
    </w:p>
    <w:p>
      <w:pPr>
        <w:spacing w:after="0" w:line="4" w:lineRule="exact"/>
        <w:rPr>
          <w:sz w:val="20"/>
          <w:szCs w:val="20"/>
          <w:color w:val="auto"/>
        </w:rPr>
      </w:pPr>
    </w:p>
    <w:p>
      <w:pPr>
        <w:ind w:left="900" w:right="48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right="6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Investments of sufficient credit quality, purchased within 60 days of maturity are valued at cost plus accreted discount, or minus amortized premium, which approximates value.</w:t>
      </w:r>
    </w:p>
    <w:p>
      <w:pPr>
        <w:spacing w:after="0" w:line="50"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(as defined below) payable values during the reporting period, including any reversal of previously recorded unrealized appreciation or depreciation, when gains or losses are realized.</w:t>
      </w:r>
    </w:p>
    <w:p>
      <w:pPr>
        <w:spacing w:after="0" w:line="61"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color w:val="auto"/>
        </w:rPr>
        <w:t>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amounts.</w:t>
      </w:r>
    </w:p>
    <w:p>
      <w:pPr>
        <w:spacing w:after="0" w:line="39" w:lineRule="exact"/>
        <w:rPr>
          <w:sz w:val="20"/>
          <w:szCs w:val="20"/>
          <w:color w:val="auto"/>
        </w:rPr>
      </w:pPr>
    </w:p>
    <w:p>
      <w:pPr>
        <w:ind w:left="900" w:hanging="446"/>
        <w:spacing w:after="0" w:line="286"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2008. Although we file federal and state tax returns, our major tax jurisdiction is federal. Our 2008 and 2007 federal tax years remain subject to examination by the Internal Revenue Service.</w:t>
      </w:r>
    </w:p>
    <w:p>
      <w:pPr>
        <w:spacing w:after="0" w:line="46"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jc w:val="both"/>
        <w:ind w:left="900" w:right="120" w:hanging="446"/>
        <w:spacing w:after="0" w:line="298"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1" w:lineRule="exact"/>
        <w:rPr>
          <w:rFonts w:ascii="Arial" w:cs="Arial" w:eastAsia="Arial" w:hAnsi="Arial"/>
          <w:sz w:val="16"/>
          <w:szCs w:val="16"/>
          <w:color w:val="auto"/>
        </w:rPr>
      </w:pPr>
    </w:p>
    <w:p>
      <w:pPr>
        <w:ind w:left="900" w:right="20" w:hanging="446"/>
        <w:spacing w:after="0" w:line="291"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In September 2006, the Financial Accounting Standards Board issued Statement of Financial Accounting Standards (“SFAS”)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(“SFAS 157”), which clarifies the definition of fair value and requires companies to expand their disclosure about the use of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39" w:lineRule="exact"/>
        <w:rPr>
          <w:rFonts w:ascii="Arial" w:cs="Arial" w:eastAsia="Arial" w:hAnsi="Arial"/>
          <w:sz w:val="16"/>
          <w:szCs w:val="16"/>
          <w:color w:val="auto"/>
        </w:rPr>
      </w:pPr>
    </w:p>
    <w:p>
      <w:pPr>
        <w:ind w:left="900" w:hanging="446"/>
        <w:spacing w:after="0" w:line="253"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w:t>
      </w:r>
      <w:r>
        <w:rPr>
          <w:rFonts w:ascii="Arial" w:cs="Arial" w:eastAsia="Arial" w:hAnsi="Arial"/>
          <w:sz w:val="18"/>
          <w:szCs w:val="18"/>
          <w:i w:val="1"/>
          <w:iCs w:val="1"/>
          <w:color w:val="auto"/>
        </w:rPr>
        <w:t>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115 </w:t>
      </w:r>
      <w:r>
        <w:rPr>
          <w:rFonts w:ascii="Arial" w:cs="Arial" w:eastAsia="Arial" w:hAnsi="Arial"/>
          <w:sz w:val="18"/>
          <w:szCs w:val="18"/>
          <w:color w:val="auto"/>
        </w:rPr>
        <w:t>(“SFAS 159”). This statement permits an entity to elect to measure many financial instruments and certain other items at fair value. This</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in earnings from using different measurement attributes. Upon our adoption of SFAS 159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w:t>
      </w:r>
    </w:p>
    <w:p>
      <w:pPr>
        <w:spacing w:after="0" w:line="75" w:lineRule="exact"/>
        <w:rPr>
          <w:sz w:val="20"/>
          <w:szCs w:val="20"/>
          <w:color w:val="auto"/>
        </w:rPr>
      </w:pPr>
    </w:p>
    <w:p>
      <w:pPr>
        <w:ind w:left="900" w:right="40" w:hanging="446"/>
        <w:spacing w:after="0" w:line="253"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In April 2009, the FASB issued FASB Staff Position No. 157-4, </w:t>
      </w:r>
      <w:r>
        <w:rPr>
          <w:rFonts w:ascii="Arial" w:cs="Arial" w:eastAsia="Arial" w:hAnsi="Arial"/>
          <w:sz w:val="18"/>
          <w:szCs w:val="18"/>
          <w:i w:val="1"/>
          <w:iCs w:val="1"/>
          <w:color w:val="auto"/>
        </w:rPr>
        <w:t>Determining Fair Value When the Volume and Level of Activity for the Asset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Liability Have Significantly Decreased and Identifying Transactions That Are Not Orderly </w:t>
      </w:r>
      <w:r>
        <w:rPr>
          <w:rFonts w:ascii="Arial" w:cs="Arial" w:eastAsia="Arial" w:hAnsi="Arial"/>
          <w:sz w:val="18"/>
          <w:szCs w:val="18"/>
          <w:color w:val="auto"/>
        </w:rPr>
        <w:t>(“FSP 157-4”), which provides further clarification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SFAS 157 in markets that are not active. Previously issued FASB Staff Position No. 157-3, Determining Fair Value of a Financial Asset When the Market for That Asset Is Not Active, has been superseded by FSP157-4. FSP 157-4 provides additional guidance for determining when the volume and trading level of activity for an asset or liability has significantly decreased and for identifying circumstances that indicate a transaction is not orderly. FSP 157-4 is effective for interim and annual reporting periods ending after June 15, 2009. We adopted the provisions of FSP 157-4 for the quarter ending June 30, 2009 and the adoption of the provisions of FSP 157-4 did not have a material effect on the Company’s financial statements.</w:t>
      </w:r>
    </w:p>
    <w:p>
      <w:pPr>
        <w:spacing w:after="0" w:line="64"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which commenced on April 17, 2007.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8).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equaled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and nine month periods ended June 30, 2009, the Investment Adviser earned a base management fee of $1.9 million and $5.5 million, respectively, from the Company. For the three and nine month periods ended June 30, 2008 the Investment Adviser received a net base management fee of $1.8 million and $4.8 million, respectively, from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described below, and any interest expense and distribution paid 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any issued and outstanding preferred stock, but excluding the incentive fee). Pre-Incentive Fee Net Investment Income includes, in the case of investments with deferred interest feature (such as original issue discount, debt instruments with pay-in-kind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05" w:lineRule="exact"/>
        <w:rPr>
          <w:sz w:val="20"/>
          <w:szCs w:val="20"/>
          <w:color w:val="auto"/>
        </w:rPr>
      </w:pPr>
    </w:p>
    <w:p>
      <w:pPr>
        <w:ind w:firstLine="464"/>
        <w:spacing w:after="0" w:line="294" w:lineRule="auto"/>
        <w:tabs>
          <w:tab w:leader="none" w:pos="70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March 31, 2008,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nine month periods ended June 30, 2009, the Investment Adviser earned an incentive fee of $1.4 million and $4.2 million, respectively, from the Company. For the three and nine month periods ended June 30, 2008, the Investment Adviser received an incentive fee of $1.0 million and $2.4 million, respectively, from the Company.</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commenced on April 17, 2009,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three and nine month periods ended June 30, 2009, the Investment Adviser and the Administrator were reimbursed approximately $0.3 million and $1.4 million, respectively, from the Company for services described above. For the three and nine month periods ended June 30, 2008 the Investment Adviser and the Administrator were reimbursed approximately $0.5 million and $1.6 million, respectively, from the Company for services described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ASSET VALUE PER SHARE</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On June 30, 2009, PennantPark Investment’s total net assets and net asset value per share were $247.0 million and $11.72, respectively. On September 30, 2008, PennantPark Investment’s total net assets and net asset value per share were $210.7 million and $10.00,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CHANGE IN NET ASSETS PER COMMON SHARE FROM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1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2009</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June 30, 2008</w:t>
            </w:r>
          </w:p>
        </w:tc>
        <w:tc>
          <w:tcPr>
            <w:tcW w:w="120" w:type="dxa"/>
            <w:vAlign w:val="bottom"/>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9"/>
              </w:rPr>
              <w:t>Numerator for 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(819,771)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15,204,464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9,622,495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(29,660,865)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21,068,772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21,068,772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21,068,772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120" w:type="dxa"/>
            <w:vAlign w:val="bottom"/>
          </w:tcPr>
          <w:p>
            <w:pPr>
              <w:spacing w:after="0"/>
              <w:rPr>
                <w:sz w:val="18"/>
                <w:szCs w:val="18"/>
                <w:color w:val="auto"/>
              </w:rPr>
            </w:pPr>
          </w:p>
        </w:tc>
      </w:tr>
      <w:tr>
        <w:trPr>
          <w:trHeight w:val="20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increase (decrease) in net assets per share resulting from</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96"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Purchases of long-term investments and PIK for the three and nine months ended June 30, 2009 totaled $33.4 million and $50.5 million, respectively. Sales and repayments of long-term investments for the three and nine months ended June 30, 2009 totaled $7.3 million and $12.9 million,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2009</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2008</w:t>
            </w:r>
          </w:p>
        </w:tc>
      </w:tr>
      <w:tr>
        <w:trPr>
          <w:trHeight w:val="142"/>
        </w:trPr>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1"/>
                <w:szCs w:val="11"/>
                <w:b w:val="1"/>
                <w:bCs w:val="1"/>
                <w:color w:val="auto"/>
              </w:rPr>
              <w:t>Cost</w:t>
            </w:r>
            <w:r>
              <w:rPr>
                <w:rFonts w:ascii="Arial" w:cs="Arial" w:eastAsia="Arial" w:hAnsi="Arial"/>
                <w:sz w:val="16"/>
                <w:szCs w:val="16"/>
                <w:b w:val="1"/>
                <w:bCs w:val="1"/>
                <w:color w:val="auto"/>
                <w:vertAlign w:val="superscript"/>
              </w:rPr>
              <w:t>(1)</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1"/>
                <w:szCs w:val="11"/>
                <w:b w:val="1"/>
                <w:bCs w:val="1"/>
                <w:color w:val="auto"/>
              </w:rPr>
              <w:t>Cost</w:t>
            </w:r>
            <w:r>
              <w:rPr>
                <w:rFonts w:ascii="Arial" w:cs="Arial" w:eastAsia="Arial" w:hAnsi="Arial"/>
                <w:sz w:val="16"/>
                <w:szCs w:val="16"/>
                <w:b w:val="1"/>
                <w:bCs w:val="1"/>
                <w:color w:val="auto"/>
                <w:vertAlign w:val="superscript"/>
              </w:rPr>
              <w:t>(1)</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114,999,131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98,832,723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105,222,862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141,753,215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111,218,950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132,155,221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104,242,000</w:t>
            </w:r>
          </w:p>
        </w:tc>
        <w:tc>
          <w:tcPr>
            <w:tcW w:w="2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174,318,523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156,034,050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187,087,744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166,173,175</w:t>
            </w:r>
          </w:p>
        </w:tc>
        <w:tc>
          <w:tcPr>
            <w:tcW w:w="20" w:type="dxa"/>
            <w:vAlign w:val="bottom"/>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9,573,076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10,259,189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9,298,819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12,198,272</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16,793,319</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13,588,897</w:t>
            </w:r>
          </w:p>
        </w:tc>
        <w:tc>
          <w:tcPr>
            <w:tcW w:w="20" w:type="dxa"/>
            <w:vAlign w:val="bottom"/>
          </w:tcPr>
          <w:p>
            <w:pPr>
              <w:spacing w:after="0"/>
              <w:rPr>
                <w:sz w:val="18"/>
                <w:szCs w:val="18"/>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452,842,217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393,138,231</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444,174,006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372,147,820</w:t>
            </w:r>
          </w:p>
        </w:tc>
      </w:tr>
      <w:tr>
        <w:trPr>
          <w:trHeight w:val="218"/>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20" w:type="dxa"/>
            <w:vAlign w:val="bottom"/>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453,383,353</w:t>
            </w:r>
          </w:p>
        </w:tc>
        <w:tc>
          <w:tcPr>
            <w:tcW w:w="3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393,679,367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484,423,207</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412,397,021</w:t>
            </w:r>
          </w:p>
        </w:tc>
      </w:tr>
      <w:tr>
        <w:trPr>
          <w:trHeight w:val="20"/>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Original cost adjusted for the accretion of discounts and amortization of premiums on debt investments, if any.</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June 30, 2009 and September 30,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880" w:type="dxa"/>
            <w:vAlign w:val="bottom"/>
          </w:tcPr>
          <w:p>
            <w:pPr>
              <w:spacing w:after="0"/>
              <w:rPr>
                <w:sz w:val="14"/>
                <w:szCs w:val="14"/>
                <w:color w:val="auto"/>
              </w:rPr>
            </w:pPr>
          </w:p>
        </w:tc>
        <w:tc>
          <w:tcPr>
            <w:tcW w:w="218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5"/>
              </w:rPr>
              <w:t>June 30, 2009</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60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60" w:type="dxa"/>
            <w:vAlign w:val="bottom"/>
            <w:gridSpan w:val="3"/>
          </w:tcPr>
          <w:p>
            <w:pPr>
              <w:jc w:val="right"/>
              <w:ind w:right="4260"/>
              <w:spacing w:after="0"/>
              <w:rPr>
                <w:sz w:val="20"/>
                <w:szCs w:val="20"/>
                <w:color w:val="auto"/>
              </w:rPr>
            </w:pPr>
            <w:r>
              <w:rPr>
                <w:rFonts w:ascii="Arial" w:cs="Arial" w:eastAsia="Arial" w:hAnsi="Arial"/>
                <w:sz w:val="18"/>
                <w:szCs w:val="18"/>
                <w:color w:val="auto"/>
              </w:rPr>
              <w:t>F-42</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8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w w:val="85"/>
              </w:rPr>
              <w:t>June 30, 2009</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20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October 1, 2008, the Company adopted SFAS 157 for cash and cash equivalents, investments and long term credit facility. The Company realized no gain or loss as a result of the adoption of SFAS No. 157. SFAS 157 defines fair value as the price that the Company would receive upon selling an investment or pay to transfer a liability in an orderly transaction to a market participant in the principal or most advantageous market for the investment or liability. SFAS 157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the Company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the Company’s own assumptions about how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All of the Company’s investments and long term credit facility are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using the above inputs in cash and cash equivalents, investments and long term credit facility valuations, the Company employs the valuation policy approved by its board of directors that is consistent 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SFAS 157 (see Note 2). Consistent with this valuation policy, the Company evaluates the source of inputs, including any markets in which its investments are trading, in determining fair value.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FSP No. 157-4 made amendments to SFAS No. 157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financial statements.</w:t>
      </w:r>
    </w:p>
    <w:p>
      <w:pPr>
        <w:spacing w:after="0" w:line="120"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Company’s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2009, our cash and cash equivalents, investments and our long term credit facility were categorized as follows in the fair value hierarchy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SFAS No. 157 purposes: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88"/>
              </w:rPr>
              <w:t>Fair Value Measurement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5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Active</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Pr>
          <w:p>
            <w:pPr>
              <w:spacing w:after="0"/>
              <w:rPr>
                <w:sz w:val="14"/>
                <w:szCs w:val="14"/>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5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securities</w:t>
            </w:r>
          </w:p>
        </w:tc>
        <w:tc>
          <w:tcPr>
            <w:tcW w:w="3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$ 366,085,723</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$ 366,085,723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6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27,052,508</w:t>
            </w:r>
          </w:p>
        </w:tc>
        <w:tc>
          <w:tcPr>
            <w:tcW w:w="640" w:type="dxa"/>
            <w:vAlign w:val="bottom"/>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393,138,231</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393,138,231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541,136</w:t>
            </w:r>
          </w:p>
        </w:tc>
        <w:tc>
          <w:tcPr>
            <w:tcW w:w="640" w:type="dxa"/>
            <w:vAlign w:val="bottom"/>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2"/>
              </w:rPr>
              <w:t>541,136</w:t>
            </w:r>
          </w:p>
        </w:tc>
        <w:tc>
          <w:tcPr>
            <w:tcW w:w="56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Cash Equivalents</w:t>
            </w:r>
          </w:p>
        </w:tc>
        <w:tc>
          <w:tcPr>
            <w:tcW w:w="3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393,679,367</w:t>
            </w: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2"/>
              </w:rPr>
              <w:t>541,136</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393,138,231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Long Term Credit Facility</w:t>
            </w:r>
          </w:p>
        </w:tc>
        <w:tc>
          <w:tcPr>
            <w:tcW w:w="3340" w:type="dxa"/>
            <w:vAlign w:val="bottom"/>
            <w:gridSpan w:val="3"/>
          </w:tcPr>
          <w:p>
            <w:pPr>
              <w:jc w:val="right"/>
              <w:ind w:right="580"/>
              <w:spacing w:after="0"/>
              <w:rPr>
                <w:sz w:val="20"/>
                <w:szCs w:val="20"/>
                <w:color w:val="auto"/>
              </w:rPr>
            </w:pPr>
            <w:r>
              <w:rPr>
                <w:rFonts w:ascii="Arial" w:cs="Arial" w:eastAsia="Arial" w:hAnsi="Arial"/>
                <w:sz w:val="18"/>
                <w:szCs w:val="18"/>
                <w:color w:val="auto"/>
              </w:rPr>
              <w:t>(134,057,558)</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(134,057,558)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340" w:type="dxa"/>
            <w:vAlign w:val="bottom"/>
            <w:gridSpan w:val="3"/>
          </w:tcPr>
          <w:p>
            <w:pPr>
              <w:jc w:val="right"/>
              <w:ind w:right="1740"/>
              <w:spacing w:after="0"/>
              <w:rPr>
                <w:sz w:val="20"/>
                <w:szCs w:val="20"/>
                <w:color w:val="auto"/>
              </w:rPr>
            </w:pPr>
            <w:r>
              <w:rPr>
                <w:rFonts w:ascii="Arial" w:cs="Arial" w:eastAsia="Arial" w:hAnsi="Arial"/>
                <w:sz w:val="18"/>
                <w:szCs w:val="18"/>
                <w:color w:val="auto"/>
              </w:rPr>
              <w:t>F-44</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Loan and debt</w:t>
            </w:r>
          </w:p>
        </w:tc>
        <w:tc>
          <w:tcPr>
            <w:tcW w:w="14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securities</w:t>
            </w:r>
          </w:p>
        </w:tc>
        <w:tc>
          <w:tcPr>
            <w:tcW w:w="1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349,260,104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22,887,716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(30,847,040)</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10,220,577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2,101,623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Purchase, PIK and discount / amortization</w:t>
            </w: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50,326,080</w:t>
            </w: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2,063,169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52,389,249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(12,873,998)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(12,873,998)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Transfers in and /or out of Level 3</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June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366,085,723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27,052,508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393,138,231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8"/>
              </w:rPr>
              <w:t>Amount of total gains or losses for the period included in earnings attributable to the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unrealized gains or losses relating to our Level 3 assets still held at the reporting date and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4"/>
              </w:rPr>
              <w:t>reported within the net change in unrealized gains or losses on investments in our Statement of</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(1,646,713)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3,424,565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1,777,852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7"/>
              </w:rPr>
              <w:t>Long Term Credit</w:t>
            </w:r>
          </w:p>
        </w:tc>
      </w:t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162,000,000</w:t>
            </w: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(41,796,000)</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gain included in earnings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(11,446,442)</w:t>
            </w: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59,200,000</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(33,900,000)</w:t>
            </w:r>
          </w:p>
        </w:tc>
      </w:tr>
      <w:tr>
        <w:trPr>
          <w:trHeight w:val="223"/>
        </w:trPr>
        <w:tc>
          <w:tcPr>
            <w:tcW w:w="2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June 30, 2009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134,057,558</w:t>
            </w:r>
          </w:p>
        </w:tc>
      </w:tr>
    </w:tbl>
    <w:p>
      <w:pPr>
        <w:spacing w:after="0" w:line="15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carrying value of the Company’s financial instruments approximates fair value. Effective October 1, 2008, the Company adopted Statement of Financial Accounting Standards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which provides companies with an option to report selected financial assets and liabilities at fair value, and made an irrevocable election to apply SFAS 159 to its credit facility. The Company elected to use the fair value option for the credit facility to align the measurement attributes of both the assets and liabilities while mitigating volatility in earnings from using different measurement attributes. SFAS 159 establishes presentation and disclosure requirements designed to facilitate comparisons between companies that choose different measurement attributes for similar types of assets and liabilities and to more easily understand the effect of the company’s choice to use fair value on its earnings. SFAS 159 also requires entities to display the fair value of the selected assets and liabilities on the face of the balance sheet and changes in fair value of the credit facility are recorded in the Statement of Operations. The Company has elected not to apply SFAS 159 to any other financial assets or liabilities. For the three months and nine months ended June 30, 2009, approximately $9.2 million was recorded as a change in unrealized appreciation and $11.4 million was recorded as a change in unrealized depreciation on the Credit facility in the Statement of Operations, respectively. The Company has used a nationally recognized independent valuation service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instrument(s) for which the Company elected the fair value option under SFAS 159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2009 and for which a transition adjustment was recorded as of October 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June 30, 2009</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Carrying Value 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Transition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Carrying Value on</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40"/>
              <w:spacing w:after="0" w:line="148" w:lineRule="exact"/>
              <w:rPr>
                <w:sz w:val="20"/>
                <w:szCs w:val="20"/>
                <w:color w:val="auto"/>
              </w:rPr>
            </w:pPr>
            <w:r>
              <w:rPr>
                <w:rFonts w:ascii="Arial" w:cs="Arial" w:eastAsia="Arial" w:hAnsi="Arial"/>
                <w:sz w:val="14"/>
                <w:szCs w:val="14"/>
                <w:b w:val="1"/>
                <w:bCs w:val="1"/>
                <w:color w:val="auto"/>
                <w:w w:val="86"/>
              </w:rPr>
              <w:t>October 1, 2008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4"/>
              <w:spacing w:after="0" w:line="148" w:lineRule="exact"/>
              <w:rPr>
                <w:sz w:val="20"/>
                <w:szCs w:val="20"/>
                <w:color w:val="auto"/>
              </w:rPr>
            </w:pPr>
            <w:r>
              <w:rPr>
                <w:rFonts w:ascii="Arial" w:cs="Arial" w:eastAsia="Arial" w:hAnsi="Arial"/>
                <w:sz w:val="14"/>
                <w:szCs w:val="14"/>
                <w:b w:val="1"/>
                <w:bCs w:val="1"/>
                <w:color w:val="auto"/>
                <w:w w:val="87"/>
              </w:rPr>
              <w:t>Adjustment to</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October 1, 2008</w:t>
            </w: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before adoption of</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7"/>
              </w:rPr>
              <w:t>Retained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after adoption of</w:t>
            </w: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9"/>
              </w:rPr>
              <w:t>Carrying Value</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2"/>
              </w:rPr>
              <w:t>Fair Value</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6"/>
              </w:rPr>
              <w:t>SFAS 159</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6"/>
              </w:rPr>
              <w:t>Earnings</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6"/>
              </w:rPr>
              <w:t>SFAS 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(long term)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134,057,558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134,057,558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41,796,000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Revolving Credit Facility (temporary draw)</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134,057,558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134,057,558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41,796,000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Temporary draw may include credit facility borrowings at the end of each quarter to maximize investment flexibility (See note 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Pending investment in longer-term portfolio holdings, the Company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the Company may take proactive steps to preserve investment flexibility for the next quarter, which is dependent upon the composition of its total assets at quarter end. The Company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the management fee. U.S. Treasury Bills with maturities greater than 60 days from the time of purchase are marked to market in a manner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PennantPark Investment may enter into repurchase agreements as part of its investment program. In these transactions, PennantPark Investment’s custodian takes possession of collateral pledged by the counterparty. The collateral is marked to market daily to ensure that the value, plus accrued interest, is at least equal to the repurchase price. In the event of default of the obligor to repurchase, PennantPark Investment would have a contractual right to liquidate the collateral and apply the proceeds in satisfaction of the underlying obligation. Under certain circumstances, including the event of default or bankruptcy by the counterparty to the agreement, realization and/or retention of the collateral or proceeds may be subject to legal proceedings. There were no repurchase agreements outstanding on June 30, 2009 or September 30, 2008.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8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2"/>
          </w:tcPr>
          <w:p>
            <w:pPr>
              <w:jc w:val="right"/>
              <w:ind w:right="1620"/>
              <w:spacing w:after="0"/>
              <w:rPr>
                <w:sz w:val="20"/>
                <w:szCs w:val="20"/>
                <w:color w:val="auto"/>
              </w:rPr>
            </w:pPr>
            <w:r>
              <w:rPr>
                <w:rFonts w:ascii="Arial" w:cs="Arial" w:eastAsia="Arial" w:hAnsi="Arial"/>
                <w:sz w:val="14"/>
                <w:szCs w:val="14"/>
                <w:b w:val="1"/>
                <w:bCs w:val="1"/>
                <w:color w:val="auto"/>
                <w:w w:val="87"/>
              </w:rPr>
              <w:t>June 30, 2009</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(credit facility)</w:t>
            </w:r>
            <w:r>
              <w:rPr>
                <w:rFonts w:ascii="Arial" w:cs="Arial" w:eastAsia="Arial" w:hAnsi="Arial"/>
                <w:sz w:val="11"/>
                <w:szCs w:val="11"/>
                <w:color w:val="auto"/>
              </w:rPr>
              <w:t>(1)</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11.99</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Net realized and change in unrealized loss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(2)</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21,068,772</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120"/>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(5)</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120"/>
              <w:spacing w:after="0"/>
              <w:rPr>
                <w:sz w:val="20"/>
                <w:szCs w:val="20"/>
                <w:color w:val="auto"/>
              </w:rPr>
            </w:pPr>
            <w:r>
              <w:rPr>
                <w:rFonts w:ascii="Arial" w:cs="Arial" w:eastAsia="Arial" w:hAnsi="Arial"/>
                <w:sz w:val="18"/>
                <w:szCs w:val="18"/>
                <w:color w:val="auto"/>
              </w:rPr>
              <w:t>9.70%**</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246,977,240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210,728,260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Average cost of debt outstanding</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173,118,681</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119,472,732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Average cost of debt per share</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8.22</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90" w:lineRule="exact"/>
        <w:rPr>
          <w:sz w:val="20"/>
          <w:szCs w:val="20"/>
          <w:color w:val="auto"/>
        </w:rPr>
      </w:pPr>
    </w:p>
    <w:p>
      <w:pPr>
        <w:ind w:left="460" w:right="240" w:hanging="452"/>
        <w:spacing w:after="0" w:line="332"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On October 1, 2008, the Company adopted SFAS 159 and made an irrevocable election to apply the fair value option to our credit facility liability. Upon our adoption our Net Asset Value increased by $41.8 million, or $1.99 per share, due to the fair value adjustment related to our credit facility.</w:t>
      </w:r>
    </w:p>
    <w:p>
      <w:pPr>
        <w:spacing w:after="0" w:line="4"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ratio of operating expenses to average net assets for the nine months ended June 30, 2009 before adoption of SFAS 159 was 9.39%, and for the fiscal year ended September 30, 2008, the ratio before management fee waiver was 6.47%</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ratio of total expenses to average net assets for the nine months ended June 30, 2009 before the adoption of SFAS 159 was 12.20%, and for the fiscal year ended September 30, 2008 the ratio before management fee waiver was 9.13%.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June 25, 2007, PennantPark Investment entered into a Senior Secured Revolving Credit Agreement (the “Credit Agreement”, “Revolving Credit Facility”, or “credit facility”) among PennantPark Investment, various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lenders and SunTrust Bank, as administrative agent for the lenders. SunTrust Robinson Humphrey Capital Markets acted as the joint lead arranger and book-runner. As of June 30, 2009, there was $187.3 million in outstanding borrowings under the Credit Agreement with an average annual interest rate of 1.31%.</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London Inter Bank Offer Rate.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Credit Agreement contains customary affirmative and negative covenants, including the maintenance of a minimum stockholders’ equity, the maintenance of a ratio not less than 200% of our total assets less liabilities (other than indebtedness) to our total outstanding indebtedness, maintenance of a blended percentage of the values of our portfolio companies, and restrictions on certain payments and issuance of debt. For a complete list of such covenants, see our current report on Form 8-K, filed with the SEC on June 28,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or cash flows.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40"/>
          </w:cols>
          <w:pgMar w:left="240" w:top="460" w:right="3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auto"/>
        </w:rPr>
        <w:t>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229870</wp:posOffset>
            </wp:positionV>
            <wp:extent cx="2470150" cy="523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294005</wp:posOffset>
            </wp:positionV>
            <wp:extent cx="34048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191135</wp:posOffset>
            </wp:positionV>
            <wp:extent cx="34048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SunTrust Robinson Humphrey</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BMO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315595</wp:posOffset>
            </wp:positionV>
            <wp:extent cx="15176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Robert W. Baird &amp; Co.</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FBR Capital Markets</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Keefe, Bruyette &amp; Woods</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Stifel Nicolaus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306070</wp:posOffset>
            </wp:positionV>
            <wp:extent cx="15176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ING Wholesale</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Natixis Bleichroeder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434340</wp:posOffset>
            </wp:positionV>
            <wp:extent cx="15176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80"/>
        <w:spacing w:after="0"/>
        <w:tabs>
          <w:tab w:leader="none" w:pos="5980" w:val="left"/>
        </w:tabs>
        <w:rPr>
          <w:sz w:val="20"/>
          <w:szCs w:val="20"/>
          <w:color w:val="auto"/>
        </w:rPr>
      </w:pPr>
      <w:r>
        <w:rPr>
          <w:rFonts w:ascii="Arial" w:cs="Arial" w:eastAsia="Arial" w:hAnsi="Arial"/>
          <w:sz w:val="18"/>
          <w:szCs w:val="18"/>
          <w:b w:val="1"/>
          <w:bCs w:val="1"/>
          <w:color w:val="auto"/>
        </w:rPr>
        <w:t>September</w:t>
        <w:tab/>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lvl w:ilvl="1">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1)"/>
      <w:numFmt w:val="decimal"/>
      <w:start w:val="7"/>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1)"/>
      <w:numFmt w:val="decimal"/>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1)"/>
      <w:numFmt w:val="decimal"/>
      <w:start w:val="7"/>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1)"/>
      <w:numFmt w:val="decimal"/>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1)"/>
      <w:numFmt w:val="decimal"/>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1)"/>
      <w:numFmt w:val="decimal"/>
      <w:start w:val="1"/>
    </w:lvl>
  </w:abstractNum>
  <w:abstractNum w:abstractNumId="33">
    <w:nsid w:val="5DC79EA8"/>
    <w:multiLevelType w:val="hybridMultilevel"/>
    <w:lvl w:ilvl="0">
      <w:lvlJc w:val="left"/>
      <w:lvlText w:val="%1)"/>
      <w:numFmt w:val="decimal"/>
      <w:start w:val="1"/>
    </w:lvl>
  </w:abstractNum>
  <w:abstractNum w:abstractNumId="34">
    <w:nsid w:val="540A471C"/>
    <w:multiLevelType w:val="hybridMultilevel"/>
    <w:lvl w:ilvl="0">
      <w:lvlJc w:val="left"/>
      <w:lvlText w:val="%1)"/>
      <w:numFmt w:val="decimal"/>
      <w:start w:val="4"/>
    </w:lvl>
  </w:abstractNum>
  <w:abstractNum w:abstractNumId="35">
    <w:nsid w:val="7BD3EE7B"/>
    <w:multiLevelType w:val="hybridMultilevel"/>
    <w:lvl w:ilvl="0">
      <w:lvlJc w:val="left"/>
      <w:lvlText w:val="(%1)"/>
      <w:numFmt w:val="lowerLetter"/>
      <w:start w:val="6"/>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1)"/>
      <w:numFmt w:val="decimal"/>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decimal"/>
      <w:start w:val="3"/>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lvl w:ilvl="1">
      <w:lvlJc w:val="left"/>
      <w:lvlText w:val="="/>
      <w:numFmt w:val="bullet"/>
      <w:start w:val="1"/>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1)"/>
      <w:numFmt w:val="decimal"/>
      <w:start w:val="1"/>
    </w:lvl>
    <w:lvl w:ilvl="1">
      <w:lvlJc w:val="left"/>
      <w:lvlText w:val="(%2)"/>
      <w:numFmt w:val="lowerLetter"/>
      <w:start w:val="1"/>
    </w:lvl>
  </w:abstractNum>
  <w:abstractNum w:abstractNumId="84">
    <w:nsid w:val="6FC75AF8"/>
    <w:multiLevelType w:val="hybridMultilevel"/>
    <w:lvl w:ilvl="0">
      <w:lvlJc w:val="left"/>
      <w:lvlText w:val="(%1)"/>
      <w:numFmt w:val="decimal"/>
      <w:start w:val="4"/>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1)"/>
      <w:numFmt w:val="decimal"/>
      <w:start w:val="1"/>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Roman"/>
      <w:start w:val="1"/>
    </w:lvl>
  </w:abstractNum>
  <w:abstractNum w:abstractNumId="95">
    <w:nsid w:val="9DAF632"/>
    <w:multiLevelType w:val="hybridMultilevel"/>
    <w:lvl w:ilvl="0">
      <w:lvlJc w:val="left"/>
      <w:lvlText w:val="(%1)"/>
      <w:numFmt w:val="lowerLetter"/>
      <w:start w:val="2"/>
    </w:lvl>
  </w:abstractNum>
  <w:abstractNum w:abstractNumId="96">
    <w:nsid w:val="53299938"/>
    <w:multiLevelType w:val="hybridMultilevel"/>
    <w:lvl w:ilvl="0">
      <w:lvlJc w:val="left"/>
      <w:lvlText w:val="(%1)"/>
      <w:numFmt w:val="lowerLetter"/>
      <w:start w:val="5"/>
    </w:lvl>
  </w:abstractNum>
  <w:abstractNum w:abstractNumId="97">
    <w:nsid w:val="1FBFE8E0"/>
    <w:multiLevelType w:val="hybridMultilevel"/>
    <w:lvl w:ilvl="0">
      <w:lvlJc w:val="left"/>
      <w:lvlText w:val="%1"/>
      <w:numFmt w:val="decimal"/>
      <w:start w:val="1"/>
    </w:lvl>
    <w:lvl w:ilvl="1">
      <w:lvlJc w:val="left"/>
      <w:lvlText w:val="(%2)"/>
      <w:numFmt w:val="lowerLetter"/>
      <w:start w:val="10"/>
    </w:lvl>
  </w:abstractNum>
  <w:abstractNum w:abstractNumId="98">
    <w:nsid w:val="5092CA79"/>
    <w:multiLevelType w:val="hybridMultilevel"/>
    <w:lvl w:ilvl="0">
      <w:lvlJc w:val="left"/>
      <w:lvlText w:val="%1."/>
      <w:numFmt w:val="decimal"/>
      <w:start w:val="3"/>
    </w:lvl>
    <w:lvl w:ilvl="1">
      <w:lvlJc w:val="left"/>
      <w:lvlText w:val="%2"/>
      <w:numFmt w:val="lowerLetter"/>
      <w:start w:val="1"/>
    </w:lvl>
  </w:abstractNum>
  <w:abstractNum w:abstractNumId="99">
    <w:nsid w:val="1D545C4D"/>
    <w:multiLevelType w:val="hybridMultilevel"/>
    <w:lvl w:ilvl="0">
      <w:lvlJc w:val="left"/>
      <w:lvlText w:val="(%1)"/>
      <w:numFmt w:val="decimal"/>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decimal"/>
      <w:start w:val="1"/>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1)"/>
      <w:numFmt w:val="lowerLetter"/>
      <w:start w:val="2"/>
    </w:lvl>
  </w:abstractNum>
  <w:abstractNum w:abstractNumId="107">
    <w:nsid w:val="53584BCB"/>
    <w:multiLevelType w:val="hybridMultilevel"/>
    <w:lvl w:ilvl="0">
      <w:lvlJc w:val="left"/>
      <w:lvlText w:val="(%1)"/>
      <w:numFmt w:val="lowerLetter"/>
      <w:start w:val="5"/>
    </w:lvl>
  </w:abstractNum>
  <w:abstractNum w:abstractNumId="108">
    <w:nsid w:val="415E286C"/>
    <w:multiLevelType w:val="hybridMultilevel"/>
    <w:lvl w:ilvl="0">
      <w:lvlJc w:val="left"/>
      <w:lvlText w:val="(%1)"/>
      <w:numFmt w:val="lowerLetter"/>
      <w:start w:val="10"/>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decimal"/>
      <w:start w:val="1"/>
    </w:lvl>
  </w:abstractNum>
  <w:abstractNum w:abstractNumId="111">
    <w:nsid w:val="45E6D486"/>
    <w:multiLevelType w:val="hybridMultilevel"/>
    <w:lvl w:ilvl="0">
      <w:lvlJc w:val="left"/>
      <w:lvlText w:val="(%1)"/>
      <w:numFmt w:val="decimal"/>
      <w:start w:val="1"/>
    </w:lvl>
  </w:abstractNum>
  <w:abstractNum w:abstractNumId="112">
    <w:nsid w:val="5C10FE21"/>
    <w:multiLevelType w:val="hybridMultilevel"/>
    <w:lvl w:ilvl="0">
      <w:lvlJc w:val="left"/>
      <w:lvlText w:val="*"/>
      <w:numFmt w:val="bullet"/>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2019-12-11T02:57:32Z</dcterms:created>
  <dcterms:modified xsi:type="dcterms:W3CDTF">2019-12-11T02:57:32Z</dcterms:modified>
</cp:coreProperties>
</file>