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3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________________________________</w:t>
      </w:r>
    </w:p>
    <w:p>
      <w:pPr>
        <w:spacing w:after="0" w:line="3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39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________________________________</w:t>
      </w:r>
    </w:p>
    <w:p>
      <w:pPr>
        <w:spacing w:after="0" w:line="13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June 25, 2007</w:t>
      </w:r>
    </w:p>
    <w:p>
      <w:pPr>
        <w:spacing w:after="0" w:line="2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________________________________</w:t>
      </w:r>
    </w:p>
    <w:p>
      <w:pPr>
        <w:spacing w:after="0" w:line="10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PennantPark Investment Corporation</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(Exact name of registrant as specified in its charter)</w:t>
      </w:r>
    </w:p>
    <w:p>
      <w:pPr>
        <w:ind w:left="4540"/>
        <w:spacing w:after="0"/>
        <w:rPr>
          <w:sz w:val="20"/>
          <w:szCs w:val="20"/>
          <w:color w:val="auto"/>
        </w:rPr>
      </w:pPr>
      <w:r>
        <w:rPr>
          <w:rFonts w:ascii="Arial" w:cs="Arial" w:eastAsia="Arial" w:hAnsi="Arial"/>
          <w:sz w:val="13"/>
          <w:szCs w:val="13"/>
          <w:color w:val="auto"/>
        </w:rPr>
        <w:t>________________________________</w:t>
      </w:r>
    </w:p>
    <w:p>
      <w:pPr>
        <w:spacing w:after="0" w:line="200" w:lineRule="exact"/>
        <w:rPr>
          <w:sz w:val="24"/>
          <w:szCs w:val="24"/>
          <w:color w:val="auto"/>
        </w:rPr>
      </w:pPr>
    </w:p>
    <w:p>
      <w:pPr>
        <w:spacing w:after="0" w:line="215" w:lineRule="exact"/>
        <w:rPr>
          <w:sz w:val="24"/>
          <w:szCs w:val="24"/>
          <w:color w:val="auto"/>
        </w:rPr>
      </w:pPr>
    </w:p>
    <w:tbl>
      <w:tblPr>
        <w:tblLayout w:type="fixed"/>
        <w:tblInd w:w="1720" w:type="dxa"/>
        <w:tblCellMar>
          <w:top w:w="0" w:type="dxa"/>
          <w:left w:w="0" w:type="dxa"/>
          <w:bottom w:w="0" w:type="dxa"/>
          <w:right w:w="0" w:type="dxa"/>
        </w:tblCellMar>
      </w:tblPr>
      <w:tr>
        <w:trPr>
          <w:trHeight w:val="228"/>
        </w:trPr>
        <w:tc>
          <w:tcPr>
            <w:tcW w:w="2720" w:type="dxa"/>
            <w:vAlign w:val="bottom"/>
          </w:tcPr>
          <w:p>
            <w:pPr>
              <w:jc w:val="center"/>
              <w:ind w:right="381"/>
              <w:spacing w:after="0"/>
              <w:rPr>
                <w:sz w:val="20"/>
                <w:szCs w:val="20"/>
                <w:color w:val="auto"/>
              </w:rPr>
            </w:pPr>
            <w:r>
              <w:rPr>
                <w:rFonts w:ascii="Arial" w:cs="Arial" w:eastAsia="Arial" w:hAnsi="Arial"/>
                <w:sz w:val="18"/>
                <w:szCs w:val="18"/>
                <w:b w:val="1"/>
                <w:bCs w:val="1"/>
                <w:color w:val="auto"/>
                <w:w w:val="93"/>
              </w:rPr>
              <w:t>Maryland</w:t>
            </w:r>
          </w:p>
        </w:tc>
        <w:tc>
          <w:tcPr>
            <w:tcW w:w="2800" w:type="dxa"/>
            <w:vAlign w:val="bottom"/>
          </w:tcPr>
          <w:p>
            <w:pPr>
              <w:jc w:val="right"/>
              <w:ind w:right="1062"/>
              <w:spacing w:after="0"/>
              <w:rPr>
                <w:sz w:val="20"/>
                <w:szCs w:val="20"/>
                <w:color w:val="auto"/>
              </w:rPr>
            </w:pPr>
            <w:r>
              <w:rPr>
                <w:rFonts w:ascii="Arial" w:cs="Arial" w:eastAsia="Arial" w:hAnsi="Arial"/>
                <w:sz w:val="18"/>
                <w:szCs w:val="18"/>
                <w:b w:val="1"/>
                <w:bCs w:val="1"/>
                <w:color w:val="auto"/>
              </w:rPr>
              <w:t>814-00736</w:t>
            </w:r>
          </w:p>
        </w:tc>
        <w:tc>
          <w:tcPr>
            <w:tcW w:w="1780" w:type="dxa"/>
            <w:vAlign w:val="bottom"/>
          </w:tcPr>
          <w:p>
            <w:pPr>
              <w:jc w:val="center"/>
              <w:ind w:left="644"/>
              <w:spacing w:after="0"/>
              <w:rPr>
                <w:sz w:val="20"/>
                <w:szCs w:val="20"/>
                <w:color w:val="auto"/>
              </w:rPr>
            </w:pPr>
            <w:r>
              <w:rPr>
                <w:rFonts w:ascii="Arial" w:cs="Arial" w:eastAsia="Arial" w:hAnsi="Arial"/>
                <w:sz w:val="18"/>
                <w:szCs w:val="18"/>
                <w:b w:val="1"/>
                <w:bCs w:val="1"/>
                <w:color w:val="auto"/>
                <w:w w:val="89"/>
              </w:rPr>
              <w:t>20-8250744</w:t>
            </w:r>
          </w:p>
        </w:tc>
      </w:tr>
      <w:tr>
        <w:trPr>
          <w:trHeight w:val="165"/>
        </w:trPr>
        <w:tc>
          <w:tcPr>
            <w:tcW w:w="2720" w:type="dxa"/>
            <w:vAlign w:val="bottom"/>
          </w:tcPr>
          <w:p>
            <w:pPr>
              <w:jc w:val="center"/>
              <w:ind w:right="381"/>
              <w:spacing w:after="0"/>
              <w:rPr>
                <w:sz w:val="20"/>
                <w:szCs w:val="20"/>
                <w:color w:val="auto"/>
              </w:rPr>
            </w:pPr>
            <w:r>
              <w:rPr>
                <w:rFonts w:ascii="Arial" w:cs="Arial" w:eastAsia="Arial" w:hAnsi="Arial"/>
                <w:sz w:val="13"/>
                <w:szCs w:val="13"/>
                <w:b w:val="1"/>
                <w:bCs w:val="1"/>
                <w:color w:val="auto"/>
                <w:w w:val="94"/>
              </w:rPr>
              <w:t>(State or other jurisdiction</w:t>
            </w:r>
          </w:p>
        </w:tc>
        <w:tc>
          <w:tcPr>
            <w:tcW w:w="2800" w:type="dxa"/>
            <w:vAlign w:val="bottom"/>
          </w:tcPr>
          <w:p>
            <w:pPr>
              <w:jc w:val="center"/>
              <w:ind w:right="162"/>
              <w:spacing w:after="0"/>
              <w:rPr>
                <w:sz w:val="20"/>
                <w:szCs w:val="20"/>
                <w:color w:val="auto"/>
              </w:rPr>
            </w:pPr>
            <w:r>
              <w:rPr>
                <w:rFonts w:ascii="Arial" w:cs="Arial" w:eastAsia="Arial" w:hAnsi="Arial"/>
                <w:sz w:val="13"/>
                <w:szCs w:val="13"/>
                <w:b w:val="1"/>
                <w:bCs w:val="1"/>
                <w:color w:val="auto"/>
                <w:w w:val="94"/>
              </w:rPr>
              <w:t>(Commission File Number)</w:t>
            </w:r>
          </w:p>
        </w:tc>
        <w:tc>
          <w:tcPr>
            <w:tcW w:w="1780" w:type="dxa"/>
            <w:vAlign w:val="bottom"/>
          </w:tcPr>
          <w:p>
            <w:pPr>
              <w:jc w:val="center"/>
              <w:ind w:left="64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2720" w:type="dxa"/>
            <w:vAlign w:val="bottom"/>
          </w:tcPr>
          <w:p>
            <w:pPr>
              <w:jc w:val="center"/>
              <w:ind w:right="381"/>
              <w:spacing w:after="0"/>
              <w:rPr>
                <w:sz w:val="20"/>
                <w:szCs w:val="20"/>
                <w:color w:val="auto"/>
              </w:rPr>
            </w:pPr>
            <w:r>
              <w:rPr>
                <w:rFonts w:ascii="Arial" w:cs="Arial" w:eastAsia="Arial" w:hAnsi="Arial"/>
                <w:sz w:val="13"/>
                <w:szCs w:val="13"/>
                <w:b w:val="1"/>
                <w:bCs w:val="1"/>
                <w:color w:val="auto"/>
                <w:w w:val="94"/>
              </w:rPr>
              <w:t>of incorporation)</w:t>
            </w:r>
          </w:p>
        </w:tc>
        <w:tc>
          <w:tcPr>
            <w:tcW w:w="2800" w:type="dxa"/>
            <w:vAlign w:val="bottom"/>
          </w:tcPr>
          <w:p>
            <w:pPr>
              <w:spacing w:after="0"/>
              <w:rPr>
                <w:sz w:val="15"/>
                <w:szCs w:val="15"/>
                <w:color w:val="auto"/>
              </w:rPr>
            </w:pPr>
          </w:p>
        </w:tc>
        <w:tc>
          <w:tcPr>
            <w:tcW w:w="1780" w:type="dxa"/>
            <w:vAlign w:val="bottom"/>
          </w:tcPr>
          <w:p>
            <w:pPr>
              <w:jc w:val="center"/>
              <w:ind w:left="644"/>
              <w:spacing w:after="0"/>
              <w:rPr>
                <w:sz w:val="20"/>
                <w:szCs w:val="20"/>
                <w:color w:val="auto"/>
              </w:rPr>
            </w:pPr>
            <w:r>
              <w:rPr>
                <w:rFonts w:ascii="Arial" w:cs="Arial" w:eastAsia="Arial" w:hAnsi="Arial"/>
                <w:sz w:val="13"/>
                <w:szCs w:val="13"/>
                <w:b w:val="1"/>
                <w:bCs w:val="1"/>
                <w:color w:val="auto"/>
                <w:w w:val="96"/>
              </w:rPr>
              <w:t>Identification No.)</w:t>
            </w:r>
          </w:p>
        </w:tc>
      </w:tr>
      <w:tr>
        <w:trPr>
          <w:trHeight w:val="363"/>
        </w:trPr>
        <w:tc>
          <w:tcPr>
            <w:tcW w:w="2720" w:type="dxa"/>
            <w:vAlign w:val="bottom"/>
          </w:tcPr>
          <w:p>
            <w:pPr>
              <w:jc w:val="center"/>
              <w:ind w:right="421"/>
              <w:spacing w:after="0"/>
              <w:rPr>
                <w:sz w:val="20"/>
                <w:szCs w:val="20"/>
                <w:color w:val="auto"/>
              </w:rPr>
            </w:pPr>
            <w:r>
              <w:rPr>
                <w:rFonts w:ascii="Arial" w:cs="Arial" w:eastAsia="Arial" w:hAnsi="Arial"/>
                <w:sz w:val="18"/>
                <w:szCs w:val="18"/>
                <w:b w:val="1"/>
                <w:bCs w:val="1"/>
                <w:color w:val="auto"/>
                <w:w w:val="87"/>
              </w:rPr>
              <w:t>445 Park Avenue</w:t>
            </w:r>
          </w:p>
        </w:tc>
        <w:tc>
          <w:tcPr>
            <w:tcW w:w="28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43"/>
        </w:trPr>
        <w:tc>
          <w:tcPr>
            <w:tcW w:w="2720" w:type="dxa"/>
            <w:vAlign w:val="bottom"/>
          </w:tcPr>
          <w:p>
            <w:pPr>
              <w:jc w:val="center"/>
              <w:ind w:right="421"/>
              <w:spacing w:after="0"/>
              <w:rPr>
                <w:sz w:val="20"/>
                <w:szCs w:val="20"/>
                <w:color w:val="auto"/>
              </w:rPr>
            </w:pPr>
            <w:r>
              <w:rPr>
                <w:rFonts w:ascii="Arial" w:cs="Arial" w:eastAsia="Arial" w:hAnsi="Arial"/>
                <w:sz w:val="18"/>
                <w:szCs w:val="18"/>
                <w:b w:val="1"/>
                <w:bCs w:val="1"/>
                <w:color w:val="auto"/>
                <w:w w:val="89"/>
              </w:rPr>
              <w:t>10th Floor</w:t>
            </w:r>
          </w:p>
        </w:tc>
        <w:tc>
          <w:tcPr>
            <w:tcW w:w="28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43"/>
        </w:trPr>
        <w:tc>
          <w:tcPr>
            <w:tcW w:w="2720" w:type="dxa"/>
            <w:vAlign w:val="bottom"/>
          </w:tcPr>
          <w:p>
            <w:pPr>
              <w:jc w:val="center"/>
              <w:ind w:right="421"/>
              <w:spacing w:after="0"/>
              <w:rPr>
                <w:sz w:val="20"/>
                <w:szCs w:val="20"/>
                <w:color w:val="auto"/>
              </w:rPr>
            </w:pPr>
            <w:r>
              <w:rPr>
                <w:rFonts w:ascii="Arial" w:cs="Arial" w:eastAsia="Arial" w:hAnsi="Arial"/>
                <w:sz w:val="18"/>
                <w:szCs w:val="18"/>
                <w:b w:val="1"/>
                <w:bCs w:val="1"/>
                <w:color w:val="auto"/>
                <w:w w:val="93"/>
              </w:rPr>
              <w:t>New York, NY</w:t>
            </w:r>
          </w:p>
        </w:tc>
        <w:tc>
          <w:tcPr>
            <w:tcW w:w="2800" w:type="dxa"/>
            <w:vAlign w:val="bottom"/>
          </w:tcPr>
          <w:p>
            <w:pPr>
              <w:spacing w:after="0"/>
              <w:rPr>
                <w:sz w:val="21"/>
                <w:szCs w:val="21"/>
                <w:color w:val="auto"/>
              </w:rPr>
            </w:pPr>
          </w:p>
        </w:tc>
        <w:tc>
          <w:tcPr>
            <w:tcW w:w="1780" w:type="dxa"/>
            <w:vAlign w:val="bottom"/>
          </w:tcPr>
          <w:p>
            <w:pPr>
              <w:jc w:val="right"/>
              <w:ind w:right="164"/>
              <w:spacing w:after="0"/>
              <w:rPr>
                <w:sz w:val="20"/>
                <w:szCs w:val="20"/>
                <w:color w:val="auto"/>
              </w:rPr>
            </w:pPr>
            <w:r>
              <w:rPr>
                <w:rFonts w:ascii="Arial" w:cs="Arial" w:eastAsia="Arial" w:hAnsi="Arial"/>
                <w:sz w:val="18"/>
                <w:szCs w:val="18"/>
                <w:b w:val="1"/>
                <w:bCs w:val="1"/>
                <w:color w:val="auto"/>
              </w:rPr>
              <w:t>10022</w:t>
            </w:r>
          </w:p>
        </w:tc>
      </w:tr>
      <w:tr>
        <w:trPr>
          <w:trHeight w:val="190"/>
        </w:trPr>
        <w:tc>
          <w:tcPr>
            <w:tcW w:w="2720" w:type="dxa"/>
            <w:vAlign w:val="bottom"/>
          </w:tcPr>
          <w:p>
            <w:pPr>
              <w:jc w:val="center"/>
              <w:ind w:right="421"/>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2800" w:type="dxa"/>
            <w:vAlign w:val="bottom"/>
          </w:tcPr>
          <w:p>
            <w:pPr>
              <w:spacing w:after="0"/>
              <w:rPr>
                <w:sz w:val="16"/>
                <w:szCs w:val="16"/>
                <w:color w:val="auto"/>
              </w:rPr>
            </w:pPr>
          </w:p>
        </w:tc>
        <w:tc>
          <w:tcPr>
            <w:tcW w:w="1780" w:type="dxa"/>
            <w:vAlign w:val="bottom"/>
          </w:tcPr>
          <w:p>
            <w:pPr>
              <w:jc w:val="center"/>
              <w:ind w:left="764"/>
              <w:spacing w:after="0"/>
              <w:rPr>
                <w:sz w:val="20"/>
                <w:szCs w:val="20"/>
                <w:color w:val="auto"/>
              </w:rPr>
            </w:pPr>
            <w:r>
              <w:rPr>
                <w:rFonts w:ascii="Arial" w:cs="Arial" w:eastAsia="Arial" w:hAnsi="Arial"/>
                <w:sz w:val="13"/>
                <w:szCs w:val="13"/>
                <w:b w:val="1"/>
                <w:bCs w:val="1"/>
                <w:color w:val="auto"/>
                <w:w w:val="96"/>
              </w:rPr>
              <w:t>(Zip Code)</w:t>
            </w:r>
          </w:p>
        </w:tc>
      </w:tr>
    </w:tbl>
    <w:p>
      <w:pPr>
        <w:spacing w:after="0" w:line="31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212-307-3280</w:t>
      </w:r>
    </w:p>
    <w:p>
      <w:pPr>
        <w:spacing w:after="0" w:line="312"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9" w:lineRule="exact"/>
        <w:rPr>
          <w:sz w:val="24"/>
          <w:szCs w:val="24"/>
          <w:color w:val="auto"/>
        </w:rPr>
      </w:pPr>
    </w:p>
    <w:p>
      <w:pPr>
        <w:ind w:left="200" w:hanging="179"/>
        <w:spacing w:after="0"/>
        <w:tabs>
          <w:tab w:leader="none" w:pos="200" w:val="left"/>
        </w:tabs>
        <w:numPr>
          <w:ilvl w:val="0"/>
          <w:numId w:val="1"/>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7"/>
          <w:szCs w:val="17"/>
          <w:color w:val="auto"/>
        </w:rPr>
        <w:t>Written communications pursuant to Rule 425 under the Securities Act (17 CFR 230.425)</w:t>
      </w:r>
    </w:p>
    <w:p>
      <w:pPr>
        <w:spacing w:after="0" w:line="166" w:lineRule="exact"/>
        <w:rPr>
          <w:sz w:val="24"/>
          <w:szCs w:val="24"/>
          <w:color w:val="auto"/>
        </w:rPr>
      </w:pPr>
    </w:p>
    <w:p>
      <w:pPr>
        <w:ind w:left="200" w:hanging="179"/>
        <w:spacing w:after="0"/>
        <w:tabs>
          <w:tab w:leader="none" w:pos="200"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7"/>
          <w:szCs w:val="17"/>
          <w:color w:val="auto"/>
        </w:rPr>
        <w:t>Soliciting material pursuant to Rule 14a-12 under the Exchange Act (17 CFR 240.14a-12)</w:t>
      </w:r>
    </w:p>
    <w:p>
      <w:pPr>
        <w:spacing w:after="0" w:line="166" w:lineRule="exact"/>
        <w:rPr>
          <w:sz w:val="24"/>
          <w:szCs w:val="24"/>
          <w:color w:val="auto"/>
        </w:rPr>
      </w:pPr>
    </w:p>
    <w:p>
      <w:pPr>
        <w:ind w:left="200" w:hanging="179"/>
        <w:spacing w:after="0"/>
        <w:tabs>
          <w:tab w:leader="none" w:pos="200"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7"/>
          <w:szCs w:val="17"/>
          <w:color w:val="auto"/>
        </w:rPr>
        <w:t>Pre-commencement communications pursuant to Rule 14d-2(b) under the Exchange Act (17 CFR 240.14d-2(b))</w:t>
      </w:r>
    </w:p>
    <w:p>
      <w:pPr>
        <w:spacing w:after="0" w:line="166" w:lineRule="exact"/>
        <w:rPr>
          <w:sz w:val="24"/>
          <w:szCs w:val="24"/>
          <w:color w:val="auto"/>
        </w:rPr>
      </w:pPr>
    </w:p>
    <w:p>
      <w:pPr>
        <w:ind w:left="200" w:hanging="179"/>
        <w:spacing w:after="0"/>
        <w:tabs>
          <w:tab w:leader="none" w:pos="200"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64" w:lineRule="exact"/>
        <w:rPr>
          <w:sz w:val="24"/>
          <w:szCs w:val="24"/>
          <w:color w:val="auto"/>
        </w:rPr>
      </w:pPr>
    </w:p>
    <w:p>
      <w:pPr>
        <w:ind w:right="100"/>
        <w:spacing w:after="0" w:line="298" w:lineRule="auto"/>
        <w:rPr>
          <w:sz w:val="20"/>
          <w:szCs w:val="20"/>
          <w:color w:val="auto"/>
        </w:rPr>
      </w:pPr>
      <w:r>
        <w:rPr>
          <w:rFonts w:ascii="Arial" w:cs="Arial" w:eastAsia="Arial" w:hAnsi="Arial"/>
          <w:sz w:val="16"/>
          <w:szCs w:val="16"/>
          <w:color w:val="auto"/>
        </w:rPr>
        <w:t>On June 25, 2007, PennantPark Investment Corporation ("PennantPark"), a Maryland corporation, entered into a Senior Secured Revolving Credit Agreement (the "Credit Agreement"), among PennantPark, the lenders party thereto and SunTrust Bank, as administrative agent for the lenders. SunTrust Robinson Humphrey Capital Markets acted as the joint lead arranger and book-runner, and Bear Stearns Corporate Lending Inc. acted as joint lead arranger and syndication agent. Capitalized terms not defined in this report are defined in the Credit Agreement.</w:t>
      </w:r>
    </w:p>
    <w:p>
      <w:pPr>
        <w:spacing w:after="0" w:line="99" w:lineRule="exact"/>
        <w:rPr>
          <w:sz w:val="24"/>
          <w:szCs w:val="24"/>
          <w:color w:val="auto"/>
        </w:rPr>
      </w:pPr>
    </w:p>
    <w:p>
      <w:pPr>
        <w:ind w:right="40"/>
        <w:spacing w:after="0" w:line="294" w:lineRule="auto"/>
        <w:rPr>
          <w:sz w:val="20"/>
          <w:szCs w:val="20"/>
          <w:color w:val="auto"/>
        </w:rPr>
      </w:pPr>
      <w:r>
        <w:rPr>
          <w:rFonts w:ascii="Arial" w:cs="Arial" w:eastAsia="Arial" w:hAnsi="Arial"/>
          <w:sz w:val="16"/>
          <w:szCs w:val="16"/>
          <w:color w:val="auto"/>
        </w:rPr>
        <w:t>Under the Credit Agreement, the lenders have agreed to extend credit to PennantPark in an initial aggregate principal or face amount not exceeding $300,000,000 at any one time outstanding. The Credit Agreement is a five-year revolving facility (with a stated maturity date of June 25, 2012) and is secured by substantially all of the assets in PennantPark's portfolio. Pricing is set according to the type of borrowing under the Credit Agreement. Eurocurrency Borrowings under the Credit Agreement are issued at 100 basis points over Adjusted LIBOR. Alternate Base Rate Borrowings under the Credit Agreement are issued at the greater of (a) the Prime Rate in effect on such day and (b) the Federal Funds Effective Rate for such day plus 1/2 of 1%.</w:t>
      </w:r>
    </w:p>
    <w:p>
      <w:pPr>
        <w:spacing w:after="0" w:line="169" w:lineRule="exact"/>
        <w:rPr>
          <w:sz w:val="24"/>
          <w:szCs w:val="24"/>
          <w:color w:val="auto"/>
        </w:rPr>
      </w:pPr>
    </w:p>
    <w:p>
      <w:pPr>
        <w:ind w:right="160"/>
        <w:spacing w:after="0" w:line="304" w:lineRule="auto"/>
        <w:rPr>
          <w:sz w:val="20"/>
          <w:szCs w:val="20"/>
          <w:color w:val="auto"/>
        </w:rPr>
      </w:pPr>
      <w:r>
        <w:rPr>
          <w:rFonts w:ascii="Arial" w:cs="Arial" w:eastAsia="Arial" w:hAnsi="Arial"/>
          <w:sz w:val="15"/>
          <w:szCs w:val="15"/>
          <w:color w:val="auto"/>
        </w:rPr>
        <w:t>The Credit Agreement contains affirmative and restrictive covenants, including: (a) periodic financial reporting requirements, (b) maintenance of a minimum shareholders' equity of the greater of (i) 40% of the total assets of PennantpPark and its subsidiaries as at the last day of any fiscal quarter and (ii) the sum of</w:t>
      </w:r>
    </w:p>
    <w:p>
      <w:pPr>
        <w:spacing w:after="0" w:line="1" w:lineRule="exact"/>
        <w:rPr>
          <w:sz w:val="24"/>
          <w:szCs w:val="24"/>
          <w:color w:val="auto"/>
        </w:rPr>
      </w:pPr>
    </w:p>
    <w:p>
      <w:pPr>
        <w:ind w:firstLine="8"/>
        <w:spacing w:after="0" w:line="286" w:lineRule="auto"/>
        <w:tabs>
          <w:tab w:leader="none" w:pos="287" w:val="left"/>
        </w:tabs>
        <w:numPr>
          <w:ilvl w:val="0"/>
          <w:numId w:val="5"/>
        </w:numPr>
        <w:rPr>
          <w:rFonts w:ascii="Arial" w:cs="Arial" w:eastAsia="Arial" w:hAnsi="Arial"/>
          <w:sz w:val="16"/>
          <w:szCs w:val="16"/>
          <w:color w:val="auto"/>
        </w:rPr>
      </w:pPr>
      <w:r>
        <w:rPr>
          <w:rFonts w:ascii="Arial" w:cs="Arial" w:eastAsia="Arial" w:hAnsi="Arial"/>
          <w:sz w:val="16"/>
          <w:szCs w:val="16"/>
          <w:color w:val="auto"/>
        </w:rPr>
        <w:t>$120,000,000 plus (B) 25% of the net proceeds from the sale of equity interests in PennantPark and its subsidiaries after the closing date of the Credit Agreement, (c) maintenance of a ratio of total assets (less total liabilities other than indebtedness) to total indebtedness, in each case of PennantPark, of not less than 2.0:1.0, (d) maintenance of minimum liquidity standards, (e) limitations on the incurrence of additional indebtedness, (f) limitations on liens, (g) limitations on fundamental corporate changes, (h) limitations on investments (other than PennantPark's portfolio investments and certain other ordinary course investments), (i) limi tations on payments and distributions (other than distributions to PennantPark's shareholders as contemplated to maintain Regulated Investment Company status), (j) limitations on transactions with affiliates, (k) limitations on engaging in business not contemplated by PennantPark's investment objectives, and (l) limitations on the creation or existence of agreements that prohibit liens on properties of PennantPark and its subsidiaries. In addition to the asset coverage ratio described in clause (c) of the preceding sentence, borrowings under the Credit Agreement (and the incurrence of certain other permitted debt) will be subject to compliance with a borrowing base that will apply different advance rates to different types of assets in PennantPark's portfolio. PennantPark has not yet borrowed any amounts under the Credit Agreement.</w:t>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The Credit Agreement will be used to supplement PennantPark's equity capital to make additional portfolio investments on a cost-effective basis.</w:t>
      </w:r>
    </w:p>
    <w:p>
      <w:pPr>
        <w:sectPr>
          <w:pgSz w:w="11900" w:h="16838" w:orient="portrait"/>
          <w:cols w:equalWidth="0" w:num="1">
            <w:col w:w="11200"/>
          </w:cols>
          <w:pgMar w:left="320" w:top="449" w:right="37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 press release announcing the entry into the Credit Agreement is attached hereto as Exhibit 99.1. The Credit Agreement is attached hereto as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 and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77"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Exhibits.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706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Press Release of PennantPark Investment Corporation, dated June 25, 2007</w:t>
            </w: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w w:val="94"/>
              </w:rPr>
              <w:t>Senior Secured Revolving Credit Agreement, dated as of June 25, 2007, among PennantPark</w:t>
            </w:r>
          </w:p>
        </w:tc>
      </w:tr>
      <w:tr>
        <w:trPr>
          <w:trHeight w:val="216"/>
        </w:trPr>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w w:val="87"/>
              </w:rPr>
              <w:t>Investment Corporation, the lenders party thereto and SunTrust Bank, as administrative agent for the</w:t>
            </w:r>
          </w:p>
        </w:tc>
      </w:tr>
      <w:tr>
        <w:trPr>
          <w:trHeight w:val="222"/>
        </w:trPr>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lenders</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Statements included herein may constitute "forward-looking statements" within the meaning of the Private Securities Litigation Reform Act of 1995. These statements are not guarantees of future performance or results and involve a number of risks and uncertainties. Actual results may differ materially from those in the forward-looking statements as a result of a number of factors, including those described from time to time in our filings with the Securities and Exchange Commission. PennantPark undertakes no duty to update any forward-looking statements made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current report on Form 8-K to be signed on its behalf by the undersigned hereunto duly authorized.</w:t>
      </w:r>
    </w:p>
    <w:p>
      <w:pPr>
        <w:spacing w:after="0" w:line="361"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7880"/>
        <w:spacing w:after="0"/>
        <w:rPr>
          <w:sz w:val="20"/>
          <w:szCs w:val="20"/>
          <w:color w:val="auto"/>
        </w:rPr>
      </w:pPr>
      <w:r>
        <w:rPr>
          <w:rFonts w:ascii="Arial" w:cs="Arial" w:eastAsia="Arial" w:hAnsi="Arial"/>
          <w:sz w:val="18"/>
          <w:szCs w:val="18"/>
          <w:u w:val="single" w:color="auto"/>
          <w:color w:val="auto"/>
        </w:rPr>
        <w:t>/s/ Aviv Efrat</w:t>
      </w:r>
    </w:p>
    <w:p>
      <w:pPr>
        <w:spacing w:after="0" w:line="1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(Signature)</w:t>
      </w:r>
    </w:p>
    <w:p>
      <w:pPr>
        <w:spacing w:after="0" w:line="219" w:lineRule="exact"/>
        <w:rPr>
          <w:sz w:val="20"/>
          <w:szCs w:val="20"/>
          <w:color w:val="auto"/>
        </w:rPr>
      </w:pPr>
    </w:p>
    <w:p>
      <w:pPr>
        <w:ind w:left="7880"/>
        <w:spacing w:after="0"/>
        <w:tabs>
          <w:tab w:leader="none" w:pos="8300" w:val="left"/>
        </w:tabs>
        <w:rPr>
          <w:sz w:val="20"/>
          <w:szCs w:val="20"/>
          <w:color w:val="auto"/>
        </w:rPr>
      </w:pPr>
      <w:r>
        <w:rPr>
          <w:rFonts w:ascii="Arial" w:cs="Arial" w:eastAsia="Arial" w:hAnsi="Arial"/>
          <w:sz w:val="18"/>
          <w:szCs w:val="18"/>
          <w:color w:val="auto"/>
        </w:rPr>
        <w:t>By:</w:t>
        <w:tab/>
        <w:t>Aviv Efrat</w:t>
      </w:r>
    </w:p>
    <w:p>
      <w:pPr>
        <w:spacing w:after="0" w:line="1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Date: June 25, 2007</w:t>
      </w:r>
    </w:p>
    <w:p>
      <w:pPr>
        <w:sectPr>
          <w:pgSz w:w="11900" w:h="16838" w:orient="portrait"/>
          <w:cols w:equalWidth="0" w:num="1">
            <w:col w:w="11220"/>
          </w:cols>
          <w:pgMar w:left="320" w:top="131" w:right="3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Enters Into $300 Million Five-Year Credit Facility</w:t>
      </w:r>
    </w:p>
    <w:p>
      <w:pPr>
        <w:spacing w:after="0" w:line="239"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New York, NY - June 25, 2007 - PennantPark Investment Corporation ("PennantPark") (NASDAQ: PNNT) announced today that it has entered into a five-year, $300 million secured multi-currency revolving credit facility (the "Facility") with certain lenders. SunTrust Robinson Humphrey acted as joint lead arranger and book-runner, and Bear Stearns acted as joint lead arranger and syndication agent of the Facility. SunTrust Bank acted as the administrative agent for each of the lenders. The Facility will be used to supplement PennantPark's equity capital to make additional portfolio investments.</w:t>
      </w:r>
    </w:p>
    <w:p>
      <w:pPr>
        <w:spacing w:after="0" w:line="205"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"We are pleased to have closed on a credit facility of this size and duration. This long term credit facility nicely complements our permanent equity capital base. We now have the added flexibility and capital to expand our investment portfolio on a cost effective basis. We believe that future borrowings under this credit facility will be accretive to our earnings and improve yields for our shareholders," said Chairman and Chief Executive Officer, Arthur H. Penn.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33"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PennantPark Investment Corporation is a business development company which principally invests in private U.S. middle-market companies in the form of senior secured loans, mezzanine loans and equity. From time to time, the Company may also invest in public companies. PennantPark Investment Corporation is managed by PennantPark Investment Advisers, LLC.</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 All forward-looking statements speak only as of the date of this press release.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231" w:lineRule="auto"/>
        <w:rPr>
          <w:sz w:val="20"/>
          <w:szCs w:val="20"/>
          <w:color w:val="auto"/>
        </w:rPr>
      </w:pPr>
      <w:r>
        <w:rPr>
          <w:rFonts w:ascii="Arial" w:cs="Arial" w:eastAsia="Arial" w:hAnsi="Arial"/>
          <w:sz w:val="22"/>
          <w:szCs w:val="22"/>
          <w:color w:val="auto"/>
        </w:rPr>
        <w:t>(212) 307-3280</w:t>
      </w:r>
    </w:p>
    <w:p>
      <w:pPr>
        <w:spacing w:after="0"/>
        <w:rPr>
          <w:sz w:val="20"/>
          <w:szCs w:val="20"/>
          <w:color w:val="auto"/>
        </w:rPr>
      </w:pPr>
      <w:r>
        <w:rPr>
          <w:rFonts w:ascii="Arial" w:cs="Arial" w:eastAsia="Arial" w:hAnsi="Arial"/>
          <w:sz w:val="22"/>
          <w:szCs w:val="22"/>
          <w:color w:val="auto"/>
        </w:rPr>
        <w:t>Or visit us at: www.pennantpark.com</w:t>
      </w:r>
    </w:p>
    <w:p>
      <w:pPr>
        <w:sectPr>
          <w:pgSz w:w="11900" w:h="16838" w:orient="portrait"/>
          <w:cols w:equalWidth="0" w:num="1">
            <w:col w:w="11240"/>
          </w:cols>
          <w:pgMar w:left="320" w:top="111" w:right="339" w:bottom="1440" w:gutter="0" w:footer="0" w:header="0"/>
        </w:sectPr>
      </w:pPr>
    </w:p>
    <w:bookmarkStart w:id="3" w:name="page4"/>
    <w:bookmarkEnd w:id="3"/>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234315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SENIOR SECURED</w:t>
      </w:r>
    </w:p>
    <w:p>
      <w:pPr>
        <w:jc w:val="center"/>
        <w:ind w:right="1120"/>
        <w:spacing w:after="0" w:line="238" w:lineRule="auto"/>
        <w:rPr>
          <w:sz w:val="20"/>
          <w:szCs w:val="20"/>
          <w:color w:val="auto"/>
        </w:rPr>
      </w:pPr>
      <w:r>
        <w:rPr>
          <w:rFonts w:ascii="Arial" w:cs="Arial" w:eastAsia="Arial" w:hAnsi="Arial"/>
          <w:sz w:val="22"/>
          <w:szCs w:val="22"/>
          <w:color w:val="auto"/>
        </w:rPr>
        <w:t>REVOLVING CREDIT AGREEMENT</w:t>
      </w:r>
    </w:p>
    <w:p>
      <w:pPr>
        <w:jc w:val="center"/>
        <w:ind w:right="1120"/>
        <w:spacing w:after="0"/>
        <w:rPr>
          <w:sz w:val="20"/>
          <w:szCs w:val="20"/>
          <w:color w:val="auto"/>
        </w:rPr>
      </w:pPr>
      <w:r>
        <w:rPr>
          <w:rFonts w:ascii="Arial" w:cs="Arial" w:eastAsia="Arial" w:hAnsi="Arial"/>
          <w:sz w:val="22"/>
          <w:szCs w:val="22"/>
          <w:color w:val="auto"/>
        </w:rPr>
        <w:t>dated as of</w:t>
      </w:r>
    </w:p>
    <w:p>
      <w:pPr>
        <w:spacing w:after="0" w:line="21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June 25, 2007</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among</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PENNANTPARK INVESTMENT CORPORATION</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Borrower</w:t>
      </w:r>
    </w:p>
    <w:p>
      <w:pPr>
        <w:spacing w:after="0" w:line="21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The LENDERS Party Hereto</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SUNTRUST BANK</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Administrative Agent</w:t>
      </w:r>
    </w:p>
    <w:p>
      <w:pPr>
        <w:spacing w:after="0" w:line="21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BEAR STEARNS CORPORATE LENDING INC.,</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Syndication Agent</w:t>
      </w:r>
    </w:p>
    <w:p>
      <w:pPr>
        <w:spacing w:after="0" w:line="21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$300,000,000</w:t>
      </w:r>
    </w:p>
    <w:p>
      <w:pPr>
        <w:spacing w:after="0" w:line="8"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___________________________</w:t>
      </w:r>
    </w:p>
    <w:p>
      <w:pPr>
        <w:spacing w:after="0" w:line="200" w:lineRule="exact"/>
        <w:rPr>
          <w:sz w:val="20"/>
          <w:szCs w:val="20"/>
          <w:color w:val="auto"/>
        </w:rPr>
      </w:pPr>
    </w:p>
    <w:p>
      <w:pPr>
        <w:spacing w:after="0" w:line="25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SUNTRUST CAPITAL MARKETS, INC.</w:t>
      </w:r>
    </w:p>
    <w:p>
      <w:pPr>
        <w:jc w:val="center"/>
        <w:ind w:right="1120"/>
        <w:spacing w:after="0" w:line="238" w:lineRule="auto"/>
        <w:rPr>
          <w:sz w:val="20"/>
          <w:szCs w:val="20"/>
          <w:color w:val="auto"/>
        </w:rPr>
      </w:pPr>
      <w:r>
        <w:rPr>
          <w:rFonts w:ascii="Arial" w:cs="Arial" w:eastAsia="Arial" w:hAnsi="Arial"/>
          <w:sz w:val="22"/>
          <w:szCs w:val="22"/>
          <w:color w:val="auto"/>
        </w:rPr>
        <w:t>BEAR STEARNS CORPORATE LENDING, INC.,</w:t>
      </w:r>
    </w:p>
    <w:p>
      <w:pPr>
        <w:jc w:val="center"/>
        <w:ind w:right="1120"/>
        <w:spacing w:after="0"/>
        <w:rPr>
          <w:sz w:val="20"/>
          <w:szCs w:val="20"/>
          <w:color w:val="auto"/>
        </w:rPr>
      </w:pPr>
      <w:r>
        <w:rPr>
          <w:rFonts w:ascii="Arial" w:cs="Arial" w:eastAsia="Arial" w:hAnsi="Arial"/>
          <w:sz w:val="22"/>
          <w:szCs w:val="22"/>
          <w:color w:val="auto"/>
        </w:rPr>
        <w:t>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64135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TABLE OF CONTENTS</w:t>
      </w:r>
    </w:p>
    <w:p>
      <w:pPr>
        <w:spacing w:after="0" w:line="8" w:lineRule="exact"/>
        <w:rPr>
          <w:sz w:val="20"/>
          <w:szCs w:val="20"/>
          <w:color w:val="auto"/>
        </w:rPr>
      </w:pPr>
    </w:p>
    <w:tbl>
      <w:tblPr>
        <w:tblLayout w:type="fixed"/>
        <w:tblInd w:w="200" w:type="dxa"/>
        <w:tblCellMar>
          <w:top w:w="0" w:type="dxa"/>
          <w:left w:w="0" w:type="dxa"/>
          <w:bottom w:w="0" w:type="dxa"/>
          <w:right w:w="0" w:type="dxa"/>
        </w:tblCellMar>
      </w:tblPr>
      <w:tr>
        <w:trPr>
          <w:trHeight w:val="274"/>
        </w:trPr>
        <w:tc>
          <w:tcPr>
            <w:tcW w:w="7300" w:type="dxa"/>
            <w:vAlign w:val="bottom"/>
            <w:vMerge w:val="restart"/>
          </w:tcPr>
          <w:p>
            <w:pPr>
              <w:jc w:val="center"/>
              <w:ind w:left="1212"/>
              <w:spacing w:after="0"/>
              <w:rPr>
                <w:sz w:val="20"/>
                <w:szCs w:val="20"/>
                <w:color w:val="auto"/>
              </w:rPr>
            </w:pPr>
            <w:r>
              <w:rPr>
                <w:rFonts w:ascii="Arial" w:cs="Arial" w:eastAsia="Arial" w:hAnsi="Arial"/>
                <w:sz w:val="22"/>
                <w:szCs w:val="22"/>
                <w:color w:val="auto"/>
                <w:w w:val="96"/>
              </w:rPr>
              <w:t>ARTICLE I</w:t>
            </w:r>
          </w:p>
        </w:tc>
        <w:tc>
          <w:tcPr>
            <w:tcW w:w="1320" w:type="dxa"/>
            <w:vAlign w:val="bottom"/>
          </w:tcPr>
          <w:p>
            <w:pPr>
              <w:jc w:val="right"/>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225"/>
        </w:trPr>
        <w:tc>
          <w:tcPr>
            <w:tcW w:w="730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7300" w:type="dxa"/>
            <w:vAlign w:val="bottom"/>
          </w:tcPr>
          <w:p>
            <w:pPr>
              <w:jc w:val="center"/>
              <w:ind w:left="1212"/>
              <w:spacing w:after="0"/>
              <w:rPr>
                <w:sz w:val="20"/>
                <w:szCs w:val="20"/>
                <w:color w:val="auto"/>
              </w:rPr>
            </w:pPr>
            <w:r>
              <w:rPr>
                <w:rFonts w:ascii="Arial" w:cs="Arial" w:eastAsia="Arial" w:hAnsi="Arial"/>
                <w:sz w:val="22"/>
                <w:szCs w:val="22"/>
                <w:color w:val="auto"/>
                <w:w w:val="96"/>
              </w:rPr>
              <w:t>DEFINITIONS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SECTION 1.01. Defined Terms</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SECTION 1.02. Classification of Loans and Borrowings</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SECTION 1.03. Terms Generally</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SECTION 1.04. Subsidiaries</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SECTION 1.05. Accounting Terms; GAAP</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74"/>
        </w:trPr>
        <w:tc>
          <w:tcPr>
            <w:tcW w:w="7300" w:type="dxa"/>
            <w:vAlign w:val="bottom"/>
          </w:tcPr>
          <w:p>
            <w:pPr>
              <w:spacing w:after="0"/>
              <w:rPr>
                <w:sz w:val="20"/>
                <w:szCs w:val="20"/>
                <w:color w:val="auto"/>
              </w:rPr>
            </w:pPr>
            <w:r>
              <w:rPr>
                <w:rFonts w:ascii="Arial" w:cs="Arial" w:eastAsia="Arial" w:hAnsi="Arial"/>
                <w:sz w:val="22"/>
                <w:szCs w:val="22"/>
                <w:color w:val="auto"/>
              </w:rPr>
              <w:t>SECTION 1.06. Currencies; Currency Equivalents.</w:t>
            </w:r>
          </w:p>
        </w:tc>
        <w:tc>
          <w:tcPr>
            <w:tcW w:w="1320" w:type="dxa"/>
            <w:vAlign w:val="bottom"/>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486"/>
        </w:trPr>
        <w:tc>
          <w:tcPr>
            <w:tcW w:w="7300" w:type="dxa"/>
            <w:vAlign w:val="bottom"/>
          </w:tcPr>
          <w:p>
            <w:pPr>
              <w:jc w:val="center"/>
              <w:ind w:left="1212"/>
              <w:spacing w:after="0"/>
              <w:rPr>
                <w:sz w:val="20"/>
                <w:szCs w:val="20"/>
                <w:color w:val="auto"/>
              </w:rPr>
            </w:pPr>
            <w:r>
              <w:rPr>
                <w:rFonts w:ascii="Arial" w:cs="Arial" w:eastAsia="Arial" w:hAnsi="Arial"/>
                <w:sz w:val="22"/>
                <w:szCs w:val="22"/>
                <w:color w:val="auto"/>
                <w:w w:val="98"/>
              </w:rPr>
              <w:t>ARTICLE II</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7300" w:type="dxa"/>
            <w:vAlign w:val="bottom"/>
          </w:tcPr>
          <w:p>
            <w:pPr>
              <w:jc w:val="center"/>
              <w:ind w:left="1212"/>
              <w:spacing w:after="0"/>
              <w:rPr>
                <w:sz w:val="20"/>
                <w:szCs w:val="20"/>
                <w:color w:val="auto"/>
              </w:rPr>
            </w:pPr>
            <w:r>
              <w:rPr>
                <w:rFonts w:ascii="Arial" w:cs="Arial" w:eastAsia="Arial" w:hAnsi="Arial"/>
                <w:sz w:val="22"/>
                <w:szCs w:val="22"/>
                <w:color w:val="auto"/>
                <w:w w:val="94"/>
              </w:rPr>
              <w:t>THE CREDITS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SECTION 2.01. The Commitments</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SECTION 2.02. Loans and Borrowings.</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SECTION 2.03. Requests for Syndicated Borrowings.</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SECTION 2.04. Swingline Loans.</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SECTION 2.05. Letters of Credit.</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SECTION 2.06. Funding of Borrowings.</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SECTION 2.07. Interest Elections.</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SECTION 2.08. Termination, Reduction or Increase of the Commitments.</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SECTION 2.09. Repayment of Loans; Evidence of Debt.</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SECTION 2.10. Prepayment of Loans.</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SECTION 2.11. Fees.</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SECTION 2.12. Interest.</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SECTION 2.13. Alternate Rate of Interest</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43"/>
        </w:trPr>
        <w:tc>
          <w:tcPr>
            <w:tcW w:w="7300" w:type="dxa"/>
            <w:vAlign w:val="bottom"/>
          </w:tcPr>
          <w:p>
            <w:pPr>
              <w:spacing w:after="0" w:line="243" w:lineRule="exact"/>
              <w:rPr>
                <w:sz w:val="20"/>
                <w:szCs w:val="20"/>
                <w:color w:val="auto"/>
              </w:rPr>
            </w:pPr>
            <w:r>
              <w:rPr>
                <w:rFonts w:ascii="Arial" w:cs="Arial" w:eastAsia="Arial" w:hAnsi="Arial"/>
                <w:sz w:val="22"/>
                <w:szCs w:val="22"/>
                <w:color w:val="auto"/>
              </w:rPr>
              <w:t>SECTION 2.14. Increased Costs.</w:t>
            </w:r>
          </w:p>
        </w:tc>
        <w:tc>
          <w:tcPr>
            <w:tcW w:w="132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74"/>
        </w:trPr>
        <w:tc>
          <w:tcPr>
            <w:tcW w:w="7300" w:type="dxa"/>
            <w:vAlign w:val="bottom"/>
          </w:tcPr>
          <w:p>
            <w:pPr>
              <w:spacing w:after="0"/>
              <w:rPr>
                <w:sz w:val="20"/>
                <w:szCs w:val="20"/>
                <w:color w:val="auto"/>
              </w:rPr>
            </w:pPr>
            <w:r>
              <w:rPr>
                <w:rFonts w:ascii="Arial" w:cs="Arial" w:eastAsia="Arial" w:hAnsi="Arial"/>
                <w:sz w:val="22"/>
                <w:szCs w:val="22"/>
                <w:color w:val="auto"/>
              </w:rPr>
              <w:t>SECTION 2.15. Break Funding Payments</w:t>
            </w:r>
          </w:p>
        </w:tc>
        <w:tc>
          <w:tcPr>
            <w:tcW w:w="1320" w:type="dxa"/>
            <w:vAlign w:val="bottom"/>
          </w:tcPr>
          <w:p>
            <w:pPr>
              <w:jc w:val="right"/>
              <w:spacing w:after="0"/>
              <w:rPr>
                <w:sz w:val="20"/>
                <w:szCs w:val="20"/>
                <w:color w:val="auto"/>
              </w:rPr>
            </w:pPr>
            <w:r>
              <w:rPr>
                <w:rFonts w:ascii="Arial" w:cs="Arial" w:eastAsia="Arial" w:hAnsi="Arial"/>
                <w:sz w:val="22"/>
                <w:szCs w:val="22"/>
                <w:color w:val="auto"/>
              </w:rPr>
              <w:t>42</w:t>
            </w:r>
          </w:p>
        </w:tc>
        <w:tc>
          <w:tcPr>
            <w:tcW w:w="0" w:type="dxa"/>
            <w:vAlign w:val="bottom"/>
          </w:tcPr>
          <w:p>
            <w:pPr>
              <w:spacing w:after="0"/>
              <w:rPr>
                <w:sz w:val="1"/>
                <w:szCs w:val="1"/>
                <w:color w:val="auto"/>
              </w:rPr>
            </w:pPr>
          </w:p>
        </w:tc>
      </w:tr>
    </w:tbl>
    <w:p>
      <w:pPr>
        <w:sectPr>
          <w:pgSz w:w="11900" w:h="16847" w:orient="portrait"/>
          <w:cols w:equalWidth="0" w:num="1">
            <w:col w:w="10120"/>
          </w:cols>
          <w:pgMar w:left="1440" w:top="112" w:right="339" w:bottom="0" w:gutter="0" w:footer="0" w:header="0"/>
        </w:sectPr>
      </w:pPr>
    </w:p>
    <w:bookmarkStart w:id="4" w:name="page5"/>
    <w:bookmarkEnd w:id="4"/>
    <w:p>
      <w:pPr>
        <w:spacing w:after="0" w:line="14"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7760" w:type="dxa"/>
            <w:vAlign w:val="bottom"/>
          </w:tcPr>
          <w:p>
            <w:pPr>
              <w:spacing w:after="0"/>
              <w:rPr>
                <w:sz w:val="20"/>
                <w:szCs w:val="20"/>
                <w:color w:val="auto"/>
              </w:rPr>
            </w:pPr>
            <w:r>
              <w:rPr>
                <w:rFonts w:ascii="Arial" w:cs="Arial" w:eastAsia="Arial" w:hAnsi="Arial"/>
                <w:sz w:val="22"/>
                <w:szCs w:val="22"/>
                <w:color w:val="auto"/>
              </w:rPr>
              <w:t>SECTION 2.16. Taxes.</w:t>
            </w:r>
          </w:p>
        </w:tc>
        <w:tc>
          <w:tcPr>
            <w:tcW w:w="86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2.17. Payments Generally; Pro Rata Treatment: Sharing of Set-offs.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74"/>
        </w:trPr>
        <w:tc>
          <w:tcPr>
            <w:tcW w:w="7760" w:type="dxa"/>
            <w:vAlign w:val="bottom"/>
          </w:tcPr>
          <w:p>
            <w:pPr>
              <w:spacing w:after="0"/>
              <w:rPr>
                <w:sz w:val="20"/>
                <w:szCs w:val="20"/>
                <w:color w:val="auto"/>
              </w:rPr>
            </w:pPr>
            <w:r>
              <w:rPr>
                <w:rFonts w:ascii="Arial" w:cs="Arial" w:eastAsia="Arial" w:hAnsi="Arial"/>
                <w:sz w:val="22"/>
                <w:szCs w:val="22"/>
                <w:color w:val="auto"/>
              </w:rPr>
              <w:t>SECTION 2.18. Mitigation Obligations; Replacement of Lenders.</w:t>
            </w:r>
          </w:p>
        </w:tc>
        <w:tc>
          <w:tcPr>
            <w:tcW w:w="86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486"/>
        </w:trPr>
        <w:tc>
          <w:tcPr>
            <w:tcW w:w="7760" w:type="dxa"/>
            <w:vAlign w:val="bottom"/>
          </w:tcPr>
          <w:p>
            <w:pPr>
              <w:jc w:val="center"/>
              <w:ind w:left="732"/>
              <w:spacing w:after="0"/>
              <w:rPr>
                <w:sz w:val="20"/>
                <w:szCs w:val="20"/>
                <w:color w:val="auto"/>
              </w:rPr>
            </w:pPr>
            <w:r>
              <w:rPr>
                <w:rFonts w:ascii="Arial" w:cs="Arial" w:eastAsia="Arial" w:hAnsi="Arial"/>
                <w:sz w:val="22"/>
                <w:szCs w:val="22"/>
                <w:color w:val="auto"/>
                <w:w w:val="98"/>
              </w:rPr>
              <w:t>ARTICLE III</w:t>
            </w:r>
          </w:p>
        </w:tc>
        <w:tc>
          <w:tcPr>
            <w:tcW w:w="860" w:type="dxa"/>
            <w:vAlign w:val="bottom"/>
          </w:tcPr>
          <w:p>
            <w:pPr>
              <w:spacing w:after="0"/>
              <w:rPr>
                <w:sz w:val="24"/>
                <w:szCs w:val="24"/>
                <w:color w:val="auto"/>
              </w:rPr>
            </w:pPr>
          </w:p>
        </w:tc>
      </w:tr>
      <w:tr>
        <w:trPr>
          <w:trHeight w:val="455"/>
        </w:trPr>
        <w:tc>
          <w:tcPr>
            <w:tcW w:w="7760" w:type="dxa"/>
            <w:vAlign w:val="bottom"/>
          </w:tcPr>
          <w:p>
            <w:pPr>
              <w:jc w:val="center"/>
              <w:ind w:left="732"/>
              <w:spacing w:after="0"/>
              <w:rPr>
                <w:sz w:val="20"/>
                <w:szCs w:val="20"/>
                <w:color w:val="auto"/>
              </w:rPr>
            </w:pPr>
            <w:r>
              <w:rPr>
                <w:rFonts w:ascii="Arial" w:cs="Arial" w:eastAsia="Arial" w:hAnsi="Arial"/>
                <w:sz w:val="22"/>
                <w:szCs w:val="22"/>
                <w:color w:val="auto"/>
                <w:w w:val="92"/>
              </w:rPr>
              <w:t>REPRESENTATIONS AND WARRANTIES</w:t>
            </w:r>
          </w:p>
        </w:tc>
        <w:tc>
          <w:tcPr>
            <w:tcW w:w="860" w:type="dxa"/>
            <w:vAlign w:val="bottom"/>
          </w:tcPr>
          <w:p>
            <w:pPr>
              <w:spacing w:after="0"/>
              <w:rPr>
                <w:sz w:val="24"/>
                <w:szCs w:val="24"/>
                <w:color w:val="auto"/>
              </w:rPr>
            </w:pP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3.01. Organization; Powers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3.02. Authorization; Enforceability</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3.03. Governmental Approvals; No Conflicts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3.04. Financial Condition; No Material Adverse Change.</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3.05. Litigation.</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3.06. Compliance with Laws and Agreements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3.07. Taxes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3.08. ERISA</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3.09. Disclosure</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3.10. Investment Company Act; Margin Regulations.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3.11. Material Agreements and Liens.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3.12. Subsidiaries and Investments.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3.13. Properties.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74"/>
        </w:trPr>
        <w:tc>
          <w:tcPr>
            <w:tcW w:w="7760" w:type="dxa"/>
            <w:vAlign w:val="bottom"/>
          </w:tcPr>
          <w:p>
            <w:pPr>
              <w:spacing w:after="0"/>
              <w:rPr>
                <w:sz w:val="20"/>
                <w:szCs w:val="20"/>
                <w:color w:val="auto"/>
              </w:rPr>
            </w:pPr>
            <w:r>
              <w:rPr>
                <w:rFonts w:ascii="Arial" w:cs="Arial" w:eastAsia="Arial" w:hAnsi="Arial"/>
                <w:sz w:val="22"/>
                <w:szCs w:val="22"/>
                <w:color w:val="auto"/>
              </w:rPr>
              <w:t>SECTION 3.14. Affiliate Agreements</w:t>
            </w:r>
          </w:p>
        </w:tc>
        <w:tc>
          <w:tcPr>
            <w:tcW w:w="86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486"/>
        </w:trPr>
        <w:tc>
          <w:tcPr>
            <w:tcW w:w="7760" w:type="dxa"/>
            <w:vAlign w:val="bottom"/>
          </w:tcPr>
          <w:p>
            <w:pPr>
              <w:jc w:val="center"/>
              <w:ind w:left="752"/>
              <w:spacing w:after="0"/>
              <w:rPr>
                <w:sz w:val="20"/>
                <w:szCs w:val="20"/>
                <w:color w:val="auto"/>
              </w:rPr>
            </w:pPr>
            <w:r>
              <w:rPr>
                <w:rFonts w:ascii="Arial" w:cs="Arial" w:eastAsia="Arial" w:hAnsi="Arial"/>
                <w:sz w:val="22"/>
                <w:szCs w:val="22"/>
                <w:color w:val="auto"/>
                <w:w w:val="98"/>
              </w:rPr>
              <w:t>ARTICLE IV</w:t>
            </w:r>
          </w:p>
        </w:tc>
        <w:tc>
          <w:tcPr>
            <w:tcW w:w="860" w:type="dxa"/>
            <w:vAlign w:val="bottom"/>
          </w:tcPr>
          <w:p>
            <w:pPr>
              <w:spacing w:after="0"/>
              <w:rPr>
                <w:sz w:val="24"/>
                <w:szCs w:val="24"/>
                <w:color w:val="auto"/>
              </w:rPr>
            </w:pPr>
          </w:p>
        </w:tc>
      </w:tr>
      <w:tr>
        <w:trPr>
          <w:trHeight w:val="455"/>
        </w:trPr>
        <w:tc>
          <w:tcPr>
            <w:tcW w:w="7760" w:type="dxa"/>
            <w:vAlign w:val="bottom"/>
          </w:tcPr>
          <w:p>
            <w:pPr>
              <w:jc w:val="center"/>
              <w:ind w:left="732"/>
              <w:spacing w:after="0"/>
              <w:rPr>
                <w:sz w:val="20"/>
                <w:szCs w:val="20"/>
                <w:color w:val="auto"/>
              </w:rPr>
            </w:pPr>
            <w:r>
              <w:rPr>
                <w:rFonts w:ascii="Arial" w:cs="Arial" w:eastAsia="Arial" w:hAnsi="Arial"/>
                <w:sz w:val="22"/>
                <w:szCs w:val="22"/>
                <w:color w:val="auto"/>
                <w:w w:val="95"/>
              </w:rPr>
              <w:t>CONDITIONS</w:t>
            </w:r>
          </w:p>
        </w:tc>
        <w:tc>
          <w:tcPr>
            <w:tcW w:w="860" w:type="dxa"/>
            <w:vAlign w:val="bottom"/>
          </w:tcPr>
          <w:p>
            <w:pPr>
              <w:spacing w:after="0"/>
              <w:rPr>
                <w:sz w:val="24"/>
                <w:szCs w:val="24"/>
                <w:color w:val="auto"/>
              </w:rPr>
            </w:pP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4.01. Effective Date</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74"/>
        </w:trPr>
        <w:tc>
          <w:tcPr>
            <w:tcW w:w="7760" w:type="dxa"/>
            <w:vAlign w:val="bottom"/>
          </w:tcPr>
          <w:p>
            <w:pPr>
              <w:spacing w:after="0"/>
              <w:rPr>
                <w:sz w:val="20"/>
                <w:szCs w:val="20"/>
                <w:color w:val="auto"/>
              </w:rPr>
            </w:pPr>
            <w:r>
              <w:rPr>
                <w:rFonts w:ascii="Arial" w:cs="Arial" w:eastAsia="Arial" w:hAnsi="Arial"/>
                <w:sz w:val="22"/>
                <w:szCs w:val="22"/>
                <w:color w:val="auto"/>
              </w:rPr>
              <w:t>SECTION 4.02. Each Credit Event</w:t>
            </w:r>
          </w:p>
        </w:tc>
        <w:tc>
          <w:tcPr>
            <w:tcW w:w="86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486"/>
        </w:trPr>
        <w:tc>
          <w:tcPr>
            <w:tcW w:w="7760" w:type="dxa"/>
            <w:vAlign w:val="bottom"/>
          </w:tcPr>
          <w:p>
            <w:pPr>
              <w:jc w:val="center"/>
              <w:ind w:left="732"/>
              <w:spacing w:after="0"/>
              <w:rPr>
                <w:sz w:val="20"/>
                <w:szCs w:val="20"/>
                <w:color w:val="auto"/>
              </w:rPr>
            </w:pPr>
            <w:r>
              <w:rPr>
                <w:rFonts w:ascii="Arial" w:cs="Arial" w:eastAsia="Arial" w:hAnsi="Arial"/>
                <w:sz w:val="22"/>
                <w:szCs w:val="22"/>
                <w:color w:val="auto"/>
                <w:w w:val="98"/>
              </w:rPr>
              <w:t>ARTICLE V</w:t>
            </w:r>
          </w:p>
        </w:tc>
        <w:tc>
          <w:tcPr>
            <w:tcW w:w="860" w:type="dxa"/>
            <w:vAlign w:val="bottom"/>
          </w:tcPr>
          <w:p>
            <w:pPr>
              <w:spacing w:after="0"/>
              <w:rPr>
                <w:sz w:val="24"/>
                <w:szCs w:val="24"/>
                <w:color w:val="auto"/>
              </w:rPr>
            </w:pPr>
          </w:p>
        </w:tc>
      </w:tr>
      <w:tr>
        <w:trPr>
          <w:trHeight w:val="455"/>
        </w:trPr>
        <w:tc>
          <w:tcPr>
            <w:tcW w:w="7760" w:type="dxa"/>
            <w:vAlign w:val="bottom"/>
          </w:tcPr>
          <w:p>
            <w:pPr>
              <w:jc w:val="center"/>
              <w:ind w:left="732"/>
              <w:spacing w:after="0"/>
              <w:rPr>
                <w:sz w:val="20"/>
                <w:szCs w:val="20"/>
                <w:color w:val="auto"/>
              </w:rPr>
            </w:pPr>
            <w:r>
              <w:rPr>
                <w:rFonts w:ascii="Arial" w:cs="Arial" w:eastAsia="Arial" w:hAnsi="Arial"/>
                <w:sz w:val="22"/>
                <w:szCs w:val="22"/>
                <w:color w:val="auto"/>
                <w:w w:val="97"/>
              </w:rPr>
              <w:t>AFFIRMATIVE COVENANTS</w:t>
            </w:r>
          </w:p>
        </w:tc>
        <w:tc>
          <w:tcPr>
            <w:tcW w:w="860" w:type="dxa"/>
            <w:vAlign w:val="bottom"/>
          </w:tcPr>
          <w:p>
            <w:pPr>
              <w:spacing w:after="0"/>
              <w:rPr>
                <w:sz w:val="24"/>
                <w:szCs w:val="24"/>
                <w:color w:val="auto"/>
              </w:rPr>
            </w:pP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5.01. Financial Statements and Other Information</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5.02. Notices of Material Events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5.03. Existence: Conduct of Business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5.04. Payment of Obligations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5.05. Maintenance of Properties; Insurance</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5.06. Books and Records; Inspection and Audit Rights.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5.07. Compliance with Laws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w w:val="96"/>
              </w:rPr>
              <w:t>SECTION 5.08. Certain Obligations Respecting Subsidiaries; Further Assurances.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5.09. Use of Proceeds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5.10. Status of RIC and BDC</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5.11. Investment Policies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5.12. Portfolio Valuation and Diversification Etc.</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74"/>
        </w:trPr>
        <w:tc>
          <w:tcPr>
            <w:tcW w:w="7760" w:type="dxa"/>
            <w:vAlign w:val="bottom"/>
          </w:tcPr>
          <w:p>
            <w:pPr>
              <w:spacing w:after="0"/>
              <w:rPr>
                <w:sz w:val="20"/>
                <w:szCs w:val="20"/>
                <w:color w:val="auto"/>
              </w:rPr>
            </w:pPr>
            <w:r>
              <w:rPr>
                <w:rFonts w:ascii="Arial" w:cs="Arial" w:eastAsia="Arial" w:hAnsi="Arial"/>
                <w:sz w:val="22"/>
                <w:szCs w:val="22"/>
                <w:color w:val="auto"/>
              </w:rPr>
              <w:t>SECTION 5.13. Calculation of Borrowing Base</w:t>
            </w:r>
          </w:p>
        </w:tc>
        <w:tc>
          <w:tcPr>
            <w:tcW w:w="86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486"/>
        </w:trPr>
        <w:tc>
          <w:tcPr>
            <w:tcW w:w="7760" w:type="dxa"/>
            <w:vAlign w:val="bottom"/>
          </w:tcPr>
          <w:p>
            <w:pPr>
              <w:jc w:val="center"/>
              <w:ind w:left="752"/>
              <w:spacing w:after="0"/>
              <w:rPr>
                <w:sz w:val="20"/>
                <w:szCs w:val="20"/>
                <w:color w:val="auto"/>
              </w:rPr>
            </w:pPr>
            <w:r>
              <w:rPr>
                <w:rFonts w:ascii="Arial" w:cs="Arial" w:eastAsia="Arial" w:hAnsi="Arial"/>
                <w:sz w:val="22"/>
                <w:szCs w:val="22"/>
                <w:color w:val="auto"/>
                <w:w w:val="98"/>
              </w:rPr>
              <w:t>ARTICLE VI</w:t>
            </w:r>
          </w:p>
        </w:tc>
        <w:tc>
          <w:tcPr>
            <w:tcW w:w="860" w:type="dxa"/>
            <w:vAlign w:val="bottom"/>
          </w:tcPr>
          <w:p>
            <w:pPr>
              <w:spacing w:after="0"/>
              <w:rPr>
                <w:sz w:val="24"/>
                <w:szCs w:val="24"/>
                <w:color w:val="auto"/>
              </w:rPr>
            </w:pPr>
          </w:p>
        </w:tc>
      </w:tr>
      <w:tr>
        <w:trPr>
          <w:trHeight w:val="455"/>
        </w:trPr>
        <w:tc>
          <w:tcPr>
            <w:tcW w:w="7760" w:type="dxa"/>
            <w:vAlign w:val="bottom"/>
          </w:tcPr>
          <w:p>
            <w:pPr>
              <w:jc w:val="center"/>
              <w:ind w:left="732"/>
              <w:spacing w:after="0"/>
              <w:rPr>
                <w:sz w:val="20"/>
                <w:szCs w:val="20"/>
                <w:color w:val="auto"/>
              </w:rPr>
            </w:pPr>
            <w:r>
              <w:rPr>
                <w:rFonts w:ascii="Arial" w:cs="Arial" w:eastAsia="Arial" w:hAnsi="Arial"/>
                <w:sz w:val="22"/>
                <w:szCs w:val="22"/>
                <w:color w:val="auto"/>
                <w:w w:val="95"/>
              </w:rPr>
              <w:t>NEGATIVE COVENANTS</w:t>
            </w:r>
          </w:p>
        </w:tc>
        <w:tc>
          <w:tcPr>
            <w:tcW w:w="860" w:type="dxa"/>
            <w:vAlign w:val="bottom"/>
          </w:tcPr>
          <w:p>
            <w:pPr>
              <w:spacing w:after="0"/>
              <w:rPr>
                <w:sz w:val="24"/>
                <w:szCs w:val="24"/>
                <w:color w:val="auto"/>
              </w:rPr>
            </w:pP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6.01. Indebtedness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6.02. Liens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6.03. Fundamental Changes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6.04. Investments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6.05. Restricted Payments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6.06. Certain Restrictions on Subsidiaries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6.07. Certain Financial Covenants.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6.08. Transactions with Affiliates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6.09. Lines of Business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6.10. No Further Negative Pledge</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rPr>
              <w:t>SECTION 6.11. Modifications of Longer-Term Documents</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74"/>
        </w:trPr>
        <w:tc>
          <w:tcPr>
            <w:tcW w:w="7760" w:type="dxa"/>
            <w:vAlign w:val="bottom"/>
          </w:tcPr>
          <w:p>
            <w:pPr>
              <w:spacing w:after="0"/>
              <w:rPr>
                <w:sz w:val="20"/>
                <w:szCs w:val="20"/>
                <w:color w:val="auto"/>
              </w:rPr>
            </w:pPr>
            <w:r>
              <w:rPr>
                <w:rFonts w:ascii="Arial" w:cs="Arial" w:eastAsia="Arial" w:hAnsi="Arial"/>
                <w:sz w:val="22"/>
                <w:szCs w:val="22"/>
                <w:color w:val="auto"/>
              </w:rPr>
              <w:t>SECTION 6.12. Payments of Longer-Term Indebtedness</w:t>
            </w:r>
          </w:p>
        </w:tc>
        <w:tc>
          <w:tcPr>
            <w:tcW w:w="860" w:type="dxa"/>
            <w:vAlign w:val="bottom"/>
          </w:tcPr>
          <w:p>
            <w:pPr>
              <w:jc w:val="right"/>
              <w:spacing w:after="0"/>
              <w:rPr>
                <w:sz w:val="20"/>
                <w:szCs w:val="20"/>
                <w:color w:val="auto"/>
              </w:rPr>
            </w:pPr>
            <w:r>
              <w:rPr>
                <w:rFonts w:ascii="Arial" w:cs="Arial" w:eastAsia="Arial" w:hAnsi="Arial"/>
                <w:sz w:val="22"/>
                <w:szCs w:val="22"/>
                <w:color w:val="auto"/>
              </w:rPr>
              <w:t>71</w:t>
            </w:r>
          </w:p>
        </w:tc>
      </w:tr>
    </w:tbl>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EVENTS OF DEFAULT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ADMINISTRATIVE AGENT</w:t>
      </w:r>
    </w:p>
    <w:p>
      <w:pPr>
        <w:sectPr>
          <w:pgSz w:w="11900" w:h="16853" w:orient="portrait"/>
          <w:cols w:equalWidth="0" w:num="1">
            <w:col w:w="9019"/>
          </w:cols>
          <w:pgMar w:left="1440" w:top="108" w:right="1440"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8960" w:type="dxa"/>
            <w:vAlign w:val="bottom"/>
            <w:gridSpan w:val="2"/>
          </w:tcPr>
          <w:p>
            <w:pPr>
              <w:ind w:left="1320"/>
              <w:spacing w:after="0"/>
              <w:rPr>
                <w:sz w:val="20"/>
                <w:szCs w:val="20"/>
                <w:color w:val="auto"/>
              </w:rPr>
            </w:pPr>
            <w:r>
              <w:rPr>
                <w:rFonts w:ascii="Arial" w:cs="Arial" w:eastAsia="Arial" w:hAnsi="Arial"/>
                <w:sz w:val="22"/>
                <w:szCs w:val="22"/>
                <w:color w:val="auto"/>
              </w:rPr>
              <w:t>SECTION 8.01. Appointment of the Administrative Agent</w:t>
            </w:r>
          </w:p>
        </w:tc>
        <w:tc>
          <w:tcPr>
            <w:tcW w:w="2280" w:type="dxa"/>
            <w:vAlign w:val="bottom"/>
          </w:tcPr>
          <w:p>
            <w:pPr>
              <w:jc w:val="right"/>
              <w:ind w:right="1192"/>
              <w:spacing w:after="0"/>
              <w:rPr>
                <w:sz w:val="20"/>
                <w:szCs w:val="20"/>
                <w:color w:val="auto"/>
              </w:rPr>
            </w:pPr>
            <w:r>
              <w:rPr>
                <w:rFonts w:ascii="Arial" w:cs="Arial" w:eastAsia="Arial" w:hAnsi="Arial"/>
                <w:sz w:val="22"/>
                <w:szCs w:val="22"/>
                <w:color w:val="auto"/>
              </w:rPr>
              <w:t>74</w:t>
            </w:r>
          </w:p>
        </w:tc>
      </w:tr>
      <w:tr>
        <w:trPr>
          <w:trHeight w:val="243"/>
        </w:trPr>
        <w:tc>
          <w:tcPr>
            <w:tcW w:w="8960" w:type="dxa"/>
            <w:vAlign w:val="bottom"/>
            <w:gridSpan w:val="2"/>
          </w:tcPr>
          <w:p>
            <w:pPr>
              <w:ind w:left="1320"/>
              <w:spacing w:after="0" w:line="243" w:lineRule="exact"/>
              <w:rPr>
                <w:sz w:val="20"/>
                <w:szCs w:val="20"/>
                <w:color w:val="auto"/>
              </w:rPr>
            </w:pPr>
            <w:r>
              <w:rPr>
                <w:rFonts w:ascii="Arial" w:cs="Arial" w:eastAsia="Arial" w:hAnsi="Arial"/>
                <w:sz w:val="22"/>
                <w:szCs w:val="22"/>
                <w:color w:val="auto"/>
              </w:rPr>
              <w:t>SECTION 8.02. Capacity as Lender</w:t>
            </w:r>
          </w:p>
        </w:tc>
        <w:tc>
          <w:tcPr>
            <w:tcW w:w="2280" w:type="dxa"/>
            <w:vAlign w:val="bottom"/>
          </w:tcPr>
          <w:p>
            <w:pPr>
              <w:jc w:val="right"/>
              <w:ind w:right="1192"/>
              <w:spacing w:after="0" w:line="243" w:lineRule="exact"/>
              <w:rPr>
                <w:sz w:val="20"/>
                <w:szCs w:val="20"/>
                <w:color w:val="auto"/>
              </w:rPr>
            </w:pPr>
            <w:r>
              <w:rPr>
                <w:rFonts w:ascii="Arial" w:cs="Arial" w:eastAsia="Arial" w:hAnsi="Arial"/>
                <w:sz w:val="22"/>
                <w:szCs w:val="22"/>
                <w:color w:val="auto"/>
              </w:rPr>
              <w:t>75</w:t>
            </w:r>
          </w:p>
        </w:tc>
      </w:tr>
      <w:tr>
        <w:trPr>
          <w:trHeight w:val="243"/>
        </w:trPr>
        <w:tc>
          <w:tcPr>
            <w:tcW w:w="8960" w:type="dxa"/>
            <w:vAlign w:val="bottom"/>
            <w:gridSpan w:val="2"/>
          </w:tcPr>
          <w:p>
            <w:pPr>
              <w:ind w:left="1320"/>
              <w:spacing w:after="0" w:line="243" w:lineRule="exact"/>
              <w:rPr>
                <w:sz w:val="20"/>
                <w:szCs w:val="20"/>
                <w:color w:val="auto"/>
              </w:rPr>
            </w:pPr>
            <w:r>
              <w:rPr>
                <w:rFonts w:ascii="Arial" w:cs="Arial" w:eastAsia="Arial" w:hAnsi="Arial"/>
                <w:sz w:val="22"/>
                <w:szCs w:val="22"/>
                <w:color w:val="auto"/>
              </w:rPr>
              <w:t>SECTION 8.03. Limitation of Duties; Exculpation</w:t>
            </w:r>
          </w:p>
        </w:tc>
        <w:tc>
          <w:tcPr>
            <w:tcW w:w="2280" w:type="dxa"/>
            <w:vAlign w:val="bottom"/>
          </w:tcPr>
          <w:p>
            <w:pPr>
              <w:jc w:val="right"/>
              <w:ind w:right="1192"/>
              <w:spacing w:after="0" w:line="243" w:lineRule="exact"/>
              <w:rPr>
                <w:sz w:val="20"/>
                <w:szCs w:val="20"/>
                <w:color w:val="auto"/>
              </w:rPr>
            </w:pPr>
            <w:r>
              <w:rPr>
                <w:rFonts w:ascii="Arial" w:cs="Arial" w:eastAsia="Arial" w:hAnsi="Arial"/>
                <w:sz w:val="22"/>
                <w:szCs w:val="22"/>
                <w:color w:val="auto"/>
              </w:rPr>
              <w:t>75</w:t>
            </w:r>
          </w:p>
        </w:tc>
      </w:tr>
      <w:tr>
        <w:trPr>
          <w:trHeight w:val="243"/>
        </w:trPr>
        <w:tc>
          <w:tcPr>
            <w:tcW w:w="3840" w:type="dxa"/>
            <w:vAlign w:val="bottom"/>
          </w:tcPr>
          <w:p>
            <w:pPr>
              <w:ind w:left="1320"/>
              <w:spacing w:after="0" w:line="243" w:lineRule="exact"/>
              <w:rPr>
                <w:sz w:val="20"/>
                <w:szCs w:val="20"/>
                <w:color w:val="auto"/>
              </w:rPr>
            </w:pPr>
            <w:r>
              <w:rPr>
                <w:rFonts w:ascii="Arial" w:cs="Arial" w:eastAsia="Arial" w:hAnsi="Arial"/>
                <w:sz w:val="22"/>
                <w:szCs w:val="22"/>
                <w:color w:val="auto"/>
              </w:rPr>
              <w:t>SECTION 8.04. Reliance</w:t>
            </w:r>
          </w:p>
        </w:tc>
        <w:tc>
          <w:tcPr>
            <w:tcW w:w="5120" w:type="dxa"/>
            <w:vAlign w:val="bottom"/>
          </w:tcPr>
          <w:p>
            <w:pPr>
              <w:spacing w:after="0"/>
              <w:rPr>
                <w:sz w:val="21"/>
                <w:szCs w:val="21"/>
                <w:color w:val="auto"/>
              </w:rPr>
            </w:pPr>
          </w:p>
        </w:tc>
        <w:tc>
          <w:tcPr>
            <w:tcW w:w="2280" w:type="dxa"/>
            <w:vAlign w:val="bottom"/>
          </w:tcPr>
          <w:p>
            <w:pPr>
              <w:jc w:val="right"/>
              <w:ind w:right="1192"/>
              <w:spacing w:after="0" w:line="243" w:lineRule="exact"/>
              <w:rPr>
                <w:sz w:val="20"/>
                <w:szCs w:val="20"/>
                <w:color w:val="auto"/>
              </w:rPr>
            </w:pPr>
            <w:r>
              <w:rPr>
                <w:rFonts w:ascii="Arial" w:cs="Arial" w:eastAsia="Arial" w:hAnsi="Arial"/>
                <w:sz w:val="22"/>
                <w:szCs w:val="22"/>
                <w:color w:val="auto"/>
              </w:rPr>
              <w:t>75</w:t>
            </w:r>
          </w:p>
        </w:tc>
      </w:tr>
      <w:tr>
        <w:trPr>
          <w:trHeight w:val="243"/>
        </w:trPr>
        <w:tc>
          <w:tcPr>
            <w:tcW w:w="3840" w:type="dxa"/>
            <w:vAlign w:val="bottom"/>
          </w:tcPr>
          <w:p>
            <w:pPr>
              <w:ind w:left="1320"/>
              <w:spacing w:after="0" w:line="243" w:lineRule="exact"/>
              <w:rPr>
                <w:sz w:val="20"/>
                <w:szCs w:val="20"/>
                <w:color w:val="auto"/>
              </w:rPr>
            </w:pPr>
            <w:r>
              <w:rPr>
                <w:rFonts w:ascii="Arial" w:cs="Arial" w:eastAsia="Arial" w:hAnsi="Arial"/>
                <w:sz w:val="22"/>
                <w:szCs w:val="22"/>
                <w:color w:val="auto"/>
                <w:w w:val="91"/>
              </w:rPr>
              <w:t>SECTION 8.05. Sub-Agents</w:t>
            </w:r>
          </w:p>
        </w:tc>
        <w:tc>
          <w:tcPr>
            <w:tcW w:w="5120" w:type="dxa"/>
            <w:vAlign w:val="bottom"/>
          </w:tcPr>
          <w:p>
            <w:pPr>
              <w:spacing w:after="0"/>
              <w:rPr>
                <w:sz w:val="21"/>
                <w:szCs w:val="21"/>
                <w:color w:val="auto"/>
              </w:rPr>
            </w:pPr>
          </w:p>
        </w:tc>
        <w:tc>
          <w:tcPr>
            <w:tcW w:w="2280" w:type="dxa"/>
            <w:vAlign w:val="bottom"/>
          </w:tcPr>
          <w:p>
            <w:pPr>
              <w:jc w:val="right"/>
              <w:ind w:right="1192"/>
              <w:spacing w:after="0" w:line="243" w:lineRule="exact"/>
              <w:rPr>
                <w:sz w:val="20"/>
                <w:szCs w:val="20"/>
                <w:color w:val="auto"/>
              </w:rPr>
            </w:pPr>
            <w:r>
              <w:rPr>
                <w:rFonts w:ascii="Arial" w:cs="Arial" w:eastAsia="Arial" w:hAnsi="Arial"/>
                <w:sz w:val="22"/>
                <w:szCs w:val="22"/>
                <w:color w:val="auto"/>
              </w:rPr>
              <w:t>76</w:t>
            </w:r>
          </w:p>
        </w:tc>
      </w:tr>
      <w:tr>
        <w:trPr>
          <w:trHeight w:val="243"/>
        </w:trPr>
        <w:tc>
          <w:tcPr>
            <w:tcW w:w="8960" w:type="dxa"/>
            <w:vAlign w:val="bottom"/>
            <w:gridSpan w:val="2"/>
          </w:tcPr>
          <w:p>
            <w:pPr>
              <w:ind w:left="1320"/>
              <w:spacing w:after="0" w:line="243" w:lineRule="exact"/>
              <w:rPr>
                <w:sz w:val="20"/>
                <w:szCs w:val="20"/>
                <w:color w:val="auto"/>
              </w:rPr>
            </w:pPr>
            <w:r>
              <w:rPr>
                <w:rFonts w:ascii="Arial" w:cs="Arial" w:eastAsia="Arial" w:hAnsi="Arial"/>
                <w:sz w:val="22"/>
                <w:szCs w:val="22"/>
                <w:color w:val="auto"/>
              </w:rPr>
              <w:t>SECTION 8.06. Resignation; Successor Administrative Agent</w:t>
            </w:r>
          </w:p>
        </w:tc>
        <w:tc>
          <w:tcPr>
            <w:tcW w:w="2280" w:type="dxa"/>
            <w:vAlign w:val="bottom"/>
          </w:tcPr>
          <w:p>
            <w:pPr>
              <w:jc w:val="right"/>
              <w:ind w:right="1192"/>
              <w:spacing w:after="0" w:line="243" w:lineRule="exact"/>
              <w:rPr>
                <w:sz w:val="20"/>
                <w:szCs w:val="20"/>
                <w:color w:val="auto"/>
              </w:rPr>
            </w:pPr>
            <w:r>
              <w:rPr>
                <w:rFonts w:ascii="Arial" w:cs="Arial" w:eastAsia="Arial" w:hAnsi="Arial"/>
                <w:sz w:val="22"/>
                <w:szCs w:val="22"/>
                <w:color w:val="auto"/>
              </w:rPr>
              <w:t>76</w:t>
            </w:r>
          </w:p>
        </w:tc>
      </w:tr>
      <w:tr>
        <w:trPr>
          <w:trHeight w:val="243"/>
        </w:trPr>
        <w:tc>
          <w:tcPr>
            <w:tcW w:w="8960" w:type="dxa"/>
            <w:vAlign w:val="bottom"/>
            <w:gridSpan w:val="2"/>
          </w:tcPr>
          <w:p>
            <w:pPr>
              <w:ind w:left="1320"/>
              <w:spacing w:after="0" w:line="243" w:lineRule="exact"/>
              <w:rPr>
                <w:sz w:val="20"/>
                <w:szCs w:val="20"/>
                <w:color w:val="auto"/>
              </w:rPr>
            </w:pPr>
            <w:r>
              <w:rPr>
                <w:rFonts w:ascii="Arial" w:cs="Arial" w:eastAsia="Arial" w:hAnsi="Arial"/>
                <w:sz w:val="22"/>
                <w:szCs w:val="22"/>
                <w:color w:val="auto"/>
              </w:rPr>
              <w:t>SECTION 8.07. Reliance by Lenders</w:t>
            </w:r>
          </w:p>
        </w:tc>
        <w:tc>
          <w:tcPr>
            <w:tcW w:w="2280" w:type="dxa"/>
            <w:vAlign w:val="bottom"/>
          </w:tcPr>
          <w:p>
            <w:pPr>
              <w:jc w:val="right"/>
              <w:ind w:right="1192"/>
              <w:spacing w:after="0" w:line="243" w:lineRule="exact"/>
              <w:rPr>
                <w:sz w:val="20"/>
                <w:szCs w:val="20"/>
                <w:color w:val="auto"/>
              </w:rPr>
            </w:pPr>
            <w:r>
              <w:rPr>
                <w:rFonts w:ascii="Arial" w:cs="Arial" w:eastAsia="Arial" w:hAnsi="Arial"/>
                <w:sz w:val="22"/>
                <w:szCs w:val="22"/>
                <w:color w:val="auto"/>
              </w:rPr>
              <w:t>76</w:t>
            </w:r>
          </w:p>
        </w:tc>
      </w:tr>
      <w:tr>
        <w:trPr>
          <w:trHeight w:val="274"/>
        </w:trPr>
        <w:tc>
          <w:tcPr>
            <w:tcW w:w="8960" w:type="dxa"/>
            <w:vAlign w:val="bottom"/>
            <w:gridSpan w:val="2"/>
          </w:tcPr>
          <w:p>
            <w:pPr>
              <w:ind w:left="1320"/>
              <w:spacing w:after="0"/>
              <w:rPr>
                <w:sz w:val="20"/>
                <w:szCs w:val="20"/>
                <w:color w:val="auto"/>
              </w:rPr>
            </w:pPr>
            <w:r>
              <w:rPr>
                <w:rFonts w:ascii="Arial" w:cs="Arial" w:eastAsia="Arial" w:hAnsi="Arial"/>
                <w:sz w:val="22"/>
                <w:szCs w:val="22"/>
                <w:color w:val="auto"/>
              </w:rPr>
              <w:t>SECTION 8.08. Modifications to Loan Documents</w:t>
            </w:r>
          </w:p>
        </w:tc>
        <w:tc>
          <w:tcPr>
            <w:tcW w:w="2280" w:type="dxa"/>
            <w:vAlign w:val="bottom"/>
          </w:tcPr>
          <w:p>
            <w:pPr>
              <w:jc w:val="right"/>
              <w:ind w:right="1192"/>
              <w:spacing w:after="0"/>
              <w:rPr>
                <w:sz w:val="20"/>
                <w:szCs w:val="20"/>
                <w:color w:val="auto"/>
              </w:rPr>
            </w:pPr>
            <w:r>
              <w:rPr>
                <w:rFonts w:ascii="Arial" w:cs="Arial" w:eastAsia="Arial" w:hAnsi="Arial"/>
                <w:sz w:val="22"/>
                <w:szCs w:val="22"/>
                <w:color w:val="auto"/>
              </w:rPr>
              <w:t>76</w:t>
            </w:r>
          </w:p>
        </w:tc>
      </w:tr>
      <w:tr>
        <w:trPr>
          <w:trHeight w:val="486"/>
        </w:trPr>
        <w:tc>
          <w:tcPr>
            <w:tcW w:w="3840" w:type="dxa"/>
            <w:vAlign w:val="bottom"/>
          </w:tcPr>
          <w:p>
            <w:pPr>
              <w:spacing w:after="0"/>
              <w:rPr>
                <w:sz w:val="24"/>
                <w:szCs w:val="24"/>
                <w:color w:val="auto"/>
              </w:rPr>
            </w:pPr>
          </w:p>
        </w:tc>
        <w:tc>
          <w:tcPr>
            <w:tcW w:w="5120" w:type="dxa"/>
            <w:vAlign w:val="bottom"/>
          </w:tcPr>
          <w:p>
            <w:pPr>
              <w:ind w:left="1200"/>
              <w:spacing w:after="0"/>
              <w:rPr>
                <w:sz w:val="20"/>
                <w:szCs w:val="20"/>
                <w:color w:val="auto"/>
              </w:rPr>
            </w:pPr>
            <w:r>
              <w:rPr>
                <w:rFonts w:ascii="Arial" w:cs="Arial" w:eastAsia="Arial" w:hAnsi="Arial"/>
                <w:sz w:val="22"/>
                <w:szCs w:val="22"/>
                <w:color w:val="auto"/>
              </w:rPr>
              <w:t>ARTICLE IX</w:t>
            </w:r>
          </w:p>
        </w:tc>
        <w:tc>
          <w:tcPr>
            <w:tcW w:w="2280" w:type="dxa"/>
            <w:vAlign w:val="bottom"/>
          </w:tcPr>
          <w:p>
            <w:pPr>
              <w:spacing w:after="0"/>
              <w:rPr>
                <w:sz w:val="24"/>
                <w:szCs w:val="24"/>
                <w:color w:val="auto"/>
              </w:rPr>
            </w:pPr>
          </w:p>
        </w:tc>
      </w:tr>
      <w:tr>
        <w:trPr>
          <w:trHeight w:val="455"/>
        </w:trPr>
        <w:tc>
          <w:tcPr>
            <w:tcW w:w="3840" w:type="dxa"/>
            <w:vAlign w:val="bottom"/>
          </w:tcPr>
          <w:p>
            <w:pPr>
              <w:spacing w:after="0"/>
              <w:rPr>
                <w:sz w:val="24"/>
                <w:szCs w:val="24"/>
                <w:color w:val="auto"/>
              </w:rPr>
            </w:pPr>
          </w:p>
        </w:tc>
        <w:tc>
          <w:tcPr>
            <w:tcW w:w="5120" w:type="dxa"/>
            <w:vAlign w:val="bottom"/>
          </w:tcPr>
          <w:p>
            <w:pPr>
              <w:ind w:left="880"/>
              <w:spacing w:after="0"/>
              <w:rPr>
                <w:sz w:val="20"/>
                <w:szCs w:val="20"/>
                <w:color w:val="auto"/>
              </w:rPr>
            </w:pPr>
            <w:r>
              <w:rPr>
                <w:rFonts w:ascii="Arial" w:cs="Arial" w:eastAsia="Arial" w:hAnsi="Arial"/>
                <w:sz w:val="22"/>
                <w:szCs w:val="22"/>
                <w:color w:val="auto"/>
              </w:rPr>
              <w:t>MISCELLANEOUS</w:t>
            </w:r>
          </w:p>
        </w:tc>
        <w:tc>
          <w:tcPr>
            <w:tcW w:w="2280" w:type="dxa"/>
            <w:vAlign w:val="bottom"/>
          </w:tcPr>
          <w:p>
            <w:pPr>
              <w:spacing w:after="0"/>
              <w:rPr>
                <w:sz w:val="24"/>
                <w:szCs w:val="24"/>
                <w:color w:val="auto"/>
              </w:rPr>
            </w:pPr>
          </w:p>
        </w:tc>
      </w:tr>
      <w:tr>
        <w:trPr>
          <w:trHeight w:val="243"/>
        </w:trPr>
        <w:tc>
          <w:tcPr>
            <w:tcW w:w="8960" w:type="dxa"/>
            <w:vAlign w:val="bottom"/>
            <w:gridSpan w:val="2"/>
          </w:tcPr>
          <w:p>
            <w:pPr>
              <w:ind w:left="1320"/>
              <w:spacing w:after="0" w:line="243" w:lineRule="exact"/>
              <w:rPr>
                <w:sz w:val="20"/>
                <w:szCs w:val="20"/>
                <w:color w:val="auto"/>
              </w:rPr>
            </w:pPr>
            <w:r>
              <w:rPr>
                <w:rFonts w:ascii="Arial" w:cs="Arial" w:eastAsia="Arial" w:hAnsi="Arial"/>
                <w:sz w:val="22"/>
                <w:szCs w:val="22"/>
                <w:color w:val="auto"/>
              </w:rPr>
              <w:t>SECTION 9.01. Notices; Electronic Communications.</w:t>
            </w:r>
          </w:p>
        </w:tc>
        <w:tc>
          <w:tcPr>
            <w:tcW w:w="2280" w:type="dxa"/>
            <w:vAlign w:val="bottom"/>
          </w:tcPr>
          <w:p>
            <w:pPr>
              <w:jc w:val="right"/>
              <w:ind w:right="1192"/>
              <w:spacing w:after="0" w:line="243" w:lineRule="exact"/>
              <w:rPr>
                <w:sz w:val="20"/>
                <w:szCs w:val="20"/>
                <w:color w:val="auto"/>
              </w:rPr>
            </w:pPr>
            <w:r>
              <w:rPr>
                <w:rFonts w:ascii="Arial" w:cs="Arial" w:eastAsia="Arial" w:hAnsi="Arial"/>
                <w:sz w:val="22"/>
                <w:szCs w:val="22"/>
                <w:color w:val="auto"/>
              </w:rPr>
              <w:t>77</w:t>
            </w:r>
          </w:p>
        </w:tc>
      </w:tr>
      <w:tr>
        <w:trPr>
          <w:trHeight w:val="243"/>
        </w:trPr>
        <w:tc>
          <w:tcPr>
            <w:tcW w:w="8960" w:type="dxa"/>
            <w:vAlign w:val="bottom"/>
            <w:gridSpan w:val="2"/>
          </w:tcPr>
          <w:p>
            <w:pPr>
              <w:ind w:left="1320"/>
              <w:spacing w:after="0" w:line="243" w:lineRule="exact"/>
              <w:rPr>
                <w:sz w:val="20"/>
                <w:szCs w:val="20"/>
                <w:color w:val="auto"/>
              </w:rPr>
            </w:pPr>
            <w:r>
              <w:rPr>
                <w:rFonts w:ascii="Arial" w:cs="Arial" w:eastAsia="Arial" w:hAnsi="Arial"/>
                <w:sz w:val="22"/>
                <w:szCs w:val="22"/>
                <w:color w:val="auto"/>
              </w:rPr>
              <w:t>SECTION 9.02. Waivers; Amendments.</w:t>
            </w:r>
          </w:p>
        </w:tc>
        <w:tc>
          <w:tcPr>
            <w:tcW w:w="2280" w:type="dxa"/>
            <w:vAlign w:val="bottom"/>
          </w:tcPr>
          <w:p>
            <w:pPr>
              <w:jc w:val="right"/>
              <w:ind w:right="1192"/>
              <w:spacing w:after="0" w:line="243" w:lineRule="exact"/>
              <w:rPr>
                <w:sz w:val="20"/>
                <w:szCs w:val="20"/>
                <w:color w:val="auto"/>
              </w:rPr>
            </w:pPr>
            <w:r>
              <w:rPr>
                <w:rFonts w:ascii="Arial" w:cs="Arial" w:eastAsia="Arial" w:hAnsi="Arial"/>
                <w:sz w:val="22"/>
                <w:szCs w:val="22"/>
                <w:color w:val="auto"/>
              </w:rPr>
              <w:t>79</w:t>
            </w:r>
          </w:p>
        </w:tc>
      </w:tr>
      <w:tr>
        <w:trPr>
          <w:trHeight w:val="243"/>
        </w:trPr>
        <w:tc>
          <w:tcPr>
            <w:tcW w:w="8960" w:type="dxa"/>
            <w:vAlign w:val="bottom"/>
            <w:gridSpan w:val="2"/>
          </w:tcPr>
          <w:p>
            <w:pPr>
              <w:ind w:left="1320"/>
              <w:spacing w:after="0" w:line="243" w:lineRule="exact"/>
              <w:rPr>
                <w:sz w:val="20"/>
                <w:szCs w:val="20"/>
                <w:color w:val="auto"/>
              </w:rPr>
            </w:pPr>
            <w:r>
              <w:rPr>
                <w:rFonts w:ascii="Arial" w:cs="Arial" w:eastAsia="Arial" w:hAnsi="Arial"/>
                <w:sz w:val="22"/>
                <w:szCs w:val="22"/>
                <w:color w:val="auto"/>
              </w:rPr>
              <w:t>SECTION 9.03. Expenses; Indemnity; Damage Waiver.</w:t>
            </w:r>
          </w:p>
        </w:tc>
        <w:tc>
          <w:tcPr>
            <w:tcW w:w="2280" w:type="dxa"/>
            <w:vAlign w:val="bottom"/>
          </w:tcPr>
          <w:p>
            <w:pPr>
              <w:jc w:val="right"/>
              <w:ind w:right="1192"/>
              <w:spacing w:after="0" w:line="243" w:lineRule="exact"/>
              <w:rPr>
                <w:sz w:val="20"/>
                <w:szCs w:val="20"/>
                <w:color w:val="auto"/>
              </w:rPr>
            </w:pPr>
            <w:r>
              <w:rPr>
                <w:rFonts w:ascii="Arial" w:cs="Arial" w:eastAsia="Arial" w:hAnsi="Arial"/>
                <w:sz w:val="22"/>
                <w:szCs w:val="22"/>
                <w:color w:val="auto"/>
              </w:rPr>
              <w:t>80</w:t>
            </w:r>
          </w:p>
        </w:tc>
      </w:tr>
      <w:tr>
        <w:trPr>
          <w:trHeight w:val="243"/>
        </w:trPr>
        <w:tc>
          <w:tcPr>
            <w:tcW w:w="8960" w:type="dxa"/>
            <w:vAlign w:val="bottom"/>
            <w:gridSpan w:val="2"/>
          </w:tcPr>
          <w:p>
            <w:pPr>
              <w:ind w:left="1320"/>
              <w:spacing w:after="0" w:line="243" w:lineRule="exact"/>
              <w:rPr>
                <w:sz w:val="20"/>
                <w:szCs w:val="20"/>
                <w:color w:val="auto"/>
              </w:rPr>
            </w:pPr>
            <w:r>
              <w:rPr>
                <w:rFonts w:ascii="Arial" w:cs="Arial" w:eastAsia="Arial" w:hAnsi="Arial"/>
                <w:sz w:val="22"/>
                <w:szCs w:val="22"/>
                <w:color w:val="auto"/>
              </w:rPr>
              <w:t>SECTION 9.04. Successors and Assigns.</w:t>
            </w:r>
          </w:p>
        </w:tc>
        <w:tc>
          <w:tcPr>
            <w:tcW w:w="2280" w:type="dxa"/>
            <w:vAlign w:val="bottom"/>
          </w:tcPr>
          <w:p>
            <w:pPr>
              <w:jc w:val="right"/>
              <w:ind w:right="1192"/>
              <w:spacing w:after="0" w:line="243" w:lineRule="exact"/>
              <w:rPr>
                <w:sz w:val="20"/>
                <w:szCs w:val="20"/>
                <w:color w:val="auto"/>
              </w:rPr>
            </w:pPr>
            <w:r>
              <w:rPr>
                <w:rFonts w:ascii="Arial" w:cs="Arial" w:eastAsia="Arial" w:hAnsi="Arial"/>
                <w:sz w:val="22"/>
                <w:szCs w:val="22"/>
                <w:color w:val="auto"/>
              </w:rPr>
              <w:t>82</w:t>
            </w:r>
          </w:p>
        </w:tc>
      </w:tr>
      <w:tr>
        <w:trPr>
          <w:trHeight w:val="243"/>
        </w:trPr>
        <w:tc>
          <w:tcPr>
            <w:tcW w:w="3840" w:type="dxa"/>
            <w:vAlign w:val="bottom"/>
          </w:tcPr>
          <w:p>
            <w:pPr>
              <w:ind w:left="1320"/>
              <w:spacing w:after="0" w:line="243" w:lineRule="exact"/>
              <w:rPr>
                <w:sz w:val="20"/>
                <w:szCs w:val="20"/>
                <w:color w:val="auto"/>
              </w:rPr>
            </w:pPr>
            <w:r>
              <w:rPr>
                <w:rFonts w:ascii="Arial" w:cs="Arial" w:eastAsia="Arial" w:hAnsi="Arial"/>
                <w:sz w:val="22"/>
                <w:szCs w:val="22"/>
                <w:color w:val="auto"/>
              </w:rPr>
              <w:t>SECTION 9.05. Survival</w:t>
            </w:r>
          </w:p>
        </w:tc>
        <w:tc>
          <w:tcPr>
            <w:tcW w:w="5120" w:type="dxa"/>
            <w:vAlign w:val="bottom"/>
          </w:tcPr>
          <w:p>
            <w:pPr>
              <w:spacing w:after="0"/>
              <w:rPr>
                <w:sz w:val="21"/>
                <w:szCs w:val="21"/>
                <w:color w:val="auto"/>
              </w:rPr>
            </w:pPr>
          </w:p>
        </w:tc>
        <w:tc>
          <w:tcPr>
            <w:tcW w:w="2280" w:type="dxa"/>
            <w:vAlign w:val="bottom"/>
          </w:tcPr>
          <w:p>
            <w:pPr>
              <w:jc w:val="right"/>
              <w:ind w:right="1192"/>
              <w:spacing w:after="0" w:line="243" w:lineRule="exact"/>
              <w:rPr>
                <w:sz w:val="20"/>
                <w:szCs w:val="20"/>
                <w:color w:val="auto"/>
              </w:rPr>
            </w:pPr>
            <w:r>
              <w:rPr>
                <w:rFonts w:ascii="Arial" w:cs="Arial" w:eastAsia="Arial" w:hAnsi="Arial"/>
                <w:sz w:val="22"/>
                <w:szCs w:val="22"/>
                <w:color w:val="auto"/>
              </w:rPr>
              <w:t>86</w:t>
            </w:r>
          </w:p>
        </w:tc>
      </w:tr>
      <w:tr>
        <w:trPr>
          <w:trHeight w:val="243"/>
        </w:trPr>
        <w:tc>
          <w:tcPr>
            <w:tcW w:w="8960" w:type="dxa"/>
            <w:vAlign w:val="bottom"/>
            <w:gridSpan w:val="2"/>
          </w:tcPr>
          <w:p>
            <w:pPr>
              <w:ind w:left="1320"/>
              <w:spacing w:after="0" w:line="243" w:lineRule="exact"/>
              <w:rPr>
                <w:sz w:val="20"/>
                <w:szCs w:val="20"/>
                <w:color w:val="auto"/>
              </w:rPr>
            </w:pPr>
            <w:r>
              <w:rPr>
                <w:rFonts w:ascii="Arial" w:cs="Arial" w:eastAsia="Arial" w:hAnsi="Arial"/>
                <w:sz w:val="22"/>
                <w:szCs w:val="22"/>
                <w:color w:val="auto"/>
                <w:w w:val="99"/>
              </w:rPr>
              <w:t>SECTION 9.06. Counterparts; Integration; Effectiveness; Electronic Execution.</w:t>
            </w:r>
          </w:p>
        </w:tc>
        <w:tc>
          <w:tcPr>
            <w:tcW w:w="2280" w:type="dxa"/>
            <w:vAlign w:val="bottom"/>
          </w:tcPr>
          <w:p>
            <w:pPr>
              <w:jc w:val="right"/>
              <w:ind w:right="1192"/>
              <w:spacing w:after="0" w:line="243" w:lineRule="exact"/>
              <w:rPr>
                <w:sz w:val="20"/>
                <w:szCs w:val="20"/>
                <w:color w:val="auto"/>
              </w:rPr>
            </w:pPr>
            <w:r>
              <w:rPr>
                <w:rFonts w:ascii="Arial" w:cs="Arial" w:eastAsia="Arial" w:hAnsi="Arial"/>
                <w:sz w:val="22"/>
                <w:szCs w:val="22"/>
                <w:color w:val="auto"/>
              </w:rPr>
              <w:t>86</w:t>
            </w:r>
          </w:p>
        </w:tc>
      </w:tr>
      <w:tr>
        <w:trPr>
          <w:trHeight w:val="243"/>
        </w:trPr>
        <w:tc>
          <w:tcPr>
            <w:tcW w:w="3840" w:type="dxa"/>
            <w:vAlign w:val="bottom"/>
          </w:tcPr>
          <w:p>
            <w:pPr>
              <w:ind w:left="1320"/>
              <w:spacing w:after="0" w:line="243" w:lineRule="exact"/>
              <w:rPr>
                <w:sz w:val="20"/>
                <w:szCs w:val="20"/>
                <w:color w:val="auto"/>
              </w:rPr>
            </w:pPr>
            <w:r>
              <w:rPr>
                <w:rFonts w:ascii="Arial" w:cs="Arial" w:eastAsia="Arial" w:hAnsi="Arial"/>
                <w:sz w:val="22"/>
                <w:szCs w:val="22"/>
                <w:color w:val="auto"/>
                <w:w w:val="91"/>
              </w:rPr>
              <w:t>SECTION 9.07. Severability</w:t>
            </w:r>
          </w:p>
        </w:tc>
        <w:tc>
          <w:tcPr>
            <w:tcW w:w="5120" w:type="dxa"/>
            <w:vAlign w:val="bottom"/>
          </w:tcPr>
          <w:p>
            <w:pPr>
              <w:spacing w:after="0"/>
              <w:rPr>
                <w:sz w:val="21"/>
                <w:szCs w:val="21"/>
                <w:color w:val="auto"/>
              </w:rPr>
            </w:pPr>
          </w:p>
        </w:tc>
        <w:tc>
          <w:tcPr>
            <w:tcW w:w="2280" w:type="dxa"/>
            <w:vAlign w:val="bottom"/>
          </w:tcPr>
          <w:p>
            <w:pPr>
              <w:jc w:val="right"/>
              <w:ind w:right="1192"/>
              <w:spacing w:after="0" w:line="243" w:lineRule="exact"/>
              <w:rPr>
                <w:sz w:val="20"/>
                <w:szCs w:val="20"/>
                <w:color w:val="auto"/>
              </w:rPr>
            </w:pPr>
            <w:r>
              <w:rPr>
                <w:rFonts w:ascii="Arial" w:cs="Arial" w:eastAsia="Arial" w:hAnsi="Arial"/>
                <w:sz w:val="22"/>
                <w:szCs w:val="22"/>
                <w:color w:val="auto"/>
              </w:rPr>
              <w:t>87</w:t>
            </w:r>
          </w:p>
        </w:tc>
      </w:tr>
      <w:tr>
        <w:trPr>
          <w:trHeight w:val="243"/>
        </w:trPr>
        <w:tc>
          <w:tcPr>
            <w:tcW w:w="8960" w:type="dxa"/>
            <w:vAlign w:val="bottom"/>
            <w:gridSpan w:val="2"/>
          </w:tcPr>
          <w:p>
            <w:pPr>
              <w:ind w:left="1320"/>
              <w:spacing w:after="0" w:line="243" w:lineRule="exact"/>
              <w:rPr>
                <w:sz w:val="20"/>
                <w:szCs w:val="20"/>
                <w:color w:val="auto"/>
              </w:rPr>
            </w:pPr>
            <w:r>
              <w:rPr>
                <w:rFonts w:ascii="Arial" w:cs="Arial" w:eastAsia="Arial" w:hAnsi="Arial"/>
                <w:sz w:val="22"/>
                <w:szCs w:val="22"/>
                <w:color w:val="auto"/>
              </w:rPr>
              <w:t>SECTION 9.08. Right of Setoff</w:t>
            </w:r>
          </w:p>
        </w:tc>
        <w:tc>
          <w:tcPr>
            <w:tcW w:w="2280" w:type="dxa"/>
            <w:vAlign w:val="bottom"/>
          </w:tcPr>
          <w:p>
            <w:pPr>
              <w:jc w:val="right"/>
              <w:ind w:right="1192"/>
              <w:spacing w:after="0" w:line="243" w:lineRule="exact"/>
              <w:rPr>
                <w:sz w:val="20"/>
                <w:szCs w:val="20"/>
                <w:color w:val="auto"/>
              </w:rPr>
            </w:pPr>
            <w:r>
              <w:rPr>
                <w:rFonts w:ascii="Arial" w:cs="Arial" w:eastAsia="Arial" w:hAnsi="Arial"/>
                <w:sz w:val="22"/>
                <w:szCs w:val="22"/>
                <w:color w:val="auto"/>
              </w:rPr>
              <w:t>87</w:t>
            </w:r>
          </w:p>
        </w:tc>
      </w:tr>
      <w:tr>
        <w:trPr>
          <w:trHeight w:val="243"/>
        </w:trPr>
        <w:tc>
          <w:tcPr>
            <w:tcW w:w="8960" w:type="dxa"/>
            <w:vAlign w:val="bottom"/>
            <w:gridSpan w:val="2"/>
          </w:tcPr>
          <w:p>
            <w:pPr>
              <w:ind w:left="1320"/>
              <w:spacing w:after="0" w:line="243" w:lineRule="exact"/>
              <w:rPr>
                <w:sz w:val="20"/>
                <w:szCs w:val="20"/>
                <w:color w:val="auto"/>
              </w:rPr>
            </w:pPr>
            <w:r>
              <w:rPr>
                <w:rFonts w:ascii="Arial" w:cs="Arial" w:eastAsia="Arial" w:hAnsi="Arial"/>
                <w:sz w:val="22"/>
                <w:szCs w:val="22"/>
                <w:color w:val="auto"/>
              </w:rPr>
              <w:t>SECTION 9.09. Governing Law; Jurisdiction; Etc.</w:t>
            </w:r>
          </w:p>
        </w:tc>
        <w:tc>
          <w:tcPr>
            <w:tcW w:w="2280" w:type="dxa"/>
            <w:vAlign w:val="bottom"/>
          </w:tcPr>
          <w:p>
            <w:pPr>
              <w:jc w:val="right"/>
              <w:ind w:right="1192"/>
              <w:spacing w:after="0" w:line="243" w:lineRule="exact"/>
              <w:rPr>
                <w:sz w:val="20"/>
                <w:szCs w:val="20"/>
                <w:color w:val="auto"/>
              </w:rPr>
            </w:pPr>
            <w:r>
              <w:rPr>
                <w:rFonts w:ascii="Arial" w:cs="Arial" w:eastAsia="Arial" w:hAnsi="Arial"/>
                <w:sz w:val="22"/>
                <w:szCs w:val="22"/>
                <w:color w:val="auto"/>
              </w:rPr>
              <w:t>87</w:t>
            </w:r>
          </w:p>
        </w:tc>
      </w:tr>
      <w:tr>
        <w:trPr>
          <w:trHeight w:val="243"/>
        </w:trPr>
        <w:tc>
          <w:tcPr>
            <w:tcW w:w="8960" w:type="dxa"/>
            <w:vAlign w:val="bottom"/>
            <w:gridSpan w:val="2"/>
          </w:tcPr>
          <w:p>
            <w:pPr>
              <w:ind w:left="1320"/>
              <w:spacing w:after="0" w:line="243" w:lineRule="exact"/>
              <w:rPr>
                <w:sz w:val="20"/>
                <w:szCs w:val="20"/>
                <w:color w:val="auto"/>
              </w:rPr>
            </w:pPr>
            <w:r>
              <w:rPr>
                <w:rFonts w:ascii="Arial" w:cs="Arial" w:eastAsia="Arial" w:hAnsi="Arial"/>
                <w:sz w:val="22"/>
                <w:szCs w:val="22"/>
                <w:color w:val="auto"/>
              </w:rPr>
              <w:t>SECTION 9.10. WAIVER OF JURY TRIAL</w:t>
            </w:r>
          </w:p>
        </w:tc>
        <w:tc>
          <w:tcPr>
            <w:tcW w:w="2280" w:type="dxa"/>
            <w:vAlign w:val="bottom"/>
          </w:tcPr>
          <w:p>
            <w:pPr>
              <w:jc w:val="right"/>
              <w:ind w:right="1192"/>
              <w:spacing w:after="0" w:line="243" w:lineRule="exact"/>
              <w:rPr>
                <w:sz w:val="20"/>
                <w:szCs w:val="20"/>
                <w:color w:val="auto"/>
              </w:rPr>
            </w:pPr>
            <w:r>
              <w:rPr>
                <w:rFonts w:ascii="Arial" w:cs="Arial" w:eastAsia="Arial" w:hAnsi="Arial"/>
                <w:sz w:val="22"/>
                <w:szCs w:val="22"/>
                <w:color w:val="auto"/>
              </w:rPr>
              <w:t>88</w:t>
            </w:r>
          </w:p>
        </w:tc>
      </w:tr>
      <w:tr>
        <w:trPr>
          <w:trHeight w:val="243"/>
        </w:trPr>
        <w:tc>
          <w:tcPr>
            <w:tcW w:w="8960" w:type="dxa"/>
            <w:vAlign w:val="bottom"/>
            <w:gridSpan w:val="2"/>
          </w:tcPr>
          <w:p>
            <w:pPr>
              <w:ind w:left="1320"/>
              <w:spacing w:after="0" w:line="243" w:lineRule="exact"/>
              <w:rPr>
                <w:sz w:val="20"/>
                <w:szCs w:val="20"/>
                <w:color w:val="auto"/>
              </w:rPr>
            </w:pPr>
            <w:r>
              <w:rPr>
                <w:rFonts w:ascii="Arial" w:cs="Arial" w:eastAsia="Arial" w:hAnsi="Arial"/>
                <w:sz w:val="22"/>
                <w:szCs w:val="22"/>
                <w:color w:val="auto"/>
              </w:rPr>
              <w:t>SECTION 9.11. Judgment Currency</w:t>
            </w:r>
          </w:p>
        </w:tc>
        <w:tc>
          <w:tcPr>
            <w:tcW w:w="2280" w:type="dxa"/>
            <w:vAlign w:val="bottom"/>
          </w:tcPr>
          <w:p>
            <w:pPr>
              <w:jc w:val="right"/>
              <w:ind w:right="1192"/>
              <w:spacing w:after="0" w:line="243" w:lineRule="exact"/>
              <w:rPr>
                <w:sz w:val="20"/>
                <w:szCs w:val="20"/>
                <w:color w:val="auto"/>
              </w:rPr>
            </w:pPr>
            <w:r>
              <w:rPr>
                <w:rFonts w:ascii="Arial" w:cs="Arial" w:eastAsia="Arial" w:hAnsi="Arial"/>
                <w:sz w:val="22"/>
                <w:szCs w:val="22"/>
                <w:color w:val="auto"/>
              </w:rPr>
              <w:t>88</w:t>
            </w:r>
          </w:p>
        </w:tc>
      </w:tr>
      <w:tr>
        <w:trPr>
          <w:trHeight w:val="243"/>
        </w:trPr>
        <w:tc>
          <w:tcPr>
            <w:tcW w:w="3840" w:type="dxa"/>
            <w:vAlign w:val="bottom"/>
          </w:tcPr>
          <w:p>
            <w:pPr>
              <w:ind w:left="1320"/>
              <w:spacing w:after="0" w:line="243" w:lineRule="exact"/>
              <w:rPr>
                <w:sz w:val="20"/>
                <w:szCs w:val="20"/>
                <w:color w:val="auto"/>
              </w:rPr>
            </w:pPr>
            <w:r>
              <w:rPr>
                <w:rFonts w:ascii="Arial" w:cs="Arial" w:eastAsia="Arial" w:hAnsi="Arial"/>
                <w:sz w:val="22"/>
                <w:szCs w:val="22"/>
                <w:color w:val="auto"/>
                <w:w w:val="99"/>
              </w:rPr>
              <w:t>SECTION 9.12. Headings</w:t>
            </w:r>
          </w:p>
        </w:tc>
        <w:tc>
          <w:tcPr>
            <w:tcW w:w="5120" w:type="dxa"/>
            <w:vAlign w:val="bottom"/>
          </w:tcPr>
          <w:p>
            <w:pPr>
              <w:spacing w:after="0"/>
              <w:rPr>
                <w:sz w:val="21"/>
                <w:szCs w:val="21"/>
                <w:color w:val="auto"/>
              </w:rPr>
            </w:pPr>
          </w:p>
        </w:tc>
        <w:tc>
          <w:tcPr>
            <w:tcW w:w="2280" w:type="dxa"/>
            <w:vAlign w:val="bottom"/>
          </w:tcPr>
          <w:p>
            <w:pPr>
              <w:jc w:val="right"/>
              <w:ind w:right="1192"/>
              <w:spacing w:after="0" w:line="243" w:lineRule="exact"/>
              <w:rPr>
                <w:sz w:val="20"/>
                <w:szCs w:val="20"/>
                <w:color w:val="auto"/>
              </w:rPr>
            </w:pPr>
            <w:r>
              <w:rPr>
                <w:rFonts w:ascii="Arial" w:cs="Arial" w:eastAsia="Arial" w:hAnsi="Arial"/>
                <w:sz w:val="22"/>
                <w:szCs w:val="22"/>
                <w:color w:val="auto"/>
              </w:rPr>
              <w:t>89</w:t>
            </w:r>
          </w:p>
        </w:tc>
      </w:tr>
      <w:tr>
        <w:trPr>
          <w:trHeight w:val="243"/>
        </w:trPr>
        <w:tc>
          <w:tcPr>
            <w:tcW w:w="8960" w:type="dxa"/>
            <w:vAlign w:val="bottom"/>
            <w:gridSpan w:val="2"/>
          </w:tcPr>
          <w:p>
            <w:pPr>
              <w:ind w:left="1320"/>
              <w:spacing w:after="0" w:line="243" w:lineRule="exact"/>
              <w:rPr>
                <w:sz w:val="20"/>
                <w:szCs w:val="20"/>
                <w:color w:val="auto"/>
              </w:rPr>
            </w:pPr>
            <w:r>
              <w:rPr>
                <w:rFonts w:ascii="Arial" w:cs="Arial" w:eastAsia="Arial" w:hAnsi="Arial"/>
                <w:sz w:val="22"/>
                <w:szCs w:val="22"/>
                <w:color w:val="auto"/>
              </w:rPr>
              <w:t>SECTION 9.13. Treatment of Certain Information; Confidentiality.</w:t>
            </w:r>
          </w:p>
        </w:tc>
        <w:tc>
          <w:tcPr>
            <w:tcW w:w="2280" w:type="dxa"/>
            <w:vAlign w:val="bottom"/>
          </w:tcPr>
          <w:p>
            <w:pPr>
              <w:jc w:val="right"/>
              <w:ind w:right="1192"/>
              <w:spacing w:after="0" w:line="243" w:lineRule="exact"/>
              <w:rPr>
                <w:sz w:val="20"/>
                <w:szCs w:val="20"/>
                <w:color w:val="auto"/>
              </w:rPr>
            </w:pPr>
            <w:r>
              <w:rPr>
                <w:rFonts w:ascii="Arial" w:cs="Arial" w:eastAsia="Arial" w:hAnsi="Arial"/>
                <w:sz w:val="22"/>
                <w:szCs w:val="22"/>
                <w:color w:val="auto"/>
              </w:rPr>
              <w:t>89</w:t>
            </w:r>
          </w:p>
        </w:tc>
      </w:tr>
      <w:tr>
        <w:trPr>
          <w:trHeight w:val="274"/>
        </w:trPr>
        <w:tc>
          <w:tcPr>
            <w:tcW w:w="8960" w:type="dxa"/>
            <w:vAlign w:val="bottom"/>
            <w:gridSpan w:val="2"/>
          </w:tcPr>
          <w:p>
            <w:pPr>
              <w:ind w:left="1320"/>
              <w:spacing w:after="0"/>
              <w:rPr>
                <w:sz w:val="20"/>
                <w:szCs w:val="20"/>
                <w:color w:val="auto"/>
              </w:rPr>
            </w:pPr>
            <w:r>
              <w:rPr>
                <w:rFonts w:ascii="Arial" w:cs="Arial" w:eastAsia="Arial" w:hAnsi="Arial"/>
                <w:sz w:val="22"/>
                <w:szCs w:val="22"/>
                <w:color w:val="auto"/>
              </w:rPr>
              <w:t>SECTION 9.14. USA PATRIOT Act</w:t>
            </w:r>
          </w:p>
        </w:tc>
        <w:tc>
          <w:tcPr>
            <w:tcW w:w="2280" w:type="dxa"/>
            <w:vAlign w:val="bottom"/>
          </w:tcPr>
          <w:p>
            <w:pPr>
              <w:jc w:val="right"/>
              <w:ind w:right="1192"/>
              <w:spacing w:after="0"/>
              <w:rPr>
                <w:sz w:val="20"/>
                <w:szCs w:val="20"/>
                <w:color w:val="auto"/>
              </w:rPr>
            </w:pPr>
            <w:r>
              <w:rPr>
                <w:rFonts w:ascii="Arial" w:cs="Arial" w:eastAsia="Arial" w:hAnsi="Arial"/>
                <w:sz w:val="22"/>
                <w:szCs w:val="22"/>
                <w:color w:val="auto"/>
              </w:rPr>
              <w:t>90</w:t>
            </w:r>
          </w:p>
        </w:tc>
      </w:tr>
      <w:tr>
        <w:trPr>
          <w:trHeight w:val="455"/>
        </w:trPr>
        <w:tc>
          <w:tcPr>
            <w:tcW w:w="3840" w:type="dxa"/>
            <w:vAlign w:val="bottom"/>
          </w:tcPr>
          <w:p>
            <w:pPr>
              <w:ind w:left="1300"/>
              <w:spacing w:after="0"/>
              <w:rPr>
                <w:sz w:val="20"/>
                <w:szCs w:val="20"/>
                <w:color w:val="auto"/>
              </w:rPr>
            </w:pPr>
            <w:r>
              <w:rPr>
                <w:rFonts w:ascii="Arial" w:cs="Arial" w:eastAsia="Arial" w:hAnsi="Arial"/>
                <w:sz w:val="22"/>
                <w:szCs w:val="22"/>
                <w:color w:val="auto"/>
              </w:rPr>
              <w:t>SCHEDULE 1.01(a)-</w:t>
            </w:r>
          </w:p>
        </w:tc>
        <w:tc>
          <w:tcPr>
            <w:tcW w:w="5120" w:type="dxa"/>
            <w:vAlign w:val="bottom"/>
          </w:tcPr>
          <w:p>
            <w:pPr>
              <w:ind w:left="20"/>
              <w:spacing w:after="0"/>
              <w:rPr>
                <w:sz w:val="20"/>
                <w:szCs w:val="20"/>
                <w:color w:val="auto"/>
              </w:rPr>
            </w:pPr>
            <w:r>
              <w:rPr>
                <w:rFonts w:ascii="Arial" w:cs="Arial" w:eastAsia="Arial" w:hAnsi="Arial"/>
                <w:sz w:val="22"/>
                <w:szCs w:val="22"/>
                <w:color w:val="auto"/>
              </w:rPr>
              <w:t>Approved Dealers and Approved Pricing Services</w:t>
            </w:r>
          </w:p>
        </w:tc>
        <w:tc>
          <w:tcPr>
            <w:tcW w:w="2280" w:type="dxa"/>
            <w:vAlign w:val="bottom"/>
          </w:tcPr>
          <w:p>
            <w:pPr>
              <w:spacing w:after="0"/>
              <w:rPr>
                <w:sz w:val="24"/>
                <w:szCs w:val="24"/>
                <w:color w:val="auto"/>
              </w:rPr>
            </w:pPr>
          </w:p>
        </w:tc>
      </w:tr>
      <w:tr>
        <w:trPr>
          <w:trHeight w:val="243"/>
        </w:trPr>
        <w:tc>
          <w:tcPr>
            <w:tcW w:w="3840" w:type="dxa"/>
            <w:vAlign w:val="bottom"/>
          </w:tcPr>
          <w:p>
            <w:pPr>
              <w:ind w:left="1300"/>
              <w:spacing w:after="0" w:line="243" w:lineRule="exact"/>
              <w:rPr>
                <w:sz w:val="20"/>
                <w:szCs w:val="20"/>
                <w:color w:val="auto"/>
              </w:rPr>
            </w:pPr>
            <w:r>
              <w:rPr>
                <w:rFonts w:ascii="Arial" w:cs="Arial" w:eastAsia="Arial" w:hAnsi="Arial"/>
                <w:sz w:val="22"/>
                <w:szCs w:val="22"/>
                <w:color w:val="auto"/>
              </w:rPr>
              <w:t>SCHEDULE 1.01(b)-</w:t>
            </w:r>
          </w:p>
        </w:tc>
        <w:tc>
          <w:tcPr>
            <w:tcW w:w="5120" w:type="dxa"/>
            <w:vAlign w:val="bottom"/>
          </w:tcPr>
          <w:p>
            <w:pPr>
              <w:ind w:left="20"/>
              <w:spacing w:after="0" w:line="243" w:lineRule="exact"/>
              <w:rPr>
                <w:sz w:val="20"/>
                <w:szCs w:val="20"/>
                <w:color w:val="auto"/>
              </w:rPr>
            </w:pPr>
            <w:r>
              <w:rPr>
                <w:rFonts w:ascii="Arial" w:cs="Arial" w:eastAsia="Arial" w:hAnsi="Arial"/>
                <w:sz w:val="22"/>
                <w:szCs w:val="22"/>
                <w:color w:val="auto"/>
              </w:rPr>
              <w:t>Commitments</w:t>
            </w:r>
          </w:p>
        </w:tc>
        <w:tc>
          <w:tcPr>
            <w:tcW w:w="2280" w:type="dxa"/>
            <w:vAlign w:val="bottom"/>
          </w:tcPr>
          <w:p>
            <w:pPr>
              <w:spacing w:after="0"/>
              <w:rPr>
                <w:sz w:val="21"/>
                <w:szCs w:val="21"/>
                <w:color w:val="auto"/>
              </w:rPr>
            </w:pPr>
          </w:p>
        </w:tc>
      </w:tr>
      <w:tr>
        <w:trPr>
          <w:trHeight w:val="243"/>
        </w:trPr>
        <w:tc>
          <w:tcPr>
            <w:tcW w:w="3840" w:type="dxa"/>
            <w:vAlign w:val="bottom"/>
          </w:tcPr>
          <w:p>
            <w:pPr>
              <w:ind w:left="1300"/>
              <w:spacing w:after="0" w:line="243" w:lineRule="exact"/>
              <w:rPr>
                <w:sz w:val="20"/>
                <w:szCs w:val="20"/>
                <w:color w:val="auto"/>
              </w:rPr>
            </w:pPr>
            <w:r>
              <w:rPr>
                <w:rFonts w:ascii="Arial" w:cs="Arial" w:eastAsia="Arial" w:hAnsi="Arial"/>
                <w:sz w:val="22"/>
                <w:szCs w:val="22"/>
                <w:color w:val="auto"/>
              </w:rPr>
              <w:t>SCHEDULE 1.01(c)-</w:t>
            </w:r>
          </w:p>
        </w:tc>
        <w:tc>
          <w:tcPr>
            <w:tcW w:w="5120" w:type="dxa"/>
            <w:vAlign w:val="bottom"/>
          </w:tcPr>
          <w:p>
            <w:pPr>
              <w:ind w:left="20"/>
              <w:spacing w:after="0" w:line="243" w:lineRule="exact"/>
              <w:rPr>
                <w:sz w:val="20"/>
                <w:szCs w:val="20"/>
                <w:color w:val="auto"/>
              </w:rPr>
            </w:pPr>
            <w:r>
              <w:rPr>
                <w:rFonts w:ascii="Arial" w:cs="Arial" w:eastAsia="Arial" w:hAnsi="Arial"/>
                <w:sz w:val="22"/>
                <w:szCs w:val="22"/>
                <w:color w:val="auto"/>
              </w:rPr>
              <w:t>Industry Classification Group List</w:t>
            </w:r>
          </w:p>
        </w:tc>
        <w:tc>
          <w:tcPr>
            <w:tcW w:w="2280" w:type="dxa"/>
            <w:vAlign w:val="bottom"/>
          </w:tcPr>
          <w:p>
            <w:pPr>
              <w:spacing w:after="0"/>
              <w:rPr>
                <w:sz w:val="21"/>
                <w:szCs w:val="21"/>
                <w:color w:val="auto"/>
              </w:rPr>
            </w:pPr>
          </w:p>
        </w:tc>
      </w:tr>
      <w:tr>
        <w:trPr>
          <w:trHeight w:val="243"/>
        </w:trPr>
        <w:tc>
          <w:tcPr>
            <w:tcW w:w="3840" w:type="dxa"/>
            <w:vAlign w:val="bottom"/>
          </w:tcPr>
          <w:p>
            <w:pPr>
              <w:ind w:left="1300"/>
              <w:spacing w:after="0" w:line="243" w:lineRule="exact"/>
              <w:rPr>
                <w:sz w:val="20"/>
                <w:szCs w:val="20"/>
                <w:color w:val="auto"/>
              </w:rPr>
            </w:pPr>
            <w:r>
              <w:rPr>
                <w:rFonts w:ascii="Arial" w:cs="Arial" w:eastAsia="Arial" w:hAnsi="Arial"/>
                <w:sz w:val="22"/>
                <w:szCs w:val="22"/>
                <w:color w:val="auto"/>
              </w:rPr>
              <w:t>SCHEDULE 3.11-</w:t>
            </w:r>
          </w:p>
        </w:tc>
        <w:tc>
          <w:tcPr>
            <w:tcW w:w="5120" w:type="dxa"/>
            <w:vAlign w:val="bottom"/>
          </w:tcPr>
          <w:p>
            <w:pPr>
              <w:ind w:left="20"/>
              <w:spacing w:after="0" w:line="243" w:lineRule="exact"/>
              <w:rPr>
                <w:sz w:val="20"/>
                <w:szCs w:val="20"/>
                <w:color w:val="auto"/>
              </w:rPr>
            </w:pPr>
            <w:r>
              <w:rPr>
                <w:rFonts w:ascii="Arial" w:cs="Arial" w:eastAsia="Arial" w:hAnsi="Arial"/>
                <w:sz w:val="22"/>
                <w:szCs w:val="22"/>
                <w:color w:val="auto"/>
              </w:rPr>
              <w:t>Material Agreements and Liens</w:t>
            </w:r>
          </w:p>
        </w:tc>
        <w:tc>
          <w:tcPr>
            <w:tcW w:w="2280" w:type="dxa"/>
            <w:vAlign w:val="bottom"/>
          </w:tcPr>
          <w:p>
            <w:pPr>
              <w:spacing w:after="0"/>
              <w:rPr>
                <w:sz w:val="21"/>
                <w:szCs w:val="21"/>
                <w:color w:val="auto"/>
              </w:rPr>
            </w:pPr>
          </w:p>
        </w:tc>
      </w:tr>
      <w:tr>
        <w:trPr>
          <w:trHeight w:val="243"/>
        </w:trPr>
        <w:tc>
          <w:tcPr>
            <w:tcW w:w="3840" w:type="dxa"/>
            <w:vAlign w:val="bottom"/>
          </w:tcPr>
          <w:p>
            <w:pPr>
              <w:ind w:left="1300"/>
              <w:spacing w:after="0" w:line="243" w:lineRule="exact"/>
              <w:rPr>
                <w:sz w:val="20"/>
                <w:szCs w:val="20"/>
                <w:color w:val="auto"/>
              </w:rPr>
            </w:pPr>
            <w:r>
              <w:rPr>
                <w:rFonts w:ascii="Arial" w:cs="Arial" w:eastAsia="Arial" w:hAnsi="Arial"/>
                <w:sz w:val="22"/>
                <w:szCs w:val="22"/>
                <w:color w:val="auto"/>
              </w:rPr>
              <w:t>SCHEDULE 3.12(a)-</w:t>
            </w:r>
          </w:p>
        </w:tc>
        <w:tc>
          <w:tcPr>
            <w:tcW w:w="5120" w:type="dxa"/>
            <w:vAlign w:val="bottom"/>
          </w:tcPr>
          <w:p>
            <w:pPr>
              <w:ind w:left="20"/>
              <w:spacing w:after="0" w:line="243" w:lineRule="exact"/>
              <w:rPr>
                <w:sz w:val="20"/>
                <w:szCs w:val="20"/>
                <w:color w:val="auto"/>
              </w:rPr>
            </w:pPr>
            <w:r>
              <w:rPr>
                <w:rFonts w:ascii="Arial" w:cs="Arial" w:eastAsia="Arial" w:hAnsi="Arial"/>
                <w:sz w:val="22"/>
                <w:szCs w:val="22"/>
                <w:color w:val="auto"/>
              </w:rPr>
              <w:t>Subsidiaries</w:t>
            </w:r>
          </w:p>
        </w:tc>
        <w:tc>
          <w:tcPr>
            <w:tcW w:w="2280" w:type="dxa"/>
            <w:vAlign w:val="bottom"/>
          </w:tcPr>
          <w:p>
            <w:pPr>
              <w:spacing w:after="0"/>
              <w:rPr>
                <w:sz w:val="21"/>
                <w:szCs w:val="21"/>
                <w:color w:val="auto"/>
              </w:rPr>
            </w:pPr>
          </w:p>
        </w:tc>
      </w:tr>
      <w:tr>
        <w:trPr>
          <w:trHeight w:val="243"/>
        </w:trPr>
        <w:tc>
          <w:tcPr>
            <w:tcW w:w="3840" w:type="dxa"/>
            <w:vAlign w:val="bottom"/>
          </w:tcPr>
          <w:p>
            <w:pPr>
              <w:ind w:left="1300"/>
              <w:spacing w:after="0" w:line="243" w:lineRule="exact"/>
              <w:rPr>
                <w:sz w:val="20"/>
                <w:szCs w:val="20"/>
                <w:color w:val="auto"/>
              </w:rPr>
            </w:pPr>
            <w:r>
              <w:rPr>
                <w:rFonts w:ascii="Arial" w:cs="Arial" w:eastAsia="Arial" w:hAnsi="Arial"/>
                <w:sz w:val="22"/>
                <w:szCs w:val="22"/>
                <w:color w:val="auto"/>
              </w:rPr>
              <w:t>SCHEDULE 3.12(b)-</w:t>
            </w:r>
          </w:p>
        </w:tc>
        <w:tc>
          <w:tcPr>
            <w:tcW w:w="5120" w:type="dxa"/>
            <w:vAlign w:val="bottom"/>
          </w:tcPr>
          <w:p>
            <w:pPr>
              <w:ind w:left="20"/>
              <w:spacing w:after="0" w:line="243" w:lineRule="exact"/>
              <w:rPr>
                <w:sz w:val="20"/>
                <w:szCs w:val="20"/>
                <w:color w:val="auto"/>
              </w:rPr>
            </w:pPr>
            <w:r>
              <w:rPr>
                <w:rFonts w:ascii="Arial" w:cs="Arial" w:eastAsia="Arial" w:hAnsi="Arial"/>
                <w:sz w:val="22"/>
                <w:szCs w:val="22"/>
                <w:color w:val="auto"/>
              </w:rPr>
              <w:t>Investments</w:t>
            </w:r>
          </w:p>
        </w:tc>
        <w:tc>
          <w:tcPr>
            <w:tcW w:w="2280" w:type="dxa"/>
            <w:vAlign w:val="bottom"/>
          </w:tcPr>
          <w:p>
            <w:pPr>
              <w:spacing w:after="0"/>
              <w:rPr>
                <w:sz w:val="21"/>
                <w:szCs w:val="21"/>
                <w:color w:val="auto"/>
              </w:rPr>
            </w:pPr>
          </w:p>
        </w:tc>
      </w:tr>
      <w:tr>
        <w:trPr>
          <w:trHeight w:val="274"/>
        </w:trPr>
        <w:tc>
          <w:tcPr>
            <w:tcW w:w="3840" w:type="dxa"/>
            <w:vAlign w:val="bottom"/>
          </w:tcPr>
          <w:p>
            <w:pPr>
              <w:ind w:left="1300"/>
              <w:spacing w:after="0"/>
              <w:rPr>
                <w:sz w:val="20"/>
                <w:szCs w:val="20"/>
                <w:color w:val="auto"/>
              </w:rPr>
            </w:pPr>
            <w:r>
              <w:rPr>
                <w:rFonts w:ascii="Arial" w:cs="Arial" w:eastAsia="Arial" w:hAnsi="Arial"/>
                <w:sz w:val="22"/>
                <w:szCs w:val="22"/>
                <w:color w:val="auto"/>
              </w:rPr>
              <w:t>SCHEDULE 6.08-</w:t>
            </w:r>
          </w:p>
        </w:tc>
        <w:tc>
          <w:tcPr>
            <w:tcW w:w="5120" w:type="dxa"/>
            <w:vAlign w:val="bottom"/>
          </w:tcPr>
          <w:p>
            <w:pPr>
              <w:ind w:left="20"/>
              <w:spacing w:after="0"/>
              <w:rPr>
                <w:sz w:val="20"/>
                <w:szCs w:val="20"/>
                <w:color w:val="auto"/>
              </w:rPr>
            </w:pPr>
            <w:r>
              <w:rPr>
                <w:rFonts w:ascii="Arial" w:cs="Arial" w:eastAsia="Arial" w:hAnsi="Arial"/>
                <w:sz w:val="22"/>
                <w:szCs w:val="22"/>
                <w:color w:val="auto"/>
              </w:rPr>
              <w:t>Transactions with Affiliates</w:t>
            </w:r>
          </w:p>
        </w:tc>
        <w:tc>
          <w:tcPr>
            <w:tcW w:w="2280" w:type="dxa"/>
            <w:vAlign w:val="bottom"/>
          </w:tcPr>
          <w:p>
            <w:pPr>
              <w:spacing w:after="0"/>
              <w:rPr>
                <w:sz w:val="23"/>
                <w:szCs w:val="23"/>
                <w:color w:val="auto"/>
              </w:rPr>
            </w:pPr>
          </w:p>
        </w:tc>
      </w:tr>
      <w:tr>
        <w:trPr>
          <w:trHeight w:val="455"/>
        </w:trPr>
        <w:tc>
          <w:tcPr>
            <w:tcW w:w="3840" w:type="dxa"/>
            <w:vAlign w:val="bottom"/>
          </w:tcPr>
          <w:p>
            <w:pPr>
              <w:ind w:left="1300"/>
              <w:spacing w:after="0"/>
              <w:rPr>
                <w:sz w:val="20"/>
                <w:szCs w:val="20"/>
                <w:color w:val="auto"/>
              </w:rPr>
            </w:pPr>
            <w:r>
              <w:rPr>
                <w:rFonts w:ascii="Arial" w:cs="Arial" w:eastAsia="Arial" w:hAnsi="Arial"/>
                <w:sz w:val="22"/>
                <w:szCs w:val="22"/>
                <w:color w:val="auto"/>
              </w:rPr>
              <w:t>EXHIBIT A -</w:t>
            </w:r>
          </w:p>
        </w:tc>
        <w:tc>
          <w:tcPr>
            <w:tcW w:w="5120" w:type="dxa"/>
            <w:vAlign w:val="bottom"/>
          </w:tcPr>
          <w:p>
            <w:pPr>
              <w:ind w:left="20"/>
              <w:spacing w:after="0"/>
              <w:rPr>
                <w:sz w:val="20"/>
                <w:szCs w:val="20"/>
                <w:color w:val="auto"/>
              </w:rPr>
            </w:pPr>
            <w:r>
              <w:rPr>
                <w:rFonts w:ascii="Arial" w:cs="Arial" w:eastAsia="Arial" w:hAnsi="Arial"/>
                <w:sz w:val="22"/>
                <w:szCs w:val="22"/>
                <w:color w:val="auto"/>
              </w:rPr>
              <w:t>Form of Assignment and Assumption</w:t>
            </w:r>
          </w:p>
        </w:tc>
        <w:tc>
          <w:tcPr>
            <w:tcW w:w="2280" w:type="dxa"/>
            <w:vAlign w:val="bottom"/>
          </w:tcPr>
          <w:p>
            <w:pPr>
              <w:spacing w:after="0"/>
              <w:rPr>
                <w:sz w:val="24"/>
                <w:szCs w:val="24"/>
                <w:color w:val="auto"/>
              </w:rPr>
            </w:pPr>
          </w:p>
        </w:tc>
      </w:tr>
      <w:tr>
        <w:trPr>
          <w:trHeight w:val="274"/>
        </w:trPr>
        <w:tc>
          <w:tcPr>
            <w:tcW w:w="3840" w:type="dxa"/>
            <w:vAlign w:val="bottom"/>
          </w:tcPr>
          <w:p>
            <w:pPr>
              <w:ind w:left="1300"/>
              <w:spacing w:after="0"/>
              <w:rPr>
                <w:sz w:val="20"/>
                <w:szCs w:val="20"/>
                <w:color w:val="auto"/>
              </w:rPr>
            </w:pPr>
            <w:r>
              <w:rPr>
                <w:rFonts w:ascii="Arial" w:cs="Arial" w:eastAsia="Arial" w:hAnsi="Arial"/>
                <w:sz w:val="22"/>
                <w:szCs w:val="22"/>
                <w:color w:val="auto"/>
              </w:rPr>
              <w:t>EXHIBIT B-</w:t>
            </w:r>
          </w:p>
        </w:tc>
        <w:tc>
          <w:tcPr>
            <w:tcW w:w="5120" w:type="dxa"/>
            <w:vAlign w:val="bottom"/>
          </w:tcPr>
          <w:p>
            <w:pPr>
              <w:ind w:left="20"/>
              <w:spacing w:after="0"/>
              <w:rPr>
                <w:sz w:val="20"/>
                <w:szCs w:val="20"/>
                <w:color w:val="auto"/>
              </w:rPr>
            </w:pPr>
            <w:r>
              <w:rPr>
                <w:rFonts w:ascii="Arial" w:cs="Arial" w:eastAsia="Arial" w:hAnsi="Arial"/>
                <w:sz w:val="22"/>
                <w:szCs w:val="22"/>
                <w:color w:val="auto"/>
              </w:rPr>
              <w:t>Form of Borrowing Base Certificate</w:t>
            </w:r>
          </w:p>
        </w:tc>
        <w:tc>
          <w:tcPr>
            <w:tcW w:w="2280" w:type="dxa"/>
            <w:vAlign w:val="bottom"/>
          </w:tcPr>
          <w:p>
            <w:pPr>
              <w:spacing w:after="0"/>
              <w:rPr>
                <w:sz w:val="23"/>
                <w:szCs w:val="23"/>
                <w:color w:val="auto"/>
              </w:rPr>
            </w:pPr>
          </w:p>
        </w:tc>
      </w:tr>
      <w:tr>
        <w:trPr>
          <w:trHeight w:val="105"/>
        </w:trPr>
        <w:tc>
          <w:tcPr>
            <w:tcW w:w="3840" w:type="dxa"/>
            <w:vAlign w:val="bottom"/>
            <w:tcBorders>
              <w:bottom w:val="single" w:sz="8" w:color="9A9A9A"/>
            </w:tcBorders>
          </w:tcPr>
          <w:p>
            <w:pPr>
              <w:spacing w:after="0"/>
              <w:rPr>
                <w:sz w:val="9"/>
                <w:szCs w:val="9"/>
                <w:color w:val="auto"/>
              </w:rPr>
            </w:pPr>
          </w:p>
        </w:tc>
        <w:tc>
          <w:tcPr>
            <w:tcW w:w="512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75"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SENIOR SECURED REVOLVING CREDIT AGREEMENT dated as of June 25, 2007 (this "</w:t>
      </w:r>
      <w:r>
        <w:rPr>
          <w:rFonts w:ascii="Arial" w:cs="Arial" w:eastAsia="Arial" w:hAnsi="Arial"/>
          <w:sz w:val="22"/>
          <w:szCs w:val="22"/>
          <w:u w:val="single" w:color="auto"/>
          <w:color w:val="auto"/>
        </w:rPr>
        <w:t>Agreement</w:t>
      </w:r>
      <w:r>
        <w:rPr>
          <w:rFonts w:ascii="Arial" w:cs="Arial" w:eastAsia="Arial" w:hAnsi="Arial"/>
          <w:sz w:val="22"/>
          <w:szCs w:val="22"/>
          <w:color w:val="auto"/>
        </w:rPr>
        <w:t>"), among PENNANTPARK INVESTMENT CORPORATION, a Maryland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LENDERS party hereto, and SUNTRUST BANK, as Administrative Agent.</w:t>
      </w:r>
    </w:p>
    <w:p>
      <w:pPr>
        <w:spacing w:after="0" w:line="186"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The Borrower has requested that the Lenders (as defined herein) extend credit to the Borrower in an initial aggregate principal amount not exceeding $300,000,000 outstanding. The Lenders are prepared to extend such credit upon the terms and conditions hereof, and, accordingly, the parties hereto agree as follows:</w:t>
      </w:r>
    </w:p>
    <w:p>
      <w:pPr>
        <w:spacing w:after="0" w:line="186"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I</w:t>
      </w:r>
    </w:p>
    <w:p>
      <w:pPr>
        <w:spacing w:after="0" w:line="206" w:lineRule="exact"/>
        <w:rPr>
          <w:sz w:val="20"/>
          <w:szCs w:val="20"/>
          <w:color w:val="auto"/>
        </w:rPr>
      </w:pPr>
    </w:p>
    <w:p>
      <w:pPr>
        <w:ind w:left="4960"/>
        <w:spacing w:after="0"/>
        <w:rPr>
          <w:sz w:val="20"/>
          <w:szCs w:val="20"/>
          <w:color w:val="auto"/>
        </w:rPr>
      </w:pPr>
      <w:r>
        <w:rPr>
          <w:rFonts w:ascii="Arial" w:cs="Arial" w:eastAsia="Arial" w:hAnsi="Arial"/>
          <w:sz w:val="22"/>
          <w:szCs w:val="22"/>
          <w:u w:val="single" w:color="auto"/>
          <w:color w:val="auto"/>
        </w:rPr>
        <w:t>DEFINITIONS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Defined Terms</w:t>
      </w:r>
      <w:r>
        <w:rPr>
          <w:rFonts w:ascii="Arial" w:cs="Arial" w:eastAsia="Arial" w:hAnsi="Arial"/>
          <w:sz w:val="22"/>
          <w:szCs w:val="22"/>
          <w:color w:val="auto"/>
        </w:rPr>
        <w:t>. As used in this Agreement, the following terms have the meanings specified below:</w:t>
      </w:r>
    </w:p>
    <w:p>
      <w:pPr>
        <w:spacing w:after="0" w:line="206" w:lineRule="exact"/>
        <w:rPr>
          <w:sz w:val="20"/>
          <w:szCs w:val="20"/>
          <w:color w:val="auto"/>
        </w:rPr>
      </w:pPr>
    </w:p>
    <w:p>
      <w:pPr>
        <w:ind w:right="82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ABR</w:t>
      </w:r>
      <w:r>
        <w:rPr>
          <w:rFonts w:ascii="Arial" w:cs="Arial" w:eastAsia="Arial" w:hAnsi="Arial"/>
          <w:sz w:val="19"/>
          <w:szCs w:val="19"/>
          <w:color w:val="auto"/>
        </w:rPr>
        <w:t>", when used in reference to any Loan or Borrowing, refers to whether such Loan, or the Loans constituting such Borrowing, are denominated in Dollars and bearing interest at a rate determined by reference to the Alternate Base Rate.</w:t>
      </w:r>
    </w:p>
    <w:p>
      <w:pPr>
        <w:spacing w:after="0" w:line="105"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Borrowing Base</w:t>
      </w:r>
      <w:r>
        <w:rPr>
          <w:rFonts w:ascii="Arial" w:cs="Arial" w:eastAsia="Arial" w:hAnsi="Arial"/>
          <w:sz w:val="22"/>
          <w:szCs w:val="22"/>
          <w:color w:val="auto"/>
        </w:rPr>
        <w:t xml:space="preserve">" means the Borrowing Base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aggregate amount of Cash and Cash Equivalents included in the Portfolio Investments held by the Obligors.</w:t>
      </w:r>
    </w:p>
    <w:p>
      <w:pPr>
        <w:spacing w:after="0" w:line="175" w:lineRule="exact"/>
        <w:rPr>
          <w:sz w:val="20"/>
          <w:szCs w:val="20"/>
          <w:color w:val="auto"/>
        </w:rPr>
      </w:pPr>
    </w:p>
    <w:p>
      <w:pPr>
        <w:ind w:righ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Covered Debt Balance</w:t>
      </w:r>
      <w:r>
        <w:rPr>
          <w:rFonts w:ascii="Arial" w:cs="Arial" w:eastAsia="Arial" w:hAnsi="Arial"/>
          <w:sz w:val="22"/>
          <w:szCs w:val="22"/>
          <w:color w:val="auto"/>
        </w:rPr>
        <w:t xml:space="preserve">" means, on any date, the aggregate Covered Debt Amount on such date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aggregate amount of Cash and Cash Equivalents included in the Portfolio Investments held by the Obligors (excluding any cash held by the Administrative Agent pursuant to Section 2.05(k)).</w:t>
      </w:r>
    </w:p>
    <w:p>
      <w:pPr>
        <w:spacing w:after="0" w:line="186"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LIBO Rate</w:t>
      </w:r>
      <w:r>
        <w:rPr>
          <w:rFonts w:ascii="Arial" w:cs="Arial" w:eastAsia="Arial" w:hAnsi="Arial"/>
          <w:sz w:val="22"/>
          <w:szCs w:val="22"/>
          <w:color w:val="auto"/>
        </w:rPr>
        <w:t xml:space="preserve">" means, for the Interest Period for any Eurocurrency Borrowing, an interest rate per annum (rounded upwards, if necessary, to the next 1/16 of 1%) equal to (a) the LIBO Rate for such Interest Period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(b) the Statutory Reserve Rate for such Interest Period.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means SunTrust, in its capacity as administrative agent for the Lenders hereunder.</w:t>
      </w:r>
    </w:p>
    <w:p>
      <w:pPr>
        <w:sectPr>
          <w:pgSz w:w="11900" w:h="16838" w:orient="portrait"/>
          <w:cols w:equalWidth="0" w:num="1">
            <w:col w:w="11240"/>
          </w:cols>
          <w:pgMar w:left="320" w:top="108" w:right="339" w:bottom="0" w:gutter="0" w:footer="0" w:header="0"/>
        </w:sectPr>
      </w:pPr>
    </w:p>
    <w:bookmarkStart w:id="6" w:name="page7"/>
    <w:bookmarkEnd w:id="6"/>
    <w:p>
      <w:pPr>
        <w:ind w:right="96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Agent's Account</w:t>
      </w:r>
      <w:r>
        <w:rPr>
          <w:rFonts w:ascii="Arial" w:cs="Arial" w:eastAsia="Arial" w:hAnsi="Arial"/>
          <w:sz w:val="22"/>
          <w:szCs w:val="22"/>
          <w:color w:val="auto"/>
        </w:rPr>
        <w:t>" means, for each Currency, an account in respect of such Currency designated by the Administrative Agent in a notice to the Borrower and the Lenders.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Administrative Questionnaire</w:t>
      </w:r>
      <w:r>
        <w:rPr>
          <w:rFonts w:ascii="Arial" w:cs="Arial" w:eastAsia="Arial" w:hAnsi="Arial"/>
          <w:sz w:val="21"/>
          <w:szCs w:val="21"/>
          <w:color w:val="auto"/>
        </w:rPr>
        <w:t>" means an Administrative Questionnaire in a form supplied by the Administrative Agent.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 Rate</w:t>
      </w:r>
      <w:r>
        <w:rPr>
          <w:rFonts w:ascii="Arial" w:cs="Arial" w:eastAsia="Arial" w:hAnsi="Arial"/>
          <w:sz w:val="22"/>
          <w:szCs w:val="22"/>
          <w:color w:val="auto"/>
        </w:rPr>
        <w:t>" has the meaning assigned to such term in Section 5.13.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Currency</w:t>
      </w:r>
      <w:r>
        <w:rPr>
          <w:rFonts w:ascii="Arial" w:cs="Arial" w:eastAsia="Arial" w:hAnsi="Arial"/>
          <w:sz w:val="22"/>
          <w:szCs w:val="22"/>
          <w:color w:val="auto"/>
        </w:rPr>
        <w:t>" has the meaning assigned to such term in Section 2.13.</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 "Affiliate" shall not include any Person that constitutes an Investment held by the Borrower in the ordinary course of business.</w:t>
      </w:r>
    </w:p>
    <w:p>
      <w:pPr>
        <w:spacing w:after="0" w:line="185"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 Agreements</w:t>
      </w:r>
      <w:r>
        <w:rPr>
          <w:rFonts w:ascii="Arial" w:cs="Arial" w:eastAsia="Arial" w:hAnsi="Arial"/>
          <w:sz w:val="19"/>
          <w:szCs w:val="19"/>
          <w:color w:val="auto"/>
        </w:rPr>
        <w:t>" means, collectively, (a) the Interim Advisory Management Agreement dated as of January 18, 2007, between the Borrower and PennantPark Investment Advisers, LLC, (b) the Investment Advisory Management Agreement dated as of April 17, 2007, between the Borrower and Pennant Investment Advisers, LLC, (c) the Administration Agreement dated as of April 17, 2007, between the Borrower and PennantPark Investment Administration, LLC, and (d) the Trademark License Agreement dated as of April 15, 2007, between the Borrower and Pennant Investment Advisers, LLC.</w:t>
      </w:r>
    </w:p>
    <w:p>
      <w:pPr>
        <w:spacing w:after="0" w:line="147"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Agreed Foreign Currency</w:t>
      </w:r>
      <w:r>
        <w:rPr>
          <w:rFonts w:ascii="Arial" w:cs="Arial" w:eastAsia="Arial" w:hAnsi="Arial"/>
          <w:sz w:val="19"/>
          <w:szCs w:val="19"/>
          <w:color w:val="auto"/>
        </w:rPr>
        <w:t>" means, at any time, any of Canadian Dollars, English Pounds Sterling, Euros and, with the agreement of each Multicurrency Lender, any other Foreign 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and (c)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means, for any day, a rate per annum equal to the greater of (a) the Prime Rate in effect on such day and</w:t>
      </w:r>
    </w:p>
    <w:p>
      <w:pPr>
        <w:spacing w:after="0" w:line="43" w:lineRule="exact"/>
        <w:rPr>
          <w:sz w:val="20"/>
          <w:szCs w:val="20"/>
          <w:color w:val="auto"/>
        </w:rPr>
      </w:pPr>
    </w:p>
    <w:p>
      <w:pPr>
        <w:ind w:right="220" w:firstLine="8"/>
        <w:spacing w:after="0" w:line="234" w:lineRule="auto"/>
        <w:tabs>
          <w:tab w:leader="none" w:pos="306"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the Federal Funds Effective Rate for such day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1/2 of 1%. Any change in the Alternate Base Rate due to a change in the Prime Rate or the Federal Funds Effective Rate shall be effective from and including the effective date of such change in the Prime Rate or the Federal Funds Effective Rate, as the case may be.</w:t>
      </w:r>
    </w:p>
    <w:p>
      <w:pPr>
        <w:spacing w:after="0" w:line="187"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Dollar Percentage</w:t>
      </w:r>
      <w:r>
        <w:rPr>
          <w:rFonts w:ascii="Arial" w:cs="Arial" w:eastAsia="Arial" w:hAnsi="Arial"/>
          <w:sz w:val="22"/>
          <w:szCs w:val="22"/>
          <w:color w:val="auto"/>
        </w:rPr>
        <w:t>"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w:t>
      </w:r>
    </w:p>
    <w:p>
      <w:pPr>
        <w:spacing w:after="0" w:line="185"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Financial Statements</w:t>
      </w:r>
      <w:r>
        <w:rPr>
          <w:rFonts w:ascii="Arial" w:cs="Arial" w:eastAsia="Arial" w:hAnsi="Arial"/>
          <w:sz w:val="21"/>
          <w:szCs w:val="21"/>
          <w:color w:val="auto"/>
        </w:rPr>
        <w:t xml:space="preserve">" means, as at any date, the most-recent audited financial statements of the Borrower delivered to the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immediately prior to the delivery to the Lenders of new audited financial statements of the Borrower a Material Adverse Change (the "</w:t>
      </w:r>
      <w:r>
        <w:rPr>
          <w:rFonts w:ascii="Arial" w:cs="Arial" w:eastAsia="Arial" w:hAnsi="Arial"/>
          <w:sz w:val="21"/>
          <w:szCs w:val="21"/>
          <w:u w:val="single" w:color="auto"/>
          <w:color w:val="auto"/>
        </w:rPr>
        <w:t>Pre-existing MAC</w:t>
      </w:r>
      <w:r>
        <w:rPr>
          <w:rFonts w:ascii="Arial" w:cs="Arial" w:eastAsia="Arial" w:hAnsi="Arial"/>
          <w:sz w:val="21"/>
          <w:szCs w:val="21"/>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78"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means: (a) with respect to any ABR Loan, 0.00% per annum; and (b) with respect to any Eurocurrency Loan, 1.00% per annum.</w:t>
      </w:r>
    </w:p>
    <w:p>
      <w:pPr>
        <w:spacing w:after="0" w:line="175" w:lineRule="exact"/>
        <w:rPr>
          <w:sz w:val="20"/>
          <w:szCs w:val="20"/>
          <w:color w:val="auto"/>
        </w:rPr>
      </w:pPr>
    </w:p>
    <w:p>
      <w:pPr>
        <w:ind w:right="50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Multicurrency Percentage</w:t>
      </w:r>
      <w:r>
        <w:rPr>
          <w:rFonts w:ascii="Arial" w:cs="Arial" w:eastAsia="Arial" w:hAnsi="Arial"/>
          <w:sz w:val="21"/>
          <w:szCs w:val="21"/>
          <w:color w:val="auto"/>
        </w:rPr>
        <w:t>"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w:t>
      </w:r>
    </w:p>
    <w:p>
      <w:pPr>
        <w:spacing w:after="0" w:line="174" w:lineRule="exact"/>
        <w:rPr>
          <w:sz w:val="20"/>
          <w:szCs w:val="20"/>
          <w:color w:val="auto"/>
        </w:rPr>
      </w:pPr>
    </w:p>
    <w:p>
      <w:pPr>
        <w:ind w:right="22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Percentage</w:t>
      </w:r>
      <w:r>
        <w:rPr>
          <w:rFonts w:ascii="Arial" w:cs="Arial" w:eastAsia="Arial" w:hAnsi="Arial"/>
          <w:sz w:val="21"/>
          <w:szCs w:val="21"/>
          <w:color w:val="auto"/>
        </w:rPr>
        <w:t>" means, with respect to any Lender, the percentage of the total Commitments represented by such Lender's Commitments. If the Commitments have terminated or expired, the Applicable Percentages shall be determined based upon the Commitments most recently in effect, giving effect to any assignments.</w:t>
      </w:r>
    </w:p>
    <w:p>
      <w:pPr>
        <w:spacing w:after="0" w:line="169"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Approved Dealer</w:t>
      </w:r>
      <w:r>
        <w:rPr>
          <w:rFonts w:ascii="Arial" w:cs="Arial" w:eastAsia="Arial" w:hAnsi="Arial"/>
          <w:sz w:val="21"/>
          <w:szCs w:val="21"/>
          <w:color w:val="auto"/>
        </w:rPr>
        <w:t>" means (a) in the case of any Portfolio Investment that is not a U.S. Government Security, a bank or a broker-dealer registered under the Securities Exchange Act of 1934 of nationally recognized standing or an Affiliate thereof (b) in the case of a U.S. Government Security, any primary dealer in U.S. Government Securities, and (c) in the case of any foreign Portfolio Investment, any foreign broker-dealer of internationally recognized standing or an Affiliate thereof, in the case of each of clauses (a), (b) and (c) above, as set forth on Schedule 1.01(a) or any other bank or broker-dealer acceptable to the Administrative Agent in its reasonable determination.</w:t>
      </w:r>
    </w:p>
    <w:p>
      <w:pPr>
        <w:spacing w:after="0" w:line="177"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Pricing Service</w:t>
      </w:r>
      <w:r>
        <w:rPr>
          <w:rFonts w:ascii="Arial" w:cs="Arial" w:eastAsia="Arial" w:hAnsi="Arial"/>
          <w:sz w:val="22"/>
          <w:szCs w:val="22"/>
          <w:color w:val="auto"/>
        </w:rPr>
        <w:t>" means a pricing or quotation service as set forth in Schedule 1.01(a)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ectPr>
          <w:pgSz w:w="11900" w:h="16838" w:orient="portrait"/>
          <w:cols w:equalWidth="0" w:num="1">
            <w:col w:w="11220"/>
          </w:cols>
          <w:pgMar w:left="320" w:top="118" w:right="359" w:bottom="0" w:gutter="0" w:footer="0" w:header="0"/>
        </w:sectPr>
      </w:pPr>
    </w:p>
    <w:bookmarkStart w:id="7" w:name="page8"/>
    <w:bookmarkEnd w:id="7"/>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Third-Party Appraiser</w:t>
      </w:r>
      <w:r>
        <w:rPr>
          <w:rFonts w:ascii="Arial" w:cs="Arial" w:eastAsia="Arial" w:hAnsi="Arial"/>
          <w:sz w:val="19"/>
          <w:szCs w:val="19"/>
          <w:color w:val="auto"/>
        </w:rPr>
        <w:t>" means any Independent nationally recognized third-party appraisal firm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It is understood and agreed that, so long as the same are Independent third-party appraisal firms approved by the Board of Directors of the Borrower, Houlihan Lokey Howard &amp; Zukin Capital, Inc., Duff &amp; Phelps LLC, Murray, Devine and Company and Valuation Research Corporation shall be deemed to be Approved Third-Party Appraisers.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Asset Coverage Ratio</w:t>
      </w:r>
      <w:r>
        <w:rPr>
          <w:rFonts w:ascii="Arial" w:cs="Arial" w:eastAsia="Arial" w:hAnsi="Arial"/>
          <w:sz w:val="19"/>
          <w:szCs w:val="19"/>
          <w:color w:val="auto"/>
        </w:rPr>
        <w:t>" means the ratio, determined on a consolidated basis, without duplication, in accordance with GAAP, of</w:t>
      </w:r>
    </w:p>
    <w:p>
      <w:pPr>
        <w:spacing w:after="0" w:line="43" w:lineRule="exact"/>
        <w:rPr>
          <w:sz w:val="20"/>
          <w:szCs w:val="20"/>
          <w:color w:val="auto"/>
        </w:rPr>
      </w:pPr>
    </w:p>
    <w:p>
      <w:pPr>
        <w:ind w:right="220" w:firstLine="8"/>
        <w:spacing w:after="0" w:line="234" w:lineRule="auto"/>
        <w:tabs>
          <w:tab w:leader="none" w:pos="294"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Value of total assets of the Borrower and its Subsidiaries, less all liabilities (other than Indebtedness, including Indebtedness hereunder) of the Borrower and its Subsidiaries, to (b) the aggregate amount of Indebtedness of the Borrower and its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means an Assignment and Assumption entered into by a Lender and an assignee (with the consent of any party whose consent is required by Section 9.04), and accepted by the Administrative Agent, in the form of Exhibit A or any other form approved by the Administrative Agent.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Assuming Lender</w:t>
      </w:r>
      <w:r>
        <w:rPr>
          <w:rFonts w:ascii="Arial" w:cs="Arial" w:eastAsia="Arial" w:hAnsi="Arial"/>
          <w:sz w:val="22"/>
          <w:szCs w:val="22"/>
          <w:color w:val="auto"/>
        </w:rPr>
        <w:t>" has the meaning assigned to such term in Section 2.08(e).</w:t>
      </w:r>
    </w:p>
    <w:p>
      <w:pPr>
        <w:spacing w:after="0" w:line="206"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color w:val="auto"/>
        </w:rPr>
        <w:t>" means the period from and including the Effective Date to but excluding the earlier of the Commitment Termination Date and the date of termination of the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Governors of the Federal Reserve System of the United States of America.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assigned to such term in the preamble to this Agreement.</w:t>
      </w:r>
    </w:p>
    <w:p>
      <w:pPr>
        <w:spacing w:after="0" w:line="206"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means (a) all Syndicated ABR Loans of the same Class made, converted or continued on the same date, (b) all Eurocurrency Loans of the same Class denominated in the same Currency that have the same Interest Period or (c) a Swingline Loan.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w:t>
      </w:r>
      <w:r>
        <w:rPr>
          <w:rFonts w:ascii="Arial" w:cs="Arial" w:eastAsia="Arial" w:hAnsi="Arial"/>
          <w:sz w:val="22"/>
          <w:szCs w:val="22"/>
          <w:color w:val="auto"/>
        </w:rPr>
        <w:t>" has the meaning assigned to such term in Section 5.13.</w:t>
      </w:r>
    </w:p>
    <w:p>
      <w:pPr>
        <w:spacing w:after="0" w:line="206"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 Certificate</w:t>
      </w:r>
      <w:r>
        <w:rPr>
          <w:rFonts w:ascii="Arial" w:cs="Arial" w:eastAsia="Arial" w:hAnsi="Arial"/>
          <w:sz w:val="22"/>
          <w:szCs w:val="22"/>
          <w:color w:val="auto"/>
        </w:rPr>
        <w:t>" means a certificate of a Financial Officer of the Borrower, substantially in the form of Exhibit B and appropriately completed.</w:t>
      </w:r>
    </w:p>
    <w:p>
      <w:pPr>
        <w:spacing w:after="0" w:line="175"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 Deficiency</w:t>
      </w:r>
      <w:r>
        <w:rPr>
          <w:rFonts w:ascii="Arial" w:cs="Arial" w:eastAsia="Arial" w:hAnsi="Arial"/>
          <w:sz w:val="22"/>
          <w:szCs w:val="22"/>
          <w:color w:val="auto"/>
        </w:rPr>
        <w:t>" means, at any date on which the same is determined, the amount, if any, that (a) the aggregate Covered Debt Amount as of such date exceeds (b) the Borrowing Base as of such date.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 Request</w:t>
      </w:r>
      <w:r>
        <w:rPr>
          <w:rFonts w:ascii="Arial" w:cs="Arial" w:eastAsia="Arial" w:hAnsi="Arial"/>
          <w:sz w:val="21"/>
          <w:szCs w:val="21"/>
          <w:color w:val="auto"/>
        </w:rPr>
        <w:t>" means a request by the Borrower for a Syndicated Borrowing in accordance with Section 2.03.</w:t>
      </w:r>
    </w:p>
    <w:p>
      <w:pPr>
        <w:spacing w:after="0" w:line="218"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(a) that is not a Saturday, Sunday or other day on which commercial banks in Atlanta, Georgia are authorized or required by law to remain closed, (b) if such day relates to a borrowing of, a payment or prepayment of principal of or interest on, a continuation or conversion of or into, or the Interest Period for, a Eurocurrency Borrowing denominated in Dollars, or to a notice by the Borrower with respect to any such borrowing, payment, prepayment, continuation, conversion, or Interest Period, that is also a day on which dealings in deposits denominated in Dollars are carried out in the London interbank market and (c) if such day relates to a borrowing or continuation of, a payment or prepayment of principal of or interest on, or the Interest Period for, any Borrowing denominated in any Foreign Currency, or to a notice by the Borrower with respect to any such borrowing, continuation, payment, prepayment or Interest Period, that is also a day on which co mmercial banks and the London foreign exchange market settle payments in the Principal Financial Center for such Foreign Currency.</w:t>
      </w:r>
    </w:p>
    <w:p>
      <w:pPr>
        <w:spacing w:after="0" w:line="158"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43"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w:t>
      </w:r>
      <w:r>
        <w:rPr>
          <w:rFonts w:ascii="Arial" w:cs="Arial" w:eastAsia="Arial" w:hAnsi="Arial"/>
          <w:sz w:val="22"/>
          <w:szCs w:val="22"/>
          <w:color w:val="auto"/>
        </w:rPr>
        <w:t>" means any immediately available funds in Dollars or in any currency other than Dollars (measured in terms of the Dollar Equivalent thereof) which is a freely convertible currency.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 investments (other than Cash) that are one or more of the following obligations:</w:t>
      </w:r>
    </w:p>
    <w:p>
      <w:pPr>
        <w:spacing w:after="0" w:line="206" w:lineRule="exact"/>
        <w:rPr>
          <w:sz w:val="20"/>
          <w:szCs w:val="20"/>
          <w:color w:val="auto"/>
        </w:rPr>
      </w:pPr>
    </w:p>
    <w:p>
      <w:pPr>
        <w:ind w:left="300" w:hanging="292"/>
        <w:spacing w:after="0"/>
        <w:tabs>
          <w:tab w:leader="none" w:pos="300" w:val="left"/>
        </w:tabs>
        <w:numPr>
          <w:ilvl w:val="0"/>
          <w:numId w:val="8"/>
        </w:numPr>
        <w:rPr>
          <w:rFonts w:ascii="Arial" w:cs="Arial" w:eastAsia="Arial" w:hAnsi="Arial"/>
          <w:sz w:val="22"/>
          <w:szCs w:val="22"/>
          <w:color w:val="auto"/>
        </w:rPr>
      </w:pPr>
      <w:r>
        <w:rPr>
          <w:rFonts w:ascii="Arial" w:cs="Arial" w:eastAsia="Arial" w:hAnsi="Arial"/>
          <w:sz w:val="22"/>
          <w:szCs w:val="22"/>
          <w:color w:val="auto"/>
        </w:rPr>
        <w:t>U.S. Government Securities, in each case maturing within one year from the date of acquisition thereof;</w:t>
      </w:r>
    </w:p>
    <w:p>
      <w:pPr>
        <w:spacing w:after="0" w:line="206" w:lineRule="exact"/>
        <w:rPr>
          <w:rFonts w:ascii="Arial" w:cs="Arial" w:eastAsia="Arial" w:hAnsi="Arial"/>
          <w:sz w:val="22"/>
          <w:szCs w:val="22"/>
          <w:color w:val="auto"/>
        </w:rPr>
      </w:pPr>
    </w:p>
    <w:p>
      <w:pPr>
        <w:ind w:right="300" w:firstLine="8"/>
        <w:spacing w:after="0" w:line="250" w:lineRule="auto"/>
        <w:tabs>
          <w:tab w:leader="none" w:pos="306" w:val="left"/>
        </w:tabs>
        <w:numPr>
          <w:ilvl w:val="0"/>
          <w:numId w:val="8"/>
        </w:numPr>
        <w:rPr>
          <w:rFonts w:ascii="Arial" w:cs="Arial" w:eastAsia="Arial" w:hAnsi="Arial"/>
          <w:sz w:val="22"/>
          <w:szCs w:val="22"/>
          <w:color w:val="auto"/>
        </w:rPr>
      </w:pPr>
      <w:r>
        <w:rPr>
          <w:rFonts w:ascii="Arial" w:cs="Arial" w:eastAsia="Arial" w:hAnsi="Arial"/>
          <w:sz w:val="22"/>
          <w:szCs w:val="22"/>
          <w:color w:val="auto"/>
        </w:rPr>
        <w:t>investments in commercial paper maturing within 270 days from the date of acquisition thereof and having, at such date of acquisition, a credit rating of at least A-1 from S&amp;P and at least P-1 from Moody's;</w:t>
      </w:r>
    </w:p>
    <w:p>
      <w:pPr>
        <w:spacing w:after="0" w:line="174" w:lineRule="exact"/>
        <w:rPr>
          <w:rFonts w:ascii="Arial" w:cs="Arial" w:eastAsia="Arial" w:hAnsi="Arial"/>
          <w:sz w:val="22"/>
          <w:szCs w:val="22"/>
          <w:color w:val="auto"/>
        </w:rPr>
      </w:pPr>
    </w:p>
    <w:p>
      <w:pPr>
        <w:ind w:right="40" w:firstLine="8"/>
        <w:spacing w:after="0" w:line="282" w:lineRule="auto"/>
        <w:tabs>
          <w:tab w:leader="none" w:pos="294" w:val="left"/>
        </w:tabs>
        <w:numPr>
          <w:ilvl w:val="0"/>
          <w:numId w:val="8"/>
        </w:numPr>
        <w:rPr>
          <w:rFonts w:ascii="Arial" w:cs="Arial" w:eastAsia="Arial" w:hAnsi="Arial"/>
          <w:sz w:val="19"/>
          <w:szCs w:val="19"/>
          <w:color w:val="auto"/>
        </w:rPr>
      </w:pPr>
      <w:r>
        <w:rPr>
          <w:rFonts w:ascii="Arial" w:cs="Arial" w:eastAsia="Arial" w:hAnsi="Arial"/>
          <w:sz w:val="19"/>
          <w:szCs w:val="19"/>
          <w:color w:val="auto"/>
        </w:rPr>
        <w:t>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provided that such certificates of deposit, banker's acceptances and time deposits are held in a securities account (as defined in the Uniform Commercial</w:t>
      </w:r>
    </w:p>
    <w:p>
      <w:pPr>
        <w:sectPr>
          <w:pgSz w:w="11900" w:h="16911" w:orient="portrait"/>
          <w:cols w:equalWidth="0" w:num="1">
            <w:col w:w="11220"/>
          </w:cols>
          <w:pgMar w:left="320" w:top="118" w:right="359" w:bottom="0" w:gutter="0" w:footer="0" w:header="0"/>
        </w:sectPr>
      </w:pPr>
    </w:p>
    <w:bookmarkStart w:id="8" w:name="page9"/>
    <w:bookmarkEnd w:id="8"/>
    <w:p>
      <w:pPr>
        <w:spacing w:after="0" w:line="95"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Code) through which the Collateral Agent can perfect a security interest therein and (ii) having, at such date of acquisition, a credit rating of at least A-1 from S&amp;P and at least P-1 from Moody's; and</w:t>
      </w:r>
    </w:p>
    <w:p>
      <w:pPr>
        <w:spacing w:after="0" w:line="173" w:lineRule="exact"/>
        <w:rPr>
          <w:sz w:val="20"/>
          <w:szCs w:val="20"/>
          <w:color w:val="auto"/>
        </w:rPr>
      </w:pPr>
    </w:p>
    <w:p>
      <w:pPr>
        <w:ind w:right="180" w:firstLine="8"/>
        <w:spacing w:after="0" w:line="238" w:lineRule="auto"/>
        <w:tabs>
          <w:tab w:leader="none" w:pos="306" w:val="left"/>
        </w:tabs>
        <w:numPr>
          <w:ilvl w:val="0"/>
          <w:numId w:val="9"/>
        </w:numPr>
        <w:rPr>
          <w:rFonts w:ascii="Arial" w:cs="Arial" w:eastAsia="Arial" w:hAnsi="Arial"/>
          <w:sz w:val="22"/>
          <w:szCs w:val="22"/>
          <w:color w:val="auto"/>
        </w:rPr>
      </w:pPr>
      <w:r>
        <w:rPr>
          <w:rFonts w:ascii="Arial" w:cs="Arial" w:eastAsia="Arial" w:hAnsi="Arial"/>
          <w:sz w:val="22"/>
          <w:szCs w:val="22"/>
          <w:color w:val="auto"/>
        </w:rPr>
        <w:t>fully collateralized repurchase agreements with a term of not more than 30 days from the date of acquisition thereof for U.S. Government Securities and entered into with (i) a financial institution satisfying the criteria described in clause (c) of this definition or (ii) an Approved Dealer having (or being a member of a consolidated group having) at such date of acquisition, a credit rating of at least A-1 from S&amp;P and at least P-1 from Moody's,</w:t>
      </w:r>
    </w:p>
    <w:p>
      <w:pPr>
        <w:spacing w:after="0" w:line="185" w:lineRule="exact"/>
        <w:rPr>
          <w:sz w:val="20"/>
          <w:szCs w:val="20"/>
          <w:color w:val="auto"/>
        </w:rPr>
      </w:pPr>
    </w:p>
    <w:p>
      <w:pPr>
        <w:ind w:right="200"/>
        <w:spacing w:after="0" w:line="27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w:t>
      </w:r>
    </w:p>
    <w:p>
      <w:pPr>
        <w:spacing w:after="0" w:line="1" w:lineRule="exact"/>
        <w:rPr>
          <w:sz w:val="20"/>
          <w:szCs w:val="20"/>
          <w:color w:val="auto"/>
        </w:rPr>
      </w:pPr>
    </w:p>
    <w:p>
      <w:pPr>
        <w:ind w:firstLine="8"/>
        <w:spacing w:after="0" w:line="248" w:lineRule="auto"/>
        <w:tabs>
          <w:tab w:leader="none" w:pos="378" w:val="left"/>
        </w:tabs>
        <w:numPr>
          <w:ilvl w:val="0"/>
          <w:numId w:val="10"/>
        </w:numPr>
        <w:rPr>
          <w:rFonts w:ascii="Arial" w:cs="Arial" w:eastAsia="Arial" w:hAnsi="Arial"/>
          <w:sz w:val="21"/>
          <w:szCs w:val="21"/>
          <w:color w:val="auto"/>
        </w:rPr>
      </w:pPr>
      <w:r>
        <w:rPr>
          <w:rFonts w:ascii="Arial" w:cs="Arial" w:eastAsia="Arial" w:hAnsi="Arial"/>
          <w:sz w:val="21"/>
          <w:szCs w:val="21"/>
          <w:color w:val="auto"/>
        </w:rPr>
        <w:t>Cash Equivalents (other than U.S. Government Securities or repurchase agreements)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or (c) the acquisition of direct or indirect Control of the Borrower by any Person or group other than PennantPark Investment Advisers, LLC.</w:t>
      </w:r>
    </w:p>
    <w:p>
      <w:pPr>
        <w:spacing w:after="0" w:line="152"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the Issuing Bank (or, for purposes of Section 2.14(b), by any lending office of such Lender or by such Lender's or the Issuing Bank's holding company, if any) with any request, guideline or directive (whether or not having the force of law) of any Governmental Authority made or issued after the date of this Agreement.</w:t>
      </w:r>
    </w:p>
    <w:p>
      <w:pPr>
        <w:spacing w:after="0" w:line="147" w:lineRule="exact"/>
        <w:rPr>
          <w:sz w:val="20"/>
          <w:szCs w:val="20"/>
          <w:color w:val="auto"/>
        </w:rPr>
      </w:pPr>
    </w:p>
    <w:p>
      <w:pPr>
        <w:ind w:right="34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w:t>
      </w:r>
      <w:r>
        <w:rPr>
          <w:rFonts w:ascii="Arial" w:cs="Arial" w:eastAsia="Arial" w:hAnsi="Arial"/>
          <w:sz w:val="19"/>
          <w:szCs w:val="19"/>
          <w:color w:val="auto"/>
        </w:rPr>
        <w:t>", when used in reference to any Loan or Borrowing, refers to whether such Loan, or the Loans constituting such Borrowing, are Syndicated Dollar Loans, Syndicated Multicurrency Loans or Swingline Loans; when used in reference to any Lender, refers to whether such Lender is a Dollar Lender or a Multicurrency Lender; and, when used in reference to any Commitment, refers to whether such Commitment is a Dollar Commitment or a Multicurrency Commitment. The "</w:t>
      </w:r>
      <w:r>
        <w:rPr>
          <w:rFonts w:ascii="Arial" w:cs="Arial" w:eastAsia="Arial" w:hAnsi="Arial"/>
          <w:sz w:val="19"/>
          <w:szCs w:val="19"/>
          <w:u w:val="single" w:color="auto"/>
          <w:color w:val="auto"/>
        </w:rPr>
        <w:t>Class</w:t>
      </w:r>
      <w:r>
        <w:rPr>
          <w:rFonts w:ascii="Arial" w:cs="Arial" w:eastAsia="Arial" w:hAnsi="Arial"/>
          <w:sz w:val="19"/>
          <w:szCs w:val="19"/>
          <w:color w:val="auto"/>
        </w:rPr>
        <w:t>" of a Letter of Credit refers to whether such Letter of Credit is a Dollar Letter of Credit or a Multicurrency Letter of Credit.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has the meaning assigned to such term in the Guarantee and Security Agreement.</w:t>
      </w:r>
    </w:p>
    <w:p>
      <w:pPr>
        <w:spacing w:after="0" w:line="206"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means SunTrust in its capacity as Collateral Agent under the Guarantee and Security Agreement, and includes any successor Collateral Agent thereunder.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Commitments</w:t>
      </w:r>
      <w:r>
        <w:rPr>
          <w:rFonts w:ascii="Arial" w:cs="Arial" w:eastAsia="Arial" w:hAnsi="Arial"/>
          <w:sz w:val="22"/>
          <w:szCs w:val="22"/>
          <w:color w:val="auto"/>
        </w:rPr>
        <w:t>" means, collectively, the Dollar Commitments and the Multicurrency Commitments.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Increase</w:t>
      </w:r>
      <w:r>
        <w:rPr>
          <w:rFonts w:ascii="Arial" w:cs="Arial" w:eastAsia="Arial" w:hAnsi="Arial"/>
          <w:sz w:val="22"/>
          <w:szCs w:val="22"/>
          <w:color w:val="auto"/>
        </w:rPr>
        <w:t>" has the meaning assigned to such term in Section 2.08(e).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Increase Date</w:t>
      </w:r>
      <w:r>
        <w:rPr>
          <w:rFonts w:ascii="Arial" w:cs="Arial" w:eastAsia="Arial" w:hAnsi="Arial"/>
          <w:sz w:val="22"/>
          <w:szCs w:val="22"/>
          <w:color w:val="auto"/>
        </w:rPr>
        <w:t>" has the meaning assigned to such term in Section 2.08(e).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Termination Date</w:t>
      </w:r>
      <w:r>
        <w:rPr>
          <w:rFonts w:ascii="Arial" w:cs="Arial" w:eastAsia="Arial" w:hAnsi="Arial"/>
          <w:sz w:val="22"/>
          <w:szCs w:val="22"/>
          <w:color w:val="auto"/>
        </w:rPr>
        <w:t>" means June 25, 2012.</w:t>
      </w:r>
    </w:p>
    <w:p>
      <w:pPr>
        <w:spacing w:after="0" w:line="206"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186"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Debt Amount</w:t>
      </w:r>
      <w:r>
        <w:rPr>
          <w:rFonts w:ascii="Arial" w:cs="Arial" w:eastAsia="Arial" w:hAnsi="Arial"/>
          <w:sz w:val="22"/>
          <w:szCs w:val="22"/>
          <w:color w:val="auto"/>
        </w:rPr>
        <w:t xml:space="preserve">" means, on any date, the sum of (x) all of the Revolving Credit Exposures of all Lenders on such date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(y) the aggregate amount of Other Covered Indebtedness on such date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(z) the LC Exposures fully cash collateralized on such date pursuant to Section 2.05(k).</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Currency</w:t>
      </w:r>
      <w:r>
        <w:rPr>
          <w:rFonts w:ascii="Arial" w:cs="Arial" w:eastAsia="Arial" w:hAnsi="Arial"/>
          <w:sz w:val="22"/>
          <w:szCs w:val="22"/>
          <w:color w:val="auto"/>
        </w:rPr>
        <w:t>" means Dollars or any Foreign Currency.</w:t>
      </w:r>
    </w:p>
    <w:p>
      <w:pPr>
        <w:spacing w:after="0" w:line="206"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which constitutes an Event of Default or which upon notice, lapse of time or both would, unless cured or waived, become an Event of Default.</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Commitment</w:t>
      </w:r>
      <w:r>
        <w:rPr>
          <w:rFonts w:ascii="Arial" w:cs="Arial" w:eastAsia="Arial" w:hAnsi="Arial"/>
          <w:sz w:val="19"/>
          <w:szCs w:val="19"/>
          <w:color w:val="auto"/>
        </w:rPr>
        <w:t>" means, with respect to each Dollar Lender,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from time to time pursuant to Section 2.08 and (b) reduced or increased from time to time pursuant to assignments by or to such Lender pursuant to Section 9.04. The initial amount of each Lender's Dollar Commitment is set forth on Schedule 1.01(b), or in the Assignment and Assumption pursuant to which such Lender shall have assumed its Dollar Commitment, as applicable. The initial aggregate amount of the Lenders' Dollar Commitments is $0.00.</w:t>
      </w:r>
    </w:p>
    <w:p>
      <w:pPr>
        <w:sectPr>
          <w:pgSz w:w="11900" w:h="16934" w:orient="portrait"/>
          <w:cols w:equalWidth="0" w:num="1">
            <w:col w:w="11240"/>
          </w:cols>
          <w:pgMar w:left="320" w:top="118" w:right="339" w:bottom="0" w:gutter="0" w:footer="0" w:header="0"/>
        </w:sectPr>
      </w:pPr>
    </w:p>
    <w:bookmarkStart w:id="9" w:name="page10"/>
    <w:bookmarkEnd w:id="9"/>
    <w:p>
      <w:pPr>
        <w:ind w:right="2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Equivalent</w:t>
      </w:r>
      <w:r>
        <w:rPr>
          <w:rFonts w:ascii="Arial" w:cs="Arial" w:eastAsia="Arial" w:hAnsi="Arial"/>
          <w:sz w:val="19"/>
          <w:szCs w:val="19"/>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143"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LC Exposure</w:t>
      </w:r>
      <w:r>
        <w:rPr>
          <w:rFonts w:ascii="Arial" w:cs="Arial" w:eastAsia="Arial" w:hAnsi="Arial"/>
          <w:sz w:val="22"/>
          <w:szCs w:val="22"/>
          <w:color w:val="auto"/>
        </w:rPr>
        <w:t xml:space="preserve">" means, at any time, the sum of (a) the aggregate undrawn amount of all outstanding Dollar Letters of Credit at such time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85"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Lender</w:t>
      </w:r>
      <w:r>
        <w:rPr>
          <w:rFonts w:ascii="Arial" w:cs="Arial" w:eastAsia="Arial" w:hAnsi="Arial"/>
          <w:sz w:val="22"/>
          <w:szCs w:val="22"/>
          <w:color w:val="auto"/>
        </w:rPr>
        <w:t>" means the Persons listed on Schedule 1.01(b) 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Letters of Credit</w:t>
      </w:r>
      <w:r>
        <w:rPr>
          <w:rFonts w:ascii="Arial" w:cs="Arial" w:eastAsia="Arial" w:hAnsi="Arial"/>
          <w:sz w:val="22"/>
          <w:szCs w:val="22"/>
          <w:color w:val="auto"/>
        </w:rPr>
        <w:t>" means Letters of Credit that utilize the Dollar Commitments.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Loan</w:t>
      </w:r>
      <w:r>
        <w:rPr>
          <w:rFonts w:ascii="Arial" w:cs="Arial" w:eastAsia="Arial" w:hAnsi="Arial"/>
          <w:sz w:val="22"/>
          <w:szCs w:val="22"/>
          <w:color w:val="auto"/>
        </w:rPr>
        <w:t>" means a Loan denominated in Dollars.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refers to lawful money of the United States of America.</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the date on which the conditions specified in Section 4.01 are satisfied (or waived in accordance with Section 9.02).</w:t>
      </w:r>
    </w:p>
    <w:p>
      <w:pPr>
        <w:spacing w:after="0" w:line="175" w:lineRule="exact"/>
        <w:rPr>
          <w:sz w:val="20"/>
          <w:szCs w:val="20"/>
          <w:color w:val="auto"/>
        </w:rPr>
      </w:pPr>
    </w:p>
    <w:p>
      <w:pPr>
        <w:ind w:righ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from time to time.</w:t>
      </w:r>
    </w:p>
    <w:p>
      <w:pPr>
        <w:spacing w:after="0" w:line="206"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86" w:lineRule="exact"/>
        <w:rPr>
          <w:sz w:val="20"/>
          <w:szCs w:val="20"/>
          <w:color w:val="auto"/>
        </w:rPr>
      </w:pPr>
    </w:p>
    <w:p>
      <w:pPr>
        <w:jc w:val="both"/>
        <w:ind w:right="10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w:t>
      </w:r>
    </w:p>
    <w:p>
      <w:pPr>
        <w:spacing w:after="0" w:line="1" w:lineRule="exact"/>
        <w:rPr>
          <w:sz w:val="20"/>
          <w:szCs w:val="20"/>
          <w:color w:val="auto"/>
        </w:rPr>
      </w:pPr>
    </w:p>
    <w:p>
      <w:pPr>
        <w:ind w:firstLine="8"/>
        <w:spacing w:after="0" w:line="243" w:lineRule="auto"/>
        <w:tabs>
          <w:tab w:leader="none" w:pos="294"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84"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w:t>
      </w:r>
      <w:r>
        <w:rPr>
          <w:rFonts w:ascii="Arial" w:cs="Arial" w:eastAsia="Arial" w:hAnsi="Arial"/>
          <w:sz w:val="22"/>
          <w:szCs w:val="22"/>
          <w:color w:val="auto"/>
        </w:rPr>
        <w:t>", when used in reference to any Loan or Borrowing, refers to whether such Loan, or the Loans constituting such Borrowing, are bearing interest at a rate determined by reference to the Adjusted LIBO Rate.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has the meaning assigned to such term in Article VII.</w:t>
      </w:r>
    </w:p>
    <w:p>
      <w:pPr>
        <w:spacing w:after="0" w:line="206"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means, with respect to the Administrative Agent, any Lender, the Issuing Bank or any other recipient of any payment to be made by or on account of any obligation of the Borrower hereunder, (a) income or franchise taxes imposed on (or measured by) its net income by the United States of America, or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of America or any similar tax imposed by any other jurisdiction in which the Borrower is located and (c) in the case of a Foreign Lender (other than an assignee pursuant to a request by the Borrower under Section 2.18(b)), any withholding tax that is imposed on amounts payable to such Foreign Lender at the time such Foreign Lender becomes a party to this Agreement (o r designates a new lending office) or is attributable to such Foreign Lender's failure or inability (other than as a result of a Change in Law) to comply with</w:t>
      </w:r>
    </w:p>
    <w:p>
      <w:pPr>
        <w:spacing w:after="0" w:line="1" w:lineRule="exact"/>
        <w:rPr>
          <w:sz w:val="20"/>
          <w:szCs w:val="20"/>
          <w:color w:val="auto"/>
        </w:rPr>
      </w:pPr>
    </w:p>
    <w:p>
      <w:pPr>
        <w:jc w:val="both"/>
        <w:ind w:right="60"/>
        <w:spacing w:after="0" w:line="248" w:lineRule="auto"/>
        <w:rPr>
          <w:sz w:val="20"/>
          <w:szCs w:val="20"/>
          <w:color w:val="auto"/>
        </w:rPr>
      </w:pPr>
      <w:r>
        <w:rPr>
          <w:rFonts w:ascii="Arial" w:cs="Arial" w:eastAsia="Arial" w:hAnsi="Arial"/>
          <w:sz w:val="21"/>
          <w:szCs w:val="21"/>
          <w:color w:val="auto"/>
        </w:rPr>
        <w:t>Section 2.16(e), except to the extent, other than in a case of failure to comply with Section 2.16(e), that such Foreign Lender's (or its assignor, if any) was entitled, at the time of designation of a new lending office (or assignment), to receive additional amounts from the Borrower with respect to such withholding tax pursuant to Section 2.16(a).</w:t>
      </w:r>
    </w:p>
    <w:p>
      <w:pPr>
        <w:spacing w:after="0" w:line="178"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w:t>
      </w:r>
    </w:p>
    <w:p>
      <w:pPr>
        <w:sectPr>
          <w:pgSz w:w="11900" w:h="16838" w:orient="portrait"/>
          <w:cols w:equalWidth="0" w:num="1">
            <w:col w:w="11240"/>
          </w:cols>
          <w:pgMar w:left="320" w:top="118" w:right="339" w:bottom="0" w:gutter="0" w:footer="0" w:header="0"/>
        </w:sectPr>
      </w:pPr>
    </w:p>
    <w:bookmarkStart w:id="10" w:name="page11"/>
    <w:bookmarkEnd w:id="10"/>
    <w:p>
      <w:pPr>
        <w:ind w:right="940"/>
        <w:spacing w:after="0" w:line="251" w:lineRule="auto"/>
        <w:rPr>
          <w:sz w:val="20"/>
          <w:szCs w:val="20"/>
          <w:color w:val="auto"/>
        </w:rPr>
      </w:pPr>
      <w:r>
        <w:rPr>
          <w:rFonts w:ascii="Arial" w:cs="Arial" w:eastAsia="Arial" w:hAnsi="Arial"/>
          <w:sz w:val="22"/>
          <w:szCs w:val="22"/>
          <w:color w:val="auto"/>
        </w:rPr>
        <w:t>quotations for such day for such transactions received by the Administrative Agent from three Federal funds brokers of recognized standing selected by it.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Financial Officer</w:t>
      </w:r>
      <w:r>
        <w:rPr>
          <w:rFonts w:ascii="Arial" w:cs="Arial" w:eastAsia="Arial" w:hAnsi="Arial"/>
          <w:sz w:val="21"/>
          <w:szCs w:val="21"/>
          <w:color w:val="auto"/>
        </w:rPr>
        <w:t>" means the chief financial officer, principal accounting officer, treasurer or controller of the Borrower.</w:t>
      </w:r>
    </w:p>
    <w:p>
      <w:pPr>
        <w:spacing w:after="0" w:line="218"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Financing Subsidiary</w:t>
      </w:r>
      <w:r>
        <w:rPr>
          <w:rFonts w:ascii="Arial" w:cs="Arial" w:eastAsia="Arial" w:hAnsi="Arial"/>
          <w:sz w:val="22"/>
          <w:szCs w:val="22"/>
          <w:color w:val="auto"/>
        </w:rPr>
        <w:t>" means a direct or indirect Subsidiary of the Borrower to which any Obligor sells, conveys or otherwise transfers (whether directly or indirectly) Portfolio Investments, which engages in no material activities other than in connection with the purchase or financing of such assets and which is designated by the Borrower (as provided below) as a Financing Subsidiary.</w:t>
      </w:r>
    </w:p>
    <w:p>
      <w:pPr>
        <w:spacing w:after="0" w:line="185" w:lineRule="exact"/>
        <w:rPr>
          <w:sz w:val="20"/>
          <w:szCs w:val="20"/>
          <w:color w:val="auto"/>
        </w:rPr>
      </w:pPr>
    </w:p>
    <w:p>
      <w:pPr>
        <w:ind w:right="40" w:firstLine="8"/>
        <w:spacing w:after="0" w:line="236" w:lineRule="auto"/>
        <w:tabs>
          <w:tab w:leader="none" w:pos="294" w:val="left"/>
        </w:tabs>
        <w:numPr>
          <w:ilvl w:val="0"/>
          <w:numId w:val="12"/>
        </w:numPr>
        <w:rPr>
          <w:rFonts w:ascii="Arial" w:cs="Arial" w:eastAsia="Arial" w:hAnsi="Arial"/>
          <w:sz w:val="22"/>
          <w:szCs w:val="22"/>
          <w:color w:val="auto"/>
        </w:rPr>
      </w:pPr>
      <w:r>
        <w:rPr>
          <w:rFonts w:ascii="Arial" w:cs="Arial" w:eastAsia="Arial" w:hAnsi="Arial"/>
          <w:sz w:val="22"/>
          <w:szCs w:val="22"/>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87" w:lineRule="exact"/>
        <w:rPr>
          <w:rFonts w:ascii="Arial" w:cs="Arial" w:eastAsia="Arial" w:hAnsi="Arial"/>
          <w:sz w:val="22"/>
          <w:szCs w:val="22"/>
          <w:color w:val="auto"/>
        </w:rPr>
      </w:pPr>
    </w:p>
    <w:p>
      <w:pPr>
        <w:ind w:right="160" w:firstLine="8"/>
        <w:spacing w:after="0" w:line="257" w:lineRule="auto"/>
        <w:tabs>
          <w:tab w:leader="none" w:pos="306" w:val="left"/>
        </w:tabs>
        <w:numPr>
          <w:ilvl w:val="0"/>
          <w:numId w:val="12"/>
        </w:numPr>
        <w:rPr>
          <w:rFonts w:ascii="Arial" w:cs="Arial" w:eastAsia="Arial" w:hAnsi="Arial"/>
          <w:sz w:val="21"/>
          <w:szCs w:val="21"/>
          <w:color w:val="auto"/>
        </w:rPr>
      </w:pPr>
      <w:r>
        <w:rPr>
          <w:rFonts w:ascii="Arial" w:cs="Arial" w:eastAsia="Arial" w:hAnsi="Arial"/>
          <w:sz w:val="21"/>
          <w:szCs w:val="21"/>
          <w:color w:val="auto"/>
        </w:rPr>
        <w:t>with which no Obligor has any material contract, agreement, arrangement or understanding other than on terms no less favorable to such Obligor than those that might be obtained at the time from Persons that are not Affiliates of any Obligor, other than fees payable in the ordinary course of business in connection with servicing receivables, and</w:t>
      </w:r>
    </w:p>
    <w:p>
      <w:pPr>
        <w:spacing w:after="0" w:line="169" w:lineRule="exact"/>
        <w:rPr>
          <w:rFonts w:ascii="Arial" w:cs="Arial" w:eastAsia="Arial" w:hAnsi="Arial"/>
          <w:sz w:val="21"/>
          <w:szCs w:val="21"/>
          <w:color w:val="auto"/>
        </w:rPr>
      </w:pPr>
    </w:p>
    <w:p>
      <w:pPr>
        <w:ind w:firstLine="8"/>
        <w:spacing w:after="0" w:line="250" w:lineRule="auto"/>
        <w:tabs>
          <w:tab w:leader="none" w:pos="294" w:val="left"/>
        </w:tabs>
        <w:numPr>
          <w:ilvl w:val="0"/>
          <w:numId w:val="12"/>
        </w:numPr>
        <w:rPr>
          <w:rFonts w:ascii="Arial" w:cs="Arial" w:eastAsia="Arial" w:hAnsi="Arial"/>
          <w:sz w:val="22"/>
          <w:szCs w:val="22"/>
          <w:color w:val="auto"/>
        </w:rPr>
      </w:pPr>
      <w:r>
        <w:rPr>
          <w:rFonts w:ascii="Arial" w:cs="Arial" w:eastAsia="Arial" w:hAnsi="Arial"/>
          <w:sz w:val="22"/>
          <w:szCs w:val="22"/>
          <w:color w:val="auto"/>
        </w:rPr>
        <w:t>to which no Obligor has any obligation to maintain or preserve such entity's financial condition or cause such entity to achieve certain levels of operating results.</w:t>
      </w:r>
    </w:p>
    <w:p>
      <w:pPr>
        <w:spacing w:after="0" w:line="175"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 Financing Subsidiary shall be deemed to be a Financing Subsidiary and shall comply with the foregoing requirements of this definition.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Currency</w:t>
      </w:r>
      <w:r>
        <w:rPr>
          <w:rFonts w:ascii="Arial" w:cs="Arial" w:eastAsia="Arial" w:hAnsi="Arial"/>
          <w:sz w:val="22"/>
          <w:szCs w:val="22"/>
          <w:color w:val="auto"/>
        </w:rPr>
        <w:t>" means at any time any Currency other than Dollars.</w:t>
      </w:r>
    </w:p>
    <w:p>
      <w:pPr>
        <w:spacing w:after="0" w:line="206"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Currency Equivalent</w:t>
      </w:r>
      <w:r>
        <w:rPr>
          <w:rFonts w:ascii="Arial" w:cs="Arial" w:eastAsia="Arial" w:hAnsi="Arial"/>
          <w:sz w:val="22"/>
          <w:szCs w:val="22"/>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86" w:lineRule="exact"/>
        <w:rPr>
          <w:sz w:val="20"/>
          <w:szCs w:val="20"/>
          <w:color w:val="auto"/>
        </w:rPr>
      </w:pPr>
    </w:p>
    <w:p>
      <w:pPr>
        <w:jc w:val="both"/>
        <w:ind w:right="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of America.</w:t>
      </w:r>
    </w:p>
    <w:p>
      <w:pPr>
        <w:spacing w:after="0" w:line="20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the government of the United States of America, or of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5"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(d)&amp;n bsp;as an account party in respect of any letter of credit or letter of guaranty issued to support such Indebtedness or obligation; provided, that the term Guarantee shall not include endorsements for collection or deposit in the ordinary course of business.</w:t>
      </w:r>
    </w:p>
    <w:p>
      <w:pPr>
        <w:spacing w:after="0" w:line="161"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 and Security Agreement</w:t>
      </w:r>
      <w:r>
        <w:rPr>
          <w:rFonts w:ascii="Arial" w:cs="Arial" w:eastAsia="Arial" w:hAnsi="Arial"/>
          <w:sz w:val="19"/>
          <w:szCs w:val="19"/>
          <w:color w:val="auto"/>
        </w:rPr>
        <w:t>" means a Guarantee and Security Agreement between the Borrower, the Administrative Agent, each holder (or a representative or trustee therefor) from time to time of any Secured Longer-Term Indebtedness, and the Collateral Agent, as the same shall be modified and supplemented and in effect from time to time.</w:t>
      </w:r>
    </w:p>
    <w:p>
      <w:pPr>
        <w:spacing w:after="0" w:line="134"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 Assumption Agreement</w:t>
      </w:r>
      <w:r>
        <w:rPr>
          <w:rFonts w:ascii="Arial" w:cs="Arial" w:eastAsia="Arial" w:hAnsi="Arial"/>
          <w:sz w:val="22"/>
          <w:szCs w:val="22"/>
          <w:color w:val="auto"/>
        </w:rPr>
        <w:t>" means a Guarantee Assumption Agreement substantially in the form of Exhibit B to the Guarantee and Security Agreement between the Collateral Agent and an entity that pursuant to Section 5.08 is required to become a "Subsidiary Guarantor" under the Guarantee and Security Agreement (with such changes as the Administrative Agent shall request consistent with the requirements of Section 5.08).</w:t>
      </w:r>
    </w:p>
    <w:p>
      <w:pPr>
        <w:spacing w:after="0" w:line="185" w:lineRule="exact"/>
        <w:rPr>
          <w:sz w:val="20"/>
          <w:szCs w:val="20"/>
          <w:color w:val="auto"/>
        </w:rPr>
      </w:pPr>
    </w:p>
    <w:p>
      <w:pPr>
        <w:ind w:right="48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Agreement</w:t>
      </w:r>
      <w:r>
        <w:rPr>
          <w:rFonts w:ascii="Arial" w:cs="Arial" w:eastAsia="Arial" w:hAnsi="Arial"/>
          <w:sz w:val="19"/>
          <w:szCs w:val="19"/>
          <w:color w:val="auto"/>
        </w:rPr>
        <w:t>" means any interest rate protection agreement, foreign currency exchange protection agreement, commodity price protection agreement or other interest or currency exchange rate or commodity price hedging arrangement.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Increasing Lender</w:t>
      </w:r>
      <w:r>
        <w:rPr>
          <w:rFonts w:ascii="Arial" w:cs="Arial" w:eastAsia="Arial" w:hAnsi="Arial"/>
          <w:sz w:val="22"/>
          <w:szCs w:val="22"/>
          <w:color w:val="auto"/>
        </w:rPr>
        <w:t>" has the meaning assigned to such term in Section 2.08(e).</w:t>
      </w:r>
    </w:p>
    <w:p>
      <w:pPr>
        <w:sectPr>
          <w:pgSz w:w="11900" w:h="16838" w:orient="portrait"/>
          <w:cols w:equalWidth="0" w:num="1">
            <w:col w:w="11240"/>
          </w:cols>
          <w:pgMar w:left="320" w:top="118" w:right="339" w:bottom="0" w:gutter="0" w:footer="0" w:header="0"/>
        </w:sectPr>
      </w:pPr>
    </w:p>
    <w:bookmarkStart w:id="11" w:name="page12"/>
    <w:bookmarkEnd w:id="11"/>
    <w:p>
      <w:pPr>
        <w:ind w:right="6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incurred in the ordinary course of business), (e) all Indebtedness of others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 tters of guaranty and (i)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Taxes other than Excluded Taxes.</w:t>
      </w:r>
    </w:p>
    <w:p>
      <w:pPr>
        <w:spacing w:after="0" w:line="206"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w:t>
      </w:r>
      <w:r>
        <w:rPr>
          <w:rFonts w:ascii="Arial" w:cs="Arial" w:eastAsia="Arial" w:hAnsi="Arial"/>
          <w:sz w:val="22"/>
          <w:szCs w:val="22"/>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87"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Industry Classification Group</w:t>
      </w:r>
      <w:r>
        <w:rPr>
          <w:rFonts w:ascii="Arial" w:cs="Arial" w:eastAsia="Arial" w:hAnsi="Arial"/>
          <w:sz w:val="19"/>
          <w:szCs w:val="19"/>
          <w:color w:val="auto"/>
        </w:rPr>
        <w:t>" means (a) any of the classification groups set forth in Schedule 1.01(c) hereto, together with any such classification groups that may be subsequently established by Moody's and provided by the Borrower to the Lenders, and (b) up to three additional industry group classifications established by the Borrower pursuant to Section 5.12.</w:t>
      </w:r>
    </w:p>
    <w:p>
      <w:pPr>
        <w:spacing w:after="0" w:line="134"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means a request by the Borrower to convert or continue a Syndicated Borrowing in accordance with Section 2.07.</w:t>
      </w:r>
    </w:p>
    <w:p>
      <w:pPr>
        <w:spacing w:after="0" w:line="175"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means (a) with respect to any Syndicated ABR Loan, each Quarterly Date, (b) with respect to any Eurocurrency Loan, the last day of each Interest Period therefor and, in the case of any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means, for any Eurocurrency Loan or Borrowing, the period commencing on the date of such Loan or Borrowing and ending on the numerically corresponding day in the calendar month that is one, two, three or six months thereafter or, with respect to such portion of any Eurocurrency Loan or Borrowing denominated in a Foreign Currency that is scheduled to be repaid on the Commitment Termination Date, a period of less than one month's duration commencing on the date of such Loan or Borrowing and ending on the Commitment Termination Date, as specified in the applicable Borrowing Request or Interest Election Request;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(other than an Interest Period pertaining to a Eurocurrency Borrowing denominated in a Foreign Currency that ends on the Commitment Termination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60" w:lineRule="exact"/>
        <w:rPr>
          <w:sz w:val="20"/>
          <w:szCs w:val="20"/>
          <w:color w:val="auto"/>
        </w:rPr>
      </w:pPr>
    </w:p>
    <w:p>
      <w:pPr>
        <w:jc w:val="both"/>
        <w:ind w:right="18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for any Person: (a) Equity Interests, bonds, notes, debentures or other securities of any other Person or any agreement to acquire any Equity Interests, bonds, notes, debentures or other securities of any other Person (including any "short sale" or any sale of any securities at a time when such securities are not owned by the Person entering into such sale);</w:t>
      </w:r>
    </w:p>
    <w:p>
      <w:pPr>
        <w:spacing w:after="0" w:line="1" w:lineRule="exact"/>
        <w:rPr>
          <w:sz w:val="20"/>
          <w:szCs w:val="20"/>
          <w:color w:val="auto"/>
        </w:rPr>
      </w:pPr>
    </w:p>
    <w:p>
      <w:pPr>
        <w:ind w:right="460" w:firstLine="8"/>
        <w:spacing w:after="0" w:line="266" w:lineRule="auto"/>
        <w:tabs>
          <w:tab w:leader="none" w:pos="306" w:val="left"/>
        </w:tabs>
        <w:numPr>
          <w:ilvl w:val="0"/>
          <w:numId w:val="13"/>
        </w:numPr>
        <w:rPr>
          <w:rFonts w:ascii="Arial" w:cs="Arial" w:eastAsia="Arial" w:hAnsi="Arial"/>
          <w:sz w:val="19"/>
          <w:szCs w:val="19"/>
          <w:color w:val="auto"/>
        </w:rPr>
      </w:pPr>
      <w:r>
        <w:rPr>
          <w:rFonts w:ascii="Arial" w:cs="Arial" w:eastAsia="Arial" w:hAnsi="Arial"/>
          <w:sz w:val="19"/>
          <w:szCs w:val="19"/>
          <w:color w:val="auto"/>
        </w:rPr>
        <w:t>deposits, advances, loans or other extensions of credit made to any other Person (including purchases of property from another Person subject to an understanding or agreement, contingent or otherwise, to resell such property to such Person); or</w:t>
      </w:r>
    </w:p>
    <w:p>
      <w:pPr>
        <w:spacing w:after="0" w:line="1" w:lineRule="exact"/>
        <w:rPr>
          <w:rFonts w:ascii="Arial" w:cs="Arial" w:eastAsia="Arial" w:hAnsi="Arial"/>
          <w:sz w:val="19"/>
          <w:szCs w:val="19"/>
          <w:color w:val="auto"/>
        </w:rPr>
      </w:pPr>
    </w:p>
    <w:p>
      <w:pPr>
        <w:ind w:left="300" w:hanging="292"/>
        <w:spacing w:after="0"/>
        <w:tabs>
          <w:tab w:leader="none" w:pos="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Hedging Agreements.</w:t>
      </w:r>
    </w:p>
    <w:p>
      <w:pPr>
        <w:spacing w:after="0" w:line="188"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Policies</w:t>
      </w:r>
      <w:r>
        <w:rPr>
          <w:rFonts w:ascii="Arial" w:cs="Arial" w:eastAsia="Arial" w:hAnsi="Arial"/>
          <w:sz w:val="22"/>
          <w:szCs w:val="22"/>
          <w:color w:val="auto"/>
        </w:rPr>
        <w:t>" means the investment objectives, policies, restrictions and limitations set forth in the "BUSINESS" section of its Registration Statement.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 means the Investment Company Act of 1940, as amended from time to time.</w:t>
      </w:r>
    </w:p>
    <w:p>
      <w:pPr>
        <w:spacing w:after="0" w:line="206"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Issuing Bank</w:t>
      </w:r>
      <w:r>
        <w:rPr>
          <w:rFonts w:ascii="Arial" w:cs="Arial" w:eastAsia="Arial" w:hAnsi="Arial"/>
          <w:sz w:val="22"/>
          <w:szCs w:val="22"/>
          <w:color w:val="auto"/>
        </w:rPr>
        <w:t>" means SunTrust, in its capacity as the issuer of Letters of Credit hereunder, and its successors in such capacity as provided in Section 2.05(j). In the case of any Letter of Credit to be issued in an Agreed Foreign Currency, SunTrust may designate any of its affiliates as the "Issuing Bank" for purposes of such Letter of Credit.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means a payment made by the Issuing Bank pursuant to a Letter of Credit.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Exposure</w:t>
      </w:r>
      <w:r>
        <w:rPr>
          <w:rFonts w:ascii="Arial" w:cs="Arial" w:eastAsia="Arial" w:hAnsi="Arial"/>
          <w:sz w:val="22"/>
          <w:szCs w:val="22"/>
          <w:color w:val="auto"/>
        </w:rPr>
        <w:t>" means, at any time, the sum of the Dollar LC Exposure and the Multicurrency LC Exposure.</w:t>
      </w:r>
    </w:p>
    <w:p>
      <w:pPr>
        <w:sectPr>
          <w:pgSz w:w="11900" w:h="16838" w:orient="portrait"/>
          <w:cols w:equalWidth="0" w:num="1">
            <w:col w:w="11240"/>
          </w:cols>
          <w:pgMar w:left="320" w:top="118" w:right="339" w:bottom="0" w:gutter="0" w:footer="0" w:header="0"/>
        </w:sectPr>
      </w:pPr>
    </w:p>
    <w:bookmarkStart w:id="12" w:name="page13"/>
    <w:bookmarkEnd w:id="12"/>
    <w:p>
      <w:pPr>
        <w:spacing w:after="0" w:line="7"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means, collectively, the Dollar Lenders and the Multicurrency Lenders. Unless the context otherwise requires, the term "Lenders" includes the Swingline Lender.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any letter of credit issued pursuant to this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Collateral Account</w:t>
      </w:r>
      <w:r>
        <w:rPr>
          <w:rFonts w:ascii="Arial" w:cs="Arial" w:eastAsia="Arial" w:hAnsi="Arial"/>
          <w:sz w:val="22"/>
          <w:szCs w:val="22"/>
          <w:color w:val="auto"/>
        </w:rPr>
        <w:t>" has the meaning assigned to such term in Section 2.05(k).</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Documents</w:t>
      </w:r>
      <w:r>
        <w:rPr>
          <w:rFonts w:ascii="Arial" w:cs="Arial" w:eastAsia="Arial" w:hAnsi="Arial"/>
          <w:sz w:val="22"/>
          <w:szCs w:val="22"/>
          <w:color w:val="auto"/>
        </w:rPr>
        <w:t>"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spacing w:after="0" w:line="187" w:lineRule="exact"/>
        <w:rPr>
          <w:sz w:val="20"/>
          <w:szCs w:val="20"/>
          <w:color w:val="auto"/>
        </w:rPr>
      </w:pPr>
    </w:p>
    <w:p>
      <w:pPr>
        <w:ind w:right="18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Rate</w:t>
      </w:r>
      <w:r>
        <w:rPr>
          <w:rFonts w:ascii="Arial" w:cs="Arial" w:eastAsia="Arial" w:hAnsi="Arial"/>
          <w:sz w:val="19"/>
          <w:szCs w:val="19"/>
          <w:color w:val="auto"/>
        </w:rPr>
        <w:t xml:space="preserve">" means, for any Interest Period, the British Bankers' Association Interest Settlement Rate per annum for deposits in U.S. dollars for a period equal to the Interest Period appearing on the display designated as Reuters Screen LIBOR01 Page (or such other page on that service or such other service designated by the British Bankers' Association for the display of such Association's Interest Settlement Rates for Dollar deposits) as of 11:00 a.m., London time on the day that is two Business Days prior to the first day of the Interest Period (or if such Reuters Screen LIBOR01 Page is unavailable for any reason at such time, the rate which appears on the Reuters Screen ISDA Page as of such date and such time);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Administrative Agent determines that the relevant foregoing sources are unavailable for the relevant Interest Period, LIBO Rate shall mean the</w:t>
      </w:r>
    </w:p>
    <w:p>
      <w:pPr>
        <w:spacing w:after="0" w:line="4" w:lineRule="exact"/>
        <w:rPr>
          <w:sz w:val="20"/>
          <w:szCs w:val="20"/>
          <w:color w:val="auto"/>
        </w:rPr>
      </w:pPr>
    </w:p>
    <w:p>
      <w:pPr>
        <w:ind w:right="80"/>
        <w:spacing w:after="0" w:line="225" w:lineRule="auto"/>
        <w:rPr>
          <w:sz w:val="20"/>
          <w:szCs w:val="20"/>
          <w:color w:val="auto"/>
        </w:rPr>
      </w:pPr>
      <w:r>
        <w:rPr>
          <w:rFonts w:ascii="Arial" w:cs="Arial" w:eastAsia="Arial" w:hAnsi="Arial"/>
          <w:sz w:val="21"/>
          <w:szCs w:val="21"/>
          <w:color w:val="auto"/>
        </w:rPr>
        <w:t>rate of interest determined by the Administrative Agent to be the average (rounded upward, if necessary, to the nearest 1/100</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of 1%) of the rates per annum at which deposits in U.S. dollars are offered to the Administrative Agent two (2) business days preceding the first day of such Interest Period by leading banks in the London interbank market as of 11:00 a.m. for delivery on the first day of such Interest Period, for the number of days comprised therein and in an amount comparable to the amount of the Administrative Agent's portion of the relevant Eurocurrency Borrowing.</w:t>
      </w:r>
    </w:p>
    <w:p>
      <w:pPr>
        <w:spacing w:after="0" w:line="190"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w:t>
      </w:r>
    </w:p>
    <w:p>
      <w:pPr>
        <w:spacing w:after="0" w:line="1" w:lineRule="exact"/>
        <w:rPr>
          <w:sz w:val="20"/>
          <w:szCs w:val="20"/>
          <w:color w:val="auto"/>
        </w:rPr>
      </w:pPr>
    </w:p>
    <w:p>
      <w:pPr>
        <w:ind w:right="340"/>
        <w:spacing w:after="0" w:line="236" w:lineRule="auto"/>
        <w:rPr>
          <w:sz w:val="20"/>
          <w:szCs w:val="20"/>
          <w:color w:val="auto"/>
        </w:rPr>
      </w:pPr>
      <w:r>
        <w:rPr>
          <w:rFonts w:ascii="Arial" w:cs="Arial" w:eastAsia="Arial" w:hAnsi="Arial"/>
          <w:sz w:val="22"/>
          <w:szCs w:val="22"/>
          <w:color w:val="auto"/>
        </w:rPr>
        <w:t>foregoing) relating to such asset and (c) in the case of securities, any purchase option, call or similar right of a third party with respect to such securities, except in favor of the issuer thereof.</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Documents</w:t>
      </w:r>
      <w:r>
        <w:rPr>
          <w:rFonts w:ascii="Arial" w:cs="Arial" w:eastAsia="Arial" w:hAnsi="Arial"/>
          <w:sz w:val="21"/>
          <w:szCs w:val="21"/>
          <w:color w:val="auto"/>
        </w:rPr>
        <w:t>" means, collectively, this Agreement, the Letter of Credit Documents and the Security Documents.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loans made by the Lenders to the Borrower pursuant to this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means "margin stock" within the meaning of Regulations T, U and X.</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Change</w:t>
      </w:r>
      <w:r>
        <w:rPr>
          <w:rFonts w:ascii="Arial" w:cs="Arial" w:eastAsia="Arial" w:hAnsi="Arial"/>
          <w:sz w:val="22"/>
          <w:szCs w:val="22"/>
          <w:color w:val="auto"/>
        </w:rPr>
        <w:t>" has the meaning assigned to such term in Section 3.04(b).</w:t>
      </w:r>
    </w:p>
    <w:p>
      <w:pPr>
        <w:spacing w:after="0" w:line="206" w:lineRule="exact"/>
        <w:rPr>
          <w:sz w:val="20"/>
          <w:szCs w:val="20"/>
          <w:color w:val="auto"/>
        </w:rPr>
      </w:pPr>
    </w:p>
    <w:p>
      <w:pPr>
        <w:jc w:val="both"/>
        <w:ind w:right="22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(a) the business, Portfolio Investments and other assets, liabilities and financial condition of the Borrower taken as a whole (excluding in any case a decline in the net asset value of the Borrower or a change in general market conditions or values of the Borrower's Portfolio Investments), or (b) the validity or enforceability of any of the Loan Documents or the rights or remedies of the Administrative Agent and the Lenders thereunder.</w:t>
      </w:r>
    </w:p>
    <w:p>
      <w:pPr>
        <w:spacing w:after="0" w:line="143"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Indebtedness</w:t>
      </w:r>
      <w:r>
        <w:rPr>
          <w:rFonts w:ascii="Arial" w:cs="Arial" w:eastAsia="Arial" w:hAnsi="Arial"/>
          <w:sz w:val="22"/>
          <w:szCs w:val="22"/>
          <w:color w:val="auto"/>
        </w:rPr>
        <w:t>" means (a) Indebtedness (other than the Loans, Letters of Credit and Hedging Agreements), of any one or more of the Borrower and its Subsidiaries in an aggregate principal amount exceeding $10,000,000 and (b) obligations in respect of one or more Hedging Agreements under which the maximum aggregate amount (giving effect to any netting agreements) that the Borrower and the Subsidiaries would be required to pay if such Hedging Agreement(s) were terminated at such time would exceed $10,000,000.</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or any successor thereto.</w:t>
      </w:r>
    </w:p>
    <w:p>
      <w:pPr>
        <w:spacing w:after="0" w:line="206"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Multicurrency Commitment</w:t>
      </w:r>
      <w:r>
        <w:rPr>
          <w:rFonts w:ascii="Arial" w:cs="Arial" w:eastAsia="Arial" w:hAnsi="Arial"/>
          <w:sz w:val="19"/>
          <w:szCs w:val="19"/>
          <w:color w:val="auto"/>
        </w:rPr>
        <w:t>" means, with respect to each Multicurrency Lender, the commitment of such Multicurrency Lender to make Syndicated Loans, and to acquire participations in Letters of Credit and Swingline Loans, denominated in Dollars and in Agreed Foreign Currencies hereunder, expressed as an amount representing the maximum aggregate amount of such Lender's Revolving Multicurrency Credit Exposure hereunder, as such commitment may be (a) reduced from time to time pursuant to Section 2.08 and (b) reduced or increased from time to time pursuant to assignments by or to such Lender pursuant to</w:t>
      </w:r>
    </w:p>
    <w:p>
      <w:pPr>
        <w:spacing w:after="0" w:line="4" w:lineRule="exact"/>
        <w:rPr>
          <w:sz w:val="20"/>
          <w:szCs w:val="20"/>
          <w:color w:val="auto"/>
        </w:rPr>
      </w:pPr>
    </w:p>
    <w:p>
      <w:pPr>
        <w:ind w:right="320"/>
        <w:spacing w:after="0" w:line="248" w:lineRule="auto"/>
        <w:rPr>
          <w:sz w:val="20"/>
          <w:szCs w:val="20"/>
          <w:color w:val="auto"/>
        </w:rPr>
      </w:pPr>
      <w:r>
        <w:rPr>
          <w:rFonts w:ascii="Arial" w:cs="Arial" w:eastAsia="Arial" w:hAnsi="Arial"/>
          <w:sz w:val="21"/>
          <w:szCs w:val="21"/>
          <w:color w:val="auto"/>
        </w:rPr>
        <w:t>Section 9.04. The initial amount of each Lender's Multicurrency Commitment is set forth on Schedule 1.01(b), or in the Assignment and Assumption pursuant to which such Lender shall have assumed its Multicurrency commitment, as applicable. The initial aggregate amount of the Lenders' Multicurrency Commitments is $300,000,000.</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Multicurrency LC Exposure</w:t>
      </w:r>
      <w:r>
        <w:rPr>
          <w:rFonts w:ascii="Arial" w:cs="Arial" w:eastAsia="Arial" w:hAnsi="Arial"/>
          <w:sz w:val="19"/>
          <w:szCs w:val="19"/>
          <w:color w:val="auto"/>
        </w:rPr>
        <w:t>" means, at any time, the sum of (a) the aggregate undrawn amount of all outstanding Multicurrency Letters of Credit at such time plus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43" w:lineRule="exact"/>
        <w:rPr>
          <w:sz w:val="20"/>
          <w:szCs w:val="20"/>
          <w:color w:val="auto"/>
        </w:rPr>
      </w:pPr>
    </w:p>
    <w:p>
      <w:pPr>
        <w:ind w:right="50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Multicurrency Lender</w:t>
      </w:r>
      <w:r>
        <w:rPr>
          <w:rFonts w:ascii="Arial" w:cs="Arial" w:eastAsia="Arial" w:hAnsi="Arial"/>
          <w:sz w:val="19"/>
          <w:szCs w:val="19"/>
          <w:color w:val="auto"/>
        </w:rPr>
        <w:t>" means the Persons listed on Schedule 1.01(b) as having Multicurrency Commitments and any other Person that shall have become a party hereto pursuant to an Assignment and Assumption that provides for it to assume a</w:t>
      </w:r>
    </w:p>
    <w:p>
      <w:pPr>
        <w:sectPr>
          <w:pgSz w:w="11900" w:h="16846" w:orient="portrait"/>
          <w:cols w:equalWidth="0" w:num="1">
            <w:col w:w="11240"/>
          </w:cols>
          <w:pgMar w:left="320" w:top="118" w:right="339" w:bottom="0" w:gutter="0" w:footer="0" w:header="0"/>
        </w:sectPr>
      </w:pPr>
    </w:p>
    <w:bookmarkStart w:id="13" w:name="page14"/>
    <w:bookmarkEnd w:id="13"/>
    <w:p>
      <w:pPr>
        <w:ind w:right="20"/>
        <w:spacing w:after="0" w:line="251" w:lineRule="auto"/>
        <w:rPr>
          <w:sz w:val="20"/>
          <w:szCs w:val="20"/>
          <w:color w:val="auto"/>
        </w:rPr>
      </w:pPr>
      <w:r>
        <w:rPr>
          <w:rFonts w:ascii="Arial" w:cs="Arial" w:eastAsia="Arial" w:hAnsi="Arial"/>
          <w:sz w:val="22"/>
          <w:szCs w:val="22"/>
          <w:color w:val="auto"/>
        </w:rPr>
        <w:t>Multicurrency Commitment or to acquire Revolving Multicurrency Credit Exposure, other than any such Person that ceases to be a party hereto pursuant to an Assignment and Assumption.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Multicurrency Letters of Credit</w:t>
      </w:r>
      <w:r>
        <w:rPr>
          <w:rFonts w:ascii="Arial" w:cs="Arial" w:eastAsia="Arial" w:hAnsi="Arial"/>
          <w:sz w:val="22"/>
          <w:szCs w:val="22"/>
          <w:color w:val="auto"/>
        </w:rPr>
        <w:t>" means Letters of Credit that utilize the Multicurrency Commitments.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Multicurrency Loan</w:t>
      </w:r>
      <w:r>
        <w:rPr>
          <w:rFonts w:ascii="Arial" w:cs="Arial" w:eastAsia="Arial" w:hAnsi="Arial"/>
          <w:sz w:val="22"/>
          <w:szCs w:val="22"/>
          <w:color w:val="auto"/>
        </w:rPr>
        <w:t>" means a Loan denominated in an Agreed Foreign Currency.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4001(a)(3) of ERISA.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National Currency</w:t>
      </w:r>
      <w:r>
        <w:rPr>
          <w:rFonts w:ascii="Arial" w:cs="Arial" w:eastAsia="Arial" w:hAnsi="Arial"/>
          <w:sz w:val="22"/>
          <w:szCs w:val="22"/>
          <w:color w:val="auto"/>
        </w:rPr>
        <w:t>" means the currency, other than the Euro, of a Participating Member State.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Obligor</w:t>
      </w:r>
      <w:r>
        <w:rPr>
          <w:rFonts w:ascii="Arial" w:cs="Arial" w:eastAsia="Arial" w:hAnsi="Arial"/>
          <w:sz w:val="22"/>
          <w:szCs w:val="22"/>
          <w:color w:val="auto"/>
        </w:rPr>
        <w:t>" means, collectively, the Borrower and the Subsidiary Guarantors.</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Covered Indebtedness</w:t>
      </w:r>
      <w:r>
        <w:rPr>
          <w:rFonts w:ascii="Arial" w:cs="Arial" w:eastAsia="Arial" w:hAnsi="Arial"/>
          <w:sz w:val="22"/>
          <w:szCs w:val="22"/>
          <w:color w:val="auto"/>
        </w:rPr>
        <w:t>" means, collectively, Secured Longer-Term Indebtedness, Secured Shorter-Term Indebtedness and Unsecured Shorter-Term Indebtedness.</w:t>
      </w:r>
    </w:p>
    <w:p>
      <w:pPr>
        <w:spacing w:after="0" w:line="175"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Permitted Indebtedness</w:t>
      </w:r>
      <w:r>
        <w:rPr>
          <w:rFonts w:ascii="Arial" w:cs="Arial" w:eastAsia="Arial" w:hAnsi="Arial"/>
          <w:sz w:val="19"/>
          <w:szCs w:val="19"/>
          <w:color w:val="auto"/>
        </w:rPr>
        <w:t xml:space="preserve">"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purchasing of securities, derivatives transactions, reverse repurchase agreements or dollar rolls to the extent such transactions are permitted under the Investment Company Act and the Borrower' s Investment Policies,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clause (l) of Article VII.</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Secured Indebtedness</w:t>
      </w:r>
      <w:r>
        <w:rPr>
          <w:rFonts w:ascii="Arial" w:cs="Arial" w:eastAsia="Arial" w:hAnsi="Arial"/>
          <w:sz w:val="22"/>
          <w:szCs w:val="22"/>
          <w:color w:val="auto"/>
        </w:rPr>
        <w:t>" means Secured Longer-Term Indebtedness.</w:t>
      </w:r>
    </w:p>
    <w:p>
      <w:pPr>
        <w:spacing w:after="0" w:line="206"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means any and all present or future stamp or documentary taxes or any other excise or property taxes, charges or similar levies arising from any payment made under any Loan Document or from the execution, delivery or enforcement of, or otherwise with respect to, any Loan Document.</w:t>
      </w:r>
    </w:p>
    <w:p>
      <w:pPr>
        <w:spacing w:after="0" w:line="186" w:lineRule="exact"/>
        <w:rPr>
          <w:sz w:val="20"/>
          <w:szCs w:val="20"/>
          <w:color w:val="auto"/>
        </w:rPr>
      </w:pPr>
    </w:p>
    <w:p>
      <w:pPr>
        <w:ind w:right="36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Participating Member State</w:t>
      </w:r>
      <w:r>
        <w:rPr>
          <w:rFonts w:ascii="Arial" w:cs="Arial" w:eastAsia="Arial" w:hAnsi="Arial"/>
          <w:sz w:val="19"/>
          <w:szCs w:val="19"/>
          <w:color w:val="auto"/>
        </w:rPr>
        <w:t>" means any member state of the European Community that adopts or has adopted the Euro as its lawful currency in accordance with the legislation of the European Union relating to the European Monetary Union.</w:t>
      </w:r>
    </w:p>
    <w:p>
      <w:pPr>
        <w:spacing w:after="0" w:line="105"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xml:space="preserve"> " means the Pension Benefit Guaranty Corporation referred to and defined in ERISA and any successor entity performing similar functions.</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w:t>
      </w:r>
    </w:p>
    <w:p>
      <w:pPr>
        <w:spacing w:after="0" w:line="3" w:lineRule="exact"/>
        <w:rPr>
          <w:sz w:val="20"/>
          <w:szCs w:val="20"/>
          <w:color w:val="auto"/>
        </w:rPr>
      </w:pPr>
    </w:p>
    <w:p>
      <w:pPr>
        <w:ind w:firstLine="8"/>
        <w:spacing w:after="0" w:line="269" w:lineRule="auto"/>
        <w:tabs>
          <w:tab w:leader="none" w:pos="318" w:val="left"/>
        </w:tabs>
        <w:numPr>
          <w:ilvl w:val="0"/>
          <w:numId w:val="14"/>
        </w:numPr>
        <w:rPr>
          <w:rFonts w:ascii="Arial" w:cs="Arial" w:eastAsia="Arial" w:hAnsi="Arial"/>
          <w:sz w:val="19"/>
          <w:szCs w:val="19"/>
          <w:color w:val="auto"/>
        </w:rPr>
      </w:pPr>
      <w:r>
        <w:rPr>
          <w:rFonts w:ascii="Arial" w:cs="Arial" w:eastAsia="Arial" w:hAnsi="Arial"/>
          <w:sz w:val="19"/>
          <w:szCs w:val="19"/>
          <w:color w:val="auto"/>
        </w:rPr>
        <w:t>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 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clause (l) of Article VII;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and (h) Liens arising solely from precautionary filings of financing statements under the Uniform Commercial Code of the applicable jurisdictions in respect of operating leases entered into by the Borrower or any of its Subsidiaries in the ordinary course of business.</w:t>
      </w:r>
    </w:p>
    <w:p>
      <w:pPr>
        <w:spacing w:after="0" w:line="164"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PFPC</w:t>
      </w:r>
      <w:r>
        <w:rPr>
          <w:rFonts w:ascii="Arial" w:cs="Arial" w:eastAsia="Arial" w:hAnsi="Arial"/>
          <w:sz w:val="22"/>
          <w:szCs w:val="22"/>
          <w:color w:val="auto"/>
        </w:rPr>
        <w:t>" means PFPC Trust Company.</w:t>
      </w:r>
    </w:p>
    <w:p>
      <w:pPr>
        <w:spacing w:after="0" w:line="206"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any employee pension benefit plan (other than a Multiemployer Plan) subject to the provisions of Title IV of ERISA or Section 412 of the Code or Section 302 of ERISA, and in respect of which the Borrower or any ERISA Affiliate is (or,</w:t>
      </w:r>
    </w:p>
    <w:p>
      <w:pPr>
        <w:sectPr>
          <w:pgSz w:w="11900" w:h="16838" w:orient="portrait"/>
          <w:cols w:equalWidth="0" w:num="1">
            <w:col w:w="11220"/>
          </w:cols>
          <w:pgMar w:left="320" w:top="118" w:right="359" w:bottom="0" w:gutter="0" w:footer="0" w:header="0"/>
        </w:sectPr>
      </w:pPr>
    </w:p>
    <w:bookmarkStart w:id="14" w:name="page15"/>
    <w:bookmarkEnd w:id="14"/>
    <w:p>
      <w:pPr>
        <w:spacing w:after="0" w:line="88"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if such plan were terminated, would under Section 4069 of ERISA be deemed to be) an "employer" as defined in Section 3(5) of ERISA.</w:t>
      </w:r>
    </w:p>
    <w:p>
      <w:pPr>
        <w:spacing w:after="0" w:line="173"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Portfolio Investment</w:t>
      </w:r>
      <w:r>
        <w:rPr>
          <w:rFonts w:ascii="Arial" w:cs="Arial" w:eastAsia="Arial" w:hAnsi="Arial"/>
          <w:sz w:val="22"/>
          <w:szCs w:val="22"/>
          <w:color w:val="auto"/>
        </w:rPr>
        <w:t>" means any Investment held by the Obligors in their asset portfolio (and solely for purposes of determining the Borrowing Base, Cash).</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means the rate which SunTrust announces from time to time as its prime lending rate, as in effect from time to time.</w:t>
      </w:r>
    </w:p>
    <w:p>
      <w:pPr>
        <w:spacing w:after="0" w:line="24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 Financial Center</w:t>
      </w:r>
      <w:r>
        <w:rPr>
          <w:rFonts w:ascii="Arial" w:cs="Arial" w:eastAsia="Arial" w:hAnsi="Arial"/>
          <w:sz w:val="22"/>
          <w:szCs w:val="22"/>
          <w:color w:val="auto"/>
        </w:rPr>
        <w:t>" means, in the case of any Currency, the principal financial center where such Currency is cleared and settled, as determined by the Administrative Agent.</w:t>
      </w:r>
    </w:p>
    <w:p>
      <w:pPr>
        <w:spacing w:after="0" w:line="17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Dates</w:t>
      </w:r>
      <w:r>
        <w:rPr>
          <w:rFonts w:ascii="Arial" w:cs="Arial" w:eastAsia="Arial" w:hAnsi="Arial"/>
          <w:sz w:val="22"/>
          <w:szCs w:val="22"/>
          <w:color w:val="auto"/>
        </w:rPr>
        <w:t>" means the last Business Day of March, June, September and December in each year, commencing on June 30, 2007.</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has the meaning set forth in Section 9.04.</w:t>
      </w:r>
    </w:p>
    <w:p>
      <w:pPr>
        <w:spacing w:after="0" w:line="206"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means the Registration Statement filed by the Borrower with the Securities and Exchange Commission on April 19, 2007.</w:t>
      </w:r>
    </w:p>
    <w:p>
      <w:pPr>
        <w:spacing w:after="0" w:line="175" w:lineRule="exact"/>
        <w:rPr>
          <w:sz w:val="20"/>
          <w:szCs w:val="20"/>
          <w:color w:val="auto"/>
        </w:rPr>
      </w:pPr>
    </w:p>
    <w:p>
      <w:pPr>
        <w:ind w:right="26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Regulations D, T, U and X</w:t>
      </w:r>
      <w:r>
        <w:rPr>
          <w:rFonts w:ascii="Arial" w:cs="Arial" w:eastAsia="Arial" w:hAnsi="Arial"/>
          <w:sz w:val="21"/>
          <w:szCs w:val="21"/>
          <w:color w:val="auto"/>
        </w:rPr>
        <w:t>" means, respectively, Regulations D, T, U and X of the Board of Governors of the Federal Reserve System (or any successor), as the same may be modified and supplemented and in effect from time to time.</w:t>
      </w:r>
    </w:p>
    <w:p>
      <w:pPr>
        <w:spacing w:after="0" w:line="151" w:lineRule="exact"/>
        <w:rPr>
          <w:sz w:val="20"/>
          <w:szCs w:val="20"/>
          <w:color w:val="auto"/>
        </w:rPr>
      </w:pPr>
    </w:p>
    <w:p>
      <w:pPr>
        <w:ind w:right="56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specified Person, such Person's Affiliates and the respective directors, officers, employees, agents and advisors of such Person and such Person's Affiliates.</w:t>
      </w:r>
    </w:p>
    <w:p>
      <w:pPr>
        <w:spacing w:after="0" w:line="175"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Lenders</w:t>
      </w:r>
      <w:r>
        <w:rPr>
          <w:rFonts w:ascii="Arial" w:cs="Arial" w:eastAsia="Arial" w:hAnsi="Arial"/>
          <w:sz w:val="21"/>
          <w:szCs w:val="21"/>
          <w:color w:val="auto"/>
        </w:rPr>
        <w:t>" means, at any time, Lenders having Revolving Credit Exposures and unused Commitments representing more than 50% of the sum of the total Revolving Credit Exposures and unused Commitments at such time. The Required Lenders of a Class (which shall include the terms "Required Dollar Lenders" and "Required Multicurrency Lenders") means Lenders having Revolving Credit Exposures and unused Commitments of such Class representing more than 50% of the sum of the total Revolving Credit Exposures and unused Commitments of such Class at such time.</w:t>
      </w:r>
    </w:p>
    <w:p>
      <w:pPr>
        <w:spacing w:after="0" w:line="17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w:t>
      </w:r>
      <w:r>
        <w:rPr>
          <w:rFonts w:ascii="Arial" w:cs="Arial" w:eastAsia="Arial" w:hAnsi="Arial"/>
          <w:sz w:val="22"/>
          <w:szCs w:val="22"/>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w:t>
      </w:r>
    </w:p>
    <w:p>
      <w:pPr>
        <w:spacing w:after="0" w:line="187" w:lineRule="exact"/>
        <w:rPr>
          <w:sz w:val="20"/>
          <w:szCs w:val="20"/>
          <w:color w:val="auto"/>
        </w:rPr>
      </w:pPr>
    </w:p>
    <w:p>
      <w:pPr>
        <w:ind w:right="6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Exposure</w:t>
      </w:r>
      <w:r>
        <w:rPr>
          <w:rFonts w:ascii="Arial" w:cs="Arial" w:eastAsia="Arial" w:hAnsi="Arial"/>
          <w:sz w:val="21"/>
          <w:szCs w:val="21"/>
          <w:color w:val="auto"/>
        </w:rPr>
        <w:t>" means, with respect to any Lender at any time, the sum of the outstanding principal amount of such Lender's Revolving Dollar Credit Exposure and Revolving Multicurrency Credit Exposure at such time.</w:t>
      </w:r>
    </w:p>
    <w:p>
      <w:pPr>
        <w:spacing w:after="0" w:line="151"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Dollar Credit Exposure</w:t>
      </w:r>
      <w:r>
        <w:rPr>
          <w:rFonts w:ascii="Arial" w:cs="Arial" w:eastAsia="Arial" w:hAnsi="Arial"/>
          <w:sz w:val="22"/>
          <w:szCs w:val="22"/>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186"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Multicurrency Credit Exposure</w:t>
      </w:r>
      <w:r>
        <w:rPr>
          <w:rFonts w:ascii="Arial" w:cs="Arial" w:eastAsia="Arial" w:hAnsi="Arial"/>
          <w:sz w:val="22"/>
          <w:szCs w:val="22"/>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186" w:lineRule="exact"/>
        <w:rPr>
          <w:sz w:val="20"/>
          <w:szCs w:val="20"/>
          <w:color w:val="auto"/>
        </w:rPr>
      </w:pPr>
    </w:p>
    <w:p>
      <w:pPr>
        <w:ind w:right="36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Percentage</w:t>
      </w:r>
      <w:r>
        <w:rPr>
          <w:rFonts w:ascii="Arial" w:cs="Arial" w:eastAsia="Arial" w:hAnsi="Arial"/>
          <w:sz w:val="21"/>
          <w:szCs w:val="21"/>
          <w:color w:val="auto"/>
        </w:rPr>
        <w:t>" means, as of any date of determination, the result, expressed as a percentage, of the Revolving Credit Exposure on such date divided by the aggregate outstanding Covered Debt Amount on such date.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RIC</w:t>
      </w:r>
      <w:r>
        <w:rPr>
          <w:rFonts w:ascii="Arial" w:cs="Arial" w:eastAsia="Arial" w:hAnsi="Arial"/>
          <w:sz w:val="22"/>
          <w:szCs w:val="22"/>
          <w:color w:val="auto"/>
        </w:rPr>
        <w:t>" means a person qualifying for treatment as a "regulated investment company" under the Code.</w:t>
      </w:r>
    </w:p>
    <w:p>
      <w:pPr>
        <w:spacing w:after="0" w:line="206"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Ratings Services, a division of The McGraw Hill Companies, Inc., a New York corporation, or any successor thereto.</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Longer-Term Indebtedness</w:t>
      </w:r>
      <w:r>
        <w:rPr>
          <w:rFonts w:ascii="Arial" w:cs="Arial" w:eastAsia="Arial" w:hAnsi="Arial"/>
          <w:sz w:val="19"/>
          <w:szCs w:val="19"/>
          <w:color w:val="auto"/>
        </w:rPr>
        <w:t>" means, as at any date, Indebtedness (other than Indebtedness hereunder) of the Borrower (which may be Guaranteed by Subsidiary Guarantors) that (a) has no amortization prior to, and a final maturity date not earlier than, six months after the Commitment Termination Date, (b) is incurred pursuant to documentation containing other terms (including interest, amortization, covenants and events of default) that are no more restrictive in any material respect upon the Borrower and its Subsidiaries than those set forth in this Agreement and (c) is not secured by any assets of any Obligor other than pursuant to the Security Documents and the holders of which have agreed, in a manner satisfactory to the Administrative Agent and the Collateral Agent, to be bound by the provisions of the Security Documents.</w:t>
      </w:r>
    </w:p>
    <w:p>
      <w:pPr>
        <w:spacing w:after="0" w:line="15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Shorter-Term Indebtedness</w:t>
      </w:r>
      <w:r>
        <w:rPr>
          <w:rFonts w:ascii="Arial" w:cs="Arial" w:eastAsia="Arial" w:hAnsi="Arial"/>
          <w:sz w:val="22"/>
          <w:szCs w:val="22"/>
          <w:color w:val="auto"/>
        </w:rPr>
        <w:t>" means, collectively, (a) any Indebtedness of the Borrower or any Subsidiary that is secured by any assets of any Obligor and that does not constitute Secured Longer-Term Indebtedness and (b) any Indebtedness that is designated as "Secured Shorter-Term Indebtedness" pursuant to Section 6.11(a).</w:t>
      </w:r>
    </w:p>
    <w:p>
      <w:pPr>
        <w:spacing w:after="0" w:line="186" w:lineRule="exact"/>
        <w:rPr>
          <w:sz w:val="20"/>
          <w:szCs w:val="20"/>
          <w:color w:val="auto"/>
        </w:rPr>
      </w:pPr>
    </w:p>
    <w:p>
      <w:pPr>
        <w:ind w:right="50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Documents</w:t>
      </w:r>
      <w:r>
        <w:rPr>
          <w:rFonts w:ascii="Arial" w:cs="Arial" w:eastAsia="Arial" w:hAnsi="Arial"/>
          <w:sz w:val="19"/>
          <w:szCs w:val="19"/>
          <w:color w:val="auto"/>
        </w:rPr>
        <w:t>" means, collectively, the Guarantee and Security Agreement, all Uniform Commercial Code financing statements filed with respect to the security interests in personal property created pursuant to the Guarantee and Security</w:t>
      </w:r>
    </w:p>
    <w:p>
      <w:pPr>
        <w:sectPr>
          <w:pgSz w:w="11900" w:h="16927" w:orient="portrait"/>
          <w:cols w:equalWidth="0" w:num="1">
            <w:col w:w="11240"/>
          </w:cols>
          <w:pgMar w:left="320" w:top="118" w:right="339" w:bottom="0" w:gutter="0" w:footer="0" w:header="0"/>
        </w:sectPr>
      </w:pPr>
    </w:p>
    <w:bookmarkStart w:id="15" w:name="page16"/>
    <w:bookmarkEnd w:id="15"/>
    <w:p>
      <w:pPr>
        <w:spacing w:after="0" w:line="238" w:lineRule="auto"/>
        <w:rPr>
          <w:sz w:val="20"/>
          <w:szCs w:val="20"/>
          <w:color w:val="auto"/>
        </w:rPr>
      </w:pPr>
      <w:r>
        <w:rPr>
          <w:rFonts w:ascii="Arial" w:cs="Arial" w:eastAsia="Arial" w:hAnsi="Arial"/>
          <w:sz w:val="22"/>
          <w:szCs w:val="22"/>
          <w:color w:val="auto"/>
        </w:rPr>
        <w:t>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85"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Shareholders' Equity</w:t>
      </w:r>
      <w:r>
        <w:rPr>
          <w:rFonts w:ascii="Arial" w:cs="Arial" w:eastAsia="Arial" w:hAnsi="Arial"/>
          <w:sz w:val="22"/>
          <w:szCs w:val="22"/>
          <w:color w:val="auto"/>
        </w:rPr>
        <w:t>" means, at any date, the amount determined on a consolidated basis, without duplication, in accordance with GAAP, of shareholders equity for the Borrower and its Subsidiaries at such date.</w:t>
      </w:r>
    </w:p>
    <w:p>
      <w:pPr>
        <w:spacing w:after="0" w:line="175" w:lineRule="exact"/>
        <w:rPr>
          <w:sz w:val="20"/>
          <w:szCs w:val="20"/>
          <w:color w:val="auto"/>
        </w:rPr>
      </w:pPr>
    </w:p>
    <w:p>
      <w:pPr>
        <w:ind w:right="16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Equity Interest</w:t>
      </w:r>
      <w:r>
        <w:rPr>
          <w:rFonts w:ascii="Arial" w:cs="Arial" w:eastAsia="Arial" w:hAnsi="Arial"/>
          <w:sz w:val="21"/>
          <w:szCs w:val="21"/>
          <w:color w:val="auto"/>
        </w:rPr>
        <w:t xml:space="preserve">" means any Equity Interest that is subject to a Lien in favor of creditors of the issuer of such Equity Interest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such Lien was created to secure Indebtedness owing by such issuer to such creditors, (b) such Indebtedness was (i) in existence at the time the Obligors acquired such Equity Interest, (ii) incurred or assumed by such issuer substantially contemporaneously with such acquisition or (iii) 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77"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Standard Securitization Undertakings</w:t>
      </w:r>
      <w:r>
        <w:rPr>
          <w:rFonts w:ascii="Arial" w:cs="Arial" w:eastAsia="Arial" w:hAnsi="Arial"/>
          <w:sz w:val="19"/>
          <w:szCs w:val="19"/>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47"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xml:space="preserve">" means, for the Interest Period for any Eurocurrency Borrowing, a fraction (expressed as a decimal), the numerator of which is the number one and the denominator of which is the number one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arithmetic mean, taken over each day in such Interest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Eurocurrency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58"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(the "</w:t>
      </w:r>
      <w:r>
        <w:rPr>
          <w:rFonts w:ascii="Arial" w:cs="Arial" w:eastAsia="Arial" w:hAnsi="Arial"/>
          <w:sz w:val="19"/>
          <w:szCs w:val="19"/>
          <w:u w:val="single" w:color="auto"/>
          <w:color w:val="auto"/>
        </w:rPr>
        <w:t>parent</w:t>
      </w:r>
      <w:r>
        <w:rPr>
          <w:rFonts w:ascii="Arial" w:cs="Arial" w:eastAsia="Arial" w:hAnsi="Arial"/>
          <w:sz w:val="19"/>
          <w:szCs w:val="19"/>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means any Subsidiary that is a Guarantor under the Guarantee and Security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SunTrust</w:t>
      </w:r>
      <w:r>
        <w:rPr>
          <w:rFonts w:ascii="Arial" w:cs="Arial" w:eastAsia="Arial" w:hAnsi="Arial"/>
          <w:sz w:val="22"/>
          <w:szCs w:val="22"/>
          <w:color w:val="auto"/>
        </w:rPr>
        <w:t>" means SunTrust Bank.</w:t>
      </w:r>
    </w:p>
    <w:p>
      <w:pPr>
        <w:spacing w:after="0" w:line="206" w:lineRule="exact"/>
        <w:rPr>
          <w:sz w:val="20"/>
          <w:szCs w:val="20"/>
          <w:color w:val="auto"/>
        </w:rPr>
      </w:pPr>
    </w:p>
    <w:p>
      <w:pPr>
        <w:ind w:right="22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Exposure</w:t>
      </w:r>
      <w:r>
        <w:rPr>
          <w:rFonts w:ascii="Arial" w:cs="Arial" w:eastAsia="Arial" w:hAnsi="Arial"/>
          <w:sz w:val="21"/>
          <w:szCs w:val="21"/>
          <w:color w:val="auto"/>
        </w:rPr>
        <w:t>" means, at any time, the aggregate principal amount of all Swingline Loans outstanding at such time. The Swingline Exposure of any Lender at any time shall be the sum of (i) its Applicable Dollar Percentage of the total Swingline Exposure incurred under the Dollar Commitments and (ii) its Applicable Multicurrency Percentage of the total Swingline Exposure at such time incurred under the Multicurrency Commitments.</w:t>
      </w:r>
    </w:p>
    <w:p>
      <w:pPr>
        <w:spacing w:after="0" w:line="174"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Lender</w:t>
      </w:r>
      <w:r>
        <w:rPr>
          <w:rFonts w:ascii="Arial" w:cs="Arial" w:eastAsia="Arial" w:hAnsi="Arial"/>
          <w:sz w:val="22"/>
          <w:szCs w:val="22"/>
          <w:color w:val="auto"/>
        </w:rPr>
        <w:t>" means SunTrust, in its capacity as lender of Swingline Loans hereunder, and its successors in such capacity as provided in Section 2.04(d).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w:t>
      </w:r>
      <w:r>
        <w:rPr>
          <w:rFonts w:ascii="Arial" w:cs="Arial" w:eastAsia="Arial" w:hAnsi="Arial"/>
          <w:sz w:val="22"/>
          <w:szCs w:val="22"/>
          <w:color w:val="auto"/>
        </w:rPr>
        <w:t>" means a Loan made pursuant to Section 2.04.</w:t>
      </w:r>
    </w:p>
    <w:p>
      <w:pPr>
        <w:spacing w:after="0" w:line="206"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Syndicated</w:t>
      </w:r>
      <w:r>
        <w:rPr>
          <w:rFonts w:ascii="Arial" w:cs="Arial" w:eastAsia="Arial" w:hAnsi="Arial"/>
          <w:sz w:val="22"/>
          <w:szCs w:val="22"/>
          <w:color w:val="auto"/>
        </w:rPr>
        <w:t>", when used in reference to any Loan or Borrowing, refers to whether such Loan, or the Loans constituting such Borrowing, are made pursuant to Section 2.01.</w:t>
      </w:r>
    </w:p>
    <w:p>
      <w:pPr>
        <w:spacing w:after="0" w:line="175"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present or future taxes levies, imposts, duties, deductions, charges or withholdings imposed by any Governmental Authority.</w:t>
      </w:r>
    </w:p>
    <w:p>
      <w:pPr>
        <w:spacing w:after="0" w:line="175" w:lineRule="exact"/>
        <w:rPr>
          <w:sz w:val="20"/>
          <w:szCs w:val="20"/>
          <w:color w:val="auto"/>
        </w:rPr>
      </w:pPr>
    </w:p>
    <w:p>
      <w:pPr>
        <w:ind w:right="106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the execution, delivery and performance by the Borrower of this Agreement and the other Loan Documents, the borrowing of Loans, the use of the proceeds thereof and the issuance of Letters of Credit hereunder.</w:t>
      </w:r>
    </w:p>
    <w:p>
      <w:pPr>
        <w:spacing w:after="0" w:line="105" w:lineRule="exact"/>
        <w:rPr>
          <w:sz w:val="20"/>
          <w:szCs w:val="20"/>
          <w:color w:val="auto"/>
        </w:rPr>
      </w:pPr>
    </w:p>
    <w:p>
      <w:pPr>
        <w:ind w:right="34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when used in reference to any Loan or Borrowing, refers to whether the rate of interest on such Loan, or on the Loans constituting such Borrowing, is determined by reference to the Adjusted LIBO Rate or the Alternate Base Rate.</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Uniform Commercial Code</w:t>
      </w:r>
      <w:r>
        <w:rPr>
          <w:rFonts w:ascii="Arial" w:cs="Arial" w:eastAsia="Arial" w:hAnsi="Arial"/>
          <w:sz w:val="19"/>
          <w:szCs w:val="19"/>
          <w:color w:val="auto"/>
        </w:rPr>
        <w:t>" means the Uniform Commercial Code as in effect from time to time in the State of New York.</w:t>
      </w:r>
    </w:p>
    <w:p>
      <w:pPr>
        <w:sectPr>
          <w:pgSz w:w="11900" w:h="16838" w:orient="portrait"/>
          <w:cols w:equalWidth="0" w:num="1">
            <w:col w:w="11240"/>
          </w:cols>
          <w:pgMar w:left="320" w:top="118" w:right="339" w:bottom="0" w:gutter="0" w:footer="0" w:header="0"/>
        </w:sectPr>
      </w:pPr>
    </w:p>
    <w:bookmarkStart w:id="16" w:name="page17"/>
    <w:bookmarkEnd w:id="16"/>
    <w:p>
      <w:pPr>
        <w:ind w:right="22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Unsecured Longer-Term Indebtedness</w:t>
      </w:r>
      <w:r>
        <w:rPr>
          <w:rFonts w:ascii="Arial" w:cs="Arial" w:eastAsia="Arial" w:hAnsi="Arial"/>
          <w:sz w:val="19"/>
          <w:szCs w:val="19"/>
          <w:color w:val="auto"/>
        </w:rPr>
        <w:t>" means any Indebtedness of the Borrower (which may be Guaranteed by Subsidiary Guarantors) that (a) has no amortization prior to, and a final maturity date not earlier than, six months after the Commitment Termination Date, (b) is incurred pursuant to documentation containing other terms (including interest, amortization, covenants and events of default) that are no more restrictive in any material respect upon the Borrower and its Subsidiaries than those set forth in this Agreement and (c) is not secured by any assets of any Obligor.</w:t>
      </w:r>
    </w:p>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Unsecured Shorter-Term Indebtedness</w:t>
      </w:r>
      <w:r>
        <w:rPr>
          <w:rFonts w:ascii="Arial" w:cs="Arial" w:eastAsia="Arial" w:hAnsi="Arial"/>
          <w:sz w:val="21"/>
          <w:szCs w:val="21"/>
          <w:color w:val="auto"/>
        </w:rPr>
        <w:t>" means, collectively, (a) any Indebtedness of the Borrower or any Subsidiary that is not secured by any assets of any Obligor and that does not constitute Unsecured Longer-Term Indebtedness and (b) any Indebtedness that is designated as "Unsecured Shorter-Term Indebtedness" pursuant to Section 6.11(a).</w:t>
      </w:r>
    </w:p>
    <w:p>
      <w:pPr>
        <w:spacing w:after="0" w:line="169" w:lineRule="exact"/>
        <w:rPr>
          <w:sz w:val="20"/>
          <w:szCs w:val="20"/>
          <w:color w:val="auto"/>
        </w:rPr>
      </w:pPr>
    </w:p>
    <w:p>
      <w:pPr>
        <w:jc w:val="both"/>
        <w:ind w:right="6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Government Securities</w:t>
      </w:r>
      <w:r>
        <w:rPr>
          <w:rFonts w:ascii="Arial" w:cs="Arial" w:eastAsia="Arial" w:hAnsi="Arial"/>
          <w:sz w:val="19"/>
          <w:szCs w:val="19"/>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Value</w:t>
      </w:r>
      <w:r>
        <w:rPr>
          <w:rFonts w:ascii="Arial" w:cs="Arial" w:eastAsia="Arial" w:hAnsi="Arial"/>
          <w:sz w:val="22"/>
          <w:szCs w:val="22"/>
          <w:color w:val="auto"/>
        </w:rPr>
        <w:t>" has the meaning assigned to such term in Section 5.13.</w:t>
      </w:r>
    </w:p>
    <w:p>
      <w:pPr>
        <w:spacing w:after="0" w:line="206" w:lineRule="exact"/>
        <w:rPr>
          <w:sz w:val="20"/>
          <w:szCs w:val="20"/>
          <w:color w:val="auto"/>
        </w:rPr>
      </w:pPr>
    </w:p>
    <w:p>
      <w:pPr>
        <w:ind w:right="8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I of Subtitle E of Title IV of ERISA.</w:t>
      </w:r>
    </w:p>
    <w:p>
      <w:pPr>
        <w:spacing w:after="0" w:line="175"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Classification of Loans and Borrowings</w:t>
      </w:r>
      <w:r>
        <w:rPr>
          <w:rFonts w:ascii="Arial" w:cs="Arial" w:eastAsia="Arial" w:hAnsi="Arial"/>
          <w:sz w:val="22"/>
          <w:szCs w:val="22"/>
          <w:color w:val="auto"/>
        </w:rPr>
        <w:t>. For purposes of this Agreement, Loans may be classified and referred to by Class (e.g., a "Syndicated Dollar Loan" or "Syndicated Multicurrency Loan"), by Type (e.g., an "ABR Loan") or by Class and Type (e.g., a "Syndicated Multicurrency LIBOR Loan"). Borrowings also may be classified and referred to by Class (e.g., a "Dollar Borrowing", "Multicurrency Borrowing" or "Syndicated Borrowing"), by Type (e.g., an "ABR Borrowing") or by Class and Type (e.g., a "Syndicated ABR Borrowing" or "Syndicated Multicurrency LIBOR Borrowing"). Loans and Borrowings may also be identified by Currency.</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 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6"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Accounting Terms; GAAP</w:t>
      </w:r>
      <w:r>
        <w:rPr>
          <w:rFonts w:ascii="Arial" w:cs="Arial" w:eastAsia="Arial" w:hAnsi="Arial"/>
          <w:sz w:val="19"/>
          <w:szCs w:val="19"/>
          <w:color w:val="auto"/>
        </w:rPr>
        <w:t>. Except as otherwise expressly provided herein, all terms of an accounting or financial nature shall be construed in accordance with GAAP, as in effect from time to time; provided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1.06 </w:t>
      </w:r>
      <w:r>
        <w:rPr>
          <w:rFonts w:ascii="Arial" w:cs="Arial" w:eastAsia="Arial" w:hAnsi="Arial"/>
          <w:sz w:val="22"/>
          <w:szCs w:val="22"/>
          <w:u w:val="single" w:color="auto"/>
          <w:color w:val="auto"/>
        </w:rPr>
        <w:t>Currencies; Currency Equivalents</w:t>
      </w:r>
      <w:r>
        <w:rPr>
          <w:rFonts w:ascii="Arial" w:cs="Arial" w:eastAsia="Arial" w:hAnsi="Arial"/>
          <w:sz w:val="22"/>
          <w:szCs w:val="22"/>
          <w:color w:val="auto"/>
        </w:rPr>
        <w:t>.</w:t>
      </w:r>
    </w:p>
    <w:p>
      <w:pPr>
        <w:spacing w:after="0" w:line="206" w:lineRule="exact"/>
        <w:rPr>
          <w:sz w:val="20"/>
          <w:szCs w:val="20"/>
          <w:color w:val="auto"/>
        </w:rPr>
      </w:pPr>
    </w:p>
    <w:p>
      <w:pPr>
        <w:ind w:firstLine="8"/>
        <w:spacing w:after="0" w:line="270" w:lineRule="auto"/>
        <w:tabs>
          <w:tab w:leader="none" w:pos="294" w:val="left"/>
        </w:tabs>
        <w:numPr>
          <w:ilvl w:val="0"/>
          <w:numId w:val="15"/>
        </w:numPr>
        <w:rPr>
          <w:rFonts w:ascii="Arial" w:cs="Arial" w:eastAsia="Arial" w:hAnsi="Arial"/>
          <w:sz w:val="19"/>
          <w:szCs w:val="19"/>
          <w:color w:val="auto"/>
        </w:rPr>
      </w:pPr>
      <w:r>
        <w:rPr>
          <w:rFonts w:ascii="Arial" w:cs="Arial" w:eastAsia="Arial" w:hAnsi="Arial"/>
          <w:sz w:val="19"/>
          <w:szCs w:val="19"/>
          <w:color w:val="auto"/>
        </w:rPr>
        <w:t>Currencies Generally.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Section 2.10(b) and the last sentence of Section 2.17(a),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 Multicurrency LC Exposure, (v) the Covered Debt Amount and (vi) the Borrowing Base or th 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 ts of such Foreign Currency).</w:t>
      </w:r>
    </w:p>
    <w:p>
      <w:pPr>
        <w:sectPr>
          <w:pgSz w:w="11900" w:h="16838" w:orient="portrait"/>
          <w:cols w:equalWidth="0" w:num="1">
            <w:col w:w="11240"/>
          </w:cols>
          <w:pgMar w:left="320" w:top="118" w:right="339" w:bottom="0" w:gutter="0" w:footer="0" w:header="0"/>
        </w:sectPr>
      </w:pPr>
    </w:p>
    <w:bookmarkStart w:id="17" w:name="page18"/>
    <w:bookmarkEnd w:id="17"/>
    <w:p>
      <w:pPr>
        <w:ind w:right="20" w:firstLine="8"/>
        <w:spacing w:after="0" w:line="272" w:lineRule="auto"/>
        <w:tabs>
          <w:tab w:leader="none" w:pos="306" w:val="left"/>
        </w:tabs>
        <w:numPr>
          <w:ilvl w:val="0"/>
          <w:numId w:val="16"/>
        </w:numPr>
        <w:rPr>
          <w:rFonts w:ascii="Arial" w:cs="Arial" w:eastAsia="Arial" w:hAnsi="Arial"/>
          <w:sz w:val="19"/>
          <w:szCs w:val="19"/>
          <w:color w:val="auto"/>
        </w:rPr>
      </w:pPr>
      <w:r>
        <w:rPr>
          <w:rFonts w:ascii="Arial" w:cs="Arial" w:eastAsia="Arial" w:hAnsi="Arial"/>
          <w:sz w:val="19"/>
          <w:szCs w:val="19"/>
          <w:color w:val="auto"/>
        </w:rPr>
        <w:t>Special Provisions Relating to Euro.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provided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 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provided that, with respect to any Borrowing denominated in such currency that is outstanding immediately prior to such date, such replacement shall take effect at the end of the Interest Period therefor.</w:t>
      </w:r>
    </w:p>
    <w:p>
      <w:pPr>
        <w:spacing w:after="0" w:line="200" w:lineRule="exact"/>
        <w:rPr>
          <w:sz w:val="20"/>
          <w:szCs w:val="20"/>
          <w:color w:val="auto"/>
        </w:rPr>
      </w:pPr>
    </w:p>
    <w:p>
      <w:pPr>
        <w:spacing w:after="0" w:line="204"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18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II</w:t>
      </w:r>
    </w:p>
    <w:p>
      <w:pPr>
        <w:spacing w:after="0" w:line="206" w:lineRule="exact"/>
        <w:rPr>
          <w:sz w:val="20"/>
          <w:szCs w:val="20"/>
          <w:color w:val="auto"/>
        </w:rPr>
      </w:pPr>
    </w:p>
    <w:p>
      <w:pPr>
        <w:ind w:left="4940"/>
        <w:spacing w:after="0"/>
        <w:rPr>
          <w:sz w:val="20"/>
          <w:szCs w:val="20"/>
          <w:color w:val="auto"/>
        </w:rPr>
      </w:pPr>
      <w:r>
        <w:rPr>
          <w:rFonts w:ascii="Arial" w:cs="Arial" w:eastAsia="Arial" w:hAnsi="Arial"/>
          <w:sz w:val="22"/>
          <w:szCs w:val="22"/>
          <w:u w:val="single" w:color="auto"/>
          <w:color w:val="auto"/>
        </w:rPr>
        <w:t>THE CREDITS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The Commitments</w:t>
      </w:r>
      <w:r>
        <w:rPr>
          <w:rFonts w:ascii="Arial" w:cs="Arial" w:eastAsia="Arial" w:hAnsi="Arial"/>
          <w:sz w:val="22"/>
          <w:szCs w:val="22"/>
          <w:color w:val="auto"/>
        </w:rPr>
        <w:t>. Subject to the terms and conditions set forth herein:</w:t>
      </w:r>
    </w:p>
    <w:p>
      <w:pPr>
        <w:spacing w:after="0" w:line="206" w:lineRule="exact"/>
        <w:rPr>
          <w:sz w:val="20"/>
          <w:szCs w:val="20"/>
          <w:color w:val="auto"/>
        </w:rPr>
      </w:pPr>
    </w:p>
    <w:p>
      <w:pPr>
        <w:ind w:firstLine="8"/>
        <w:spacing w:after="0" w:line="287" w:lineRule="auto"/>
        <w:tabs>
          <w:tab w:leader="none" w:pos="294" w:val="left"/>
        </w:tabs>
        <w:numPr>
          <w:ilvl w:val="0"/>
          <w:numId w:val="17"/>
        </w:numPr>
        <w:rPr>
          <w:rFonts w:ascii="Arial" w:cs="Arial" w:eastAsia="Arial" w:hAnsi="Arial"/>
          <w:sz w:val="19"/>
          <w:szCs w:val="19"/>
          <w:color w:val="auto"/>
        </w:rPr>
      </w:pPr>
      <w:r>
        <w:rPr>
          <w:rFonts w:ascii="Arial" w:cs="Arial" w:eastAsia="Arial" w:hAnsi="Arial"/>
          <w:sz w:val="19"/>
          <w:szCs w:val="19"/>
          <w:color w:val="auto"/>
        </w:rPr>
        <w:t>each Dollar Lender agrees to make Syndicated Loans in Dollars to the Borrower from time to time during the Availability Period in an aggregate principal amount that will not result in (i) such Lender's Revolving Dollar Credit Exposure exceeding such Lender's Dollar Commitment, (ii) the aggregate Revolving Dollar Credit Exposure of all of the Dollar Lenders exceeding the aggregate Dollar Commitments or (iii) the total Covered Debt Amount exceeding the Borrowing Base then in effect; and</w:t>
      </w:r>
    </w:p>
    <w:p>
      <w:pPr>
        <w:spacing w:after="0" w:line="142" w:lineRule="exact"/>
        <w:rPr>
          <w:rFonts w:ascii="Arial" w:cs="Arial" w:eastAsia="Arial" w:hAnsi="Arial"/>
          <w:sz w:val="19"/>
          <w:szCs w:val="19"/>
          <w:color w:val="auto"/>
        </w:rPr>
      </w:pPr>
    </w:p>
    <w:p>
      <w:pPr>
        <w:ind w:right="280" w:firstLine="8"/>
        <w:spacing w:after="0" w:line="271" w:lineRule="auto"/>
        <w:tabs>
          <w:tab w:leader="none" w:pos="306" w:val="left"/>
        </w:tabs>
        <w:numPr>
          <w:ilvl w:val="0"/>
          <w:numId w:val="17"/>
        </w:numPr>
        <w:rPr>
          <w:rFonts w:ascii="Arial" w:cs="Arial" w:eastAsia="Arial" w:hAnsi="Arial"/>
          <w:sz w:val="19"/>
          <w:szCs w:val="19"/>
          <w:color w:val="auto"/>
        </w:rPr>
      </w:pPr>
      <w:r>
        <w:rPr>
          <w:rFonts w:ascii="Arial" w:cs="Arial" w:eastAsia="Arial" w:hAnsi="Arial"/>
          <w:sz w:val="19"/>
          <w:szCs w:val="19"/>
          <w:color w:val="auto"/>
        </w:rPr>
        <w:t>each Multicurrency Lender agrees to make Syndicated Loans in Dollars and in Agreed Foreign Currencies to the Borrower from time to time during the Availability Period in an aggregate principal amount that will not result in (i) such Lender's Revolving Multicurrency Credit Exposure exceeding such Lender's Multicurrency Commitment, (ii) the aggregate Revolving Multicurrency Credit Exposure of all of the Multicurrency Lenders exceeding the aggregate Multicurrency Commitments or</w:t>
      </w:r>
    </w:p>
    <w:p>
      <w:pPr>
        <w:spacing w:after="0" w:line="3" w:lineRule="exact"/>
        <w:rPr>
          <w:rFonts w:ascii="Arial" w:cs="Arial" w:eastAsia="Arial" w:hAnsi="Arial"/>
          <w:sz w:val="19"/>
          <w:szCs w:val="19"/>
          <w:color w:val="auto"/>
        </w:rPr>
      </w:pPr>
    </w:p>
    <w:p>
      <w:pPr>
        <w:ind w:left="380" w:hanging="372"/>
        <w:spacing w:after="0"/>
        <w:tabs>
          <w:tab w:leader="none" w:pos="3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total Covered Debt Amount exceeding the Borrowing Base then in effect.</w:t>
      </w:r>
    </w:p>
    <w:p>
      <w:pPr>
        <w:spacing w:after="0" w:line="188"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Within the foregoing limits and subject to the terms and conditions set forth herein, the Borrower may borrow, prepay and reborrow Syndicated Loans.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Loans and Borrowings</w:t>
      </w:r>
      <w:r>
        <w:rPr>
          <w:rFonts w:ascii="Arial" w:cs="Arial" w:eastAsia="Arial" w:hAnsi="Arial"/>
          <w:sz w:val="22"/>
          <w:szCs w:val="22"/>
          <w:color w:val="auto"/>
        </w:rPr>
        <w:t>.</w:t>
      </w:r>
    </w:p>
    <w:p>
      <w:pPr>
        <w:spacing w:after="0" w:line="206" w:lineRule="exact"/>
        <w:rPr>
          <w:sz w:val="20"/>
          <w:szCs w:val="20"/>
          <w:color w:val="auto"/>
        </w:rPr>
      </w:pPr>
    </w:p>
    <w:p>
      <w:pPr>
        <w:jc w:val="both"/>
        <w:ind w:right="120" w:firstLine="8"/>
        <w:spacing w:after="0" w:line="236" w:lineRule="auto"/>
        <w:tabs>
          <w:tab w:leader="none" w:pos="294"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Obligations of Lenders</w:t>
      </w:r>
      <w:r>
        <w:rPr>
          <w:rFonts w:ascii="Arial" w:cs="Arial" w:eastAsia="Arial" w:hAnsi="Arial"/>
          <w:sz w:val="22"/>
          <w:szCs w:val="22"/>
          <w:color w:val="auto"/>
        </w:rPr>
        <w:t>. Each Syndicated Loan shall be made as part of a Borrowing consisting of Loans of the same Class, Currency and Type made by the applicable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spacing w:after="0" w:line="187" w:lineRule="exact"/>
        <w:rPr>
          <w:rFonts w:ascii="Arial" w:cs="Arial" w:eastAsia="Arial" w:hAnsi="Arial"/>
          <w:sz w:val="22"/>
          <w:szCs w:val="22"/>
          <w:color w:val="auto"/>
        </w:rPr>
      </w:pPr>
    </w:p>
    <w:p>
      <w:pPr>
        <w:ind w:right="160" w:firstLine="8"/>
        <w:spacing w:after="0" w:line="282" w:lineRule="auto"/>
        <w:tabs>
          <w:tab w:leader="none" w:pos="306"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Type of Loans</w:t>
      </w:r>
      <w:r>
        <w:rPr>
          <w:rFonts w:ascii="Arial" w:cs="Arial" w:eastAsia="Arial" w:hAnsi="Arial"/>
          <w:sz w:val="19"/>
          <w:szCs w:val="19"/>
          <w:color w:val="auto"/>
        </w:rPr>
        <w:t>. Subject to Section 2.13, each Syndicated Borrowing of a Class shall be constituted entirely of ABR Loans or of Eurocurrency Loans of such Class denominated in a single Currency as the Borrower may request in accordance herewith. Each ABR Loan shall be denominated in Dollars. Each Lender at its option may make any Eurocurrency Loan by causing any domestic or foreign branch or Affiliate of such Lender to make such Loan; provided that any exercise of such option shall not affect the obligation of the Borrower to repay such Loan in accordance with the terms of this Agreement.</w:t>
      </w:r>
    </w:p>
    <w:p>
      <w:pPr>
        <w:spacing w:after="0" w:line="147" w:lineRule="exact"/>
        <w:rPr>
          <w:rFonts w:ascii="Arial" w:cs="Arial" w:eastAsia="Arial" w:hAnsi="Arial"/>
          <w:sz w:val="19"/>
          <w:szCs w:val="19"/>
          <w:color w:val="auto"/>
        </w:rPr>
      </w:pPr>
    </w:p>
    <w:p>
      <w:pPr>
        <w:ind w:left="300" w:hanging="292"/>
        <w:spacing w:after="0"/>
        <w:tabs>
          <w:tab w:leader="none" w:pos="30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Minimum Amounts</w:t>
      </w:r>
      <w:r>
        <w:rPr>
          <w:rFonts w:ascii="Arial" w:cs="Arial" w:eastAsia="Arial" w:hAnsi="Arial"/>
          <w:sz w:val="19"/>
          <w:szCs w:val="19"/>
          <w:color w:val="auto"/>
        </w:rPr>
        <w:t>. Each Eurocurrency Borrowing shall be in an aggregate amount of $1,000,000 or a larger multiple of</w:t>
      </w:r>
    </w:p>
    <w:p>
      <w:pPr>
        <w:spacing w:after="0" w:line="43" w:lineRule="exact"/>
        <w:rPr>
          <w:sz w:val="20"/>
          <w:szCs w:val="20"/>
          <w:color w:val="auto"/>
        </w:rPr>
      </w:pPr>
    </w:p>
    <w:p>
      <w:pPr>
        <w:ind w:right="120"/>
        <w:spacing w:after="0" w:line="233" w:lineRule="auto"/>
        <w:rPr>
          <w:sz w:val="20"/>
          <w:szCs w:val="20"/>
          <w:color w:val="auto"/>
        </w:rPr>
      </w:pPr>
      <w:r>
        <w:rPr>
          <w:rFonts w:ascii="Arial" w:cs="Arial" w:eastAsia="Arial" w:hAnsi="Arial"/>
          <w:sz w:val="22"/>
          <w:szCs w:val="22"/>
          <w:color w:val="auto"/>
        </w:rPr>
        <w:t>$1,000,000, and each ABR Borrowing (whether Syndicated or Swingline) shall be in an aggregate amount of $1,000,000 or a larger multiple of $100,000; provided that a Syndicated ABR Borrowing of a Class may be in an aggregate amount that is equal to the entire unused balance of the total Commitments of such Class or that is required to finance the reimbursement of an LC Disbursement of such Class as contemplated by Section 2.05(f). Borrowings of more than one Class, Currency and Type may be outstanding at the same time.</w:t>
      </w:r>
    </w:p>
    <w:p>
      <w:pPr>
        <w:spacing w:after="0" w:line="185" w:lineRule="exact"/>
        <w:rPr>
          <w:sz w:val="20"/>
          <w:szCs w:val="20"/>
          <w:color w:val="auto"/>
        </w:rPr>
      </w:pPr>
    </w:p>
    <w:p>
      <w:pPr>
        <w:ind w:right="120" w:firstLine="8"/>
        <w:spacing w:after="0"/>
        <w:tabs>
          <w:tab w:leader="none" w:pos="306"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Limitations on Interest Periods</w:t>
      </w:r>
      <w:r>
        <w:rPr>
          <w:rFonts w:ascii="Arial" w:cs="Arial" w:eastAsia="Arial" w:hAnsi="Arial"/>
          <w:sz w:val="22"/>
          <w:szCs w:val="22"/>
          <w:color w:val="auto"/>
        </w:rPr>
        <w:t>. Notwithstanding any other provision of this Agreement, the Borrower shall not be entitled to request (or to elect to convert to or continue as a Eurocurrency Borrowing) any Borrowing if the Interest Period requested therefor would end after the Commitment Termination Date.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Requests for Syndicated Borrowings</w:t>
      </w:r>
      <w:r>
        <w:rPr>
          <w:rFonts w:ascii="Arial" w:cs="Arial" w:eastAsia="Arial" w:hAnsi="Arial"/>
          <w:sz w:val="22"/>
          <w:szCs w:val="22"/>
          <w:color w:val="auto"/>
        </w:rPr>
        <w:t>.</w:t>
      </w:r>
    </w:p>
    <w:p>
      <w:pPr>
        <w:sectPr>
          <w:pgSz w:w="11900" w:h="16838" w:orient="portrait"/>
          <w:cols w:equalWidth="0" w:num="1">
            <w:col w:w="11220"/>
          </w:cols>
          <w:pgMar w:left="320" w:top="118" w:right="359" w:bottom="0" w:gutter="0" w:footer="0" w:header="0"/>
        </w:sectPr>
      </w:pPr>
    </w:p>
    <w:bookmarkStart w:id="18" w:name="page19"/>
    <w:bookmarkEnd w:id="18"/>
    <w:p>
      <w:pPr>
        <w:ind w:right="60" w:firstLine="8"/>
        <w:spacing w:after="0" w:line="246" w:lineRule="auto"/>
        <w:tabs>
          <w:tab w:leader="none" w:pos="294"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Notice by the Borrower</w:t>
      </w:r>
      <w:r>
        <w:rPr>
          <w:rFonts w:ascii="Arial" w:cs="Arial" w:eastAsia="Arial" w:hAnsi="Arial"/>
          <w:sz w:val="21"/>
          <w:szCs w:val="21"/>
          <w:color w:val="auto"/>
        </w:rPr>
        <w:t>. To request a Syndicated Borrowing, the Borrower shall notify the Administrative Agent of such request by telephone (i) in the case of a Eurocurrency Borrowing denominated in Dollars, not later than 11:00 a.m., Atlanta, Georgia time, three Business Days before the date of the proposed Borrowing, (ii) in the case of a Eurocurrency Borrowing denominated in a Foreign Currency, not later than 11:00 a.m., Atlanta, Georgia time, four Business Days before the date of the proposed Borrowing or (iii) in the case of a Syndicated ABR Borrowing, not later than 11:00 a.m., Atlanta, Georgia time, one Business Day before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180" w:lineRule="exact"/>
        <w:rPr>
          <w:rFonts w:ascii="Arial" w:cs="Arial" w:eastAsia="Arial" w:hAnsi="Arial"/>
          <w:sz w:val="21"/>
          <w:szCs w:val="21"/>
          <w:color w:val="auto"/>
        </w:rPr>
      </w:pPr>
    </w:p>
    <w:p>
      <w:pPr>
        <w:ind w:right="280" w:firstLine="8"/>
        <w:spacing w:after="0" w:line="250" w:lineRule="auto"/>
        <w:tabs>
          <w:tab w:leader="none" w:pos="30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Content of Borrowing Requests</w:t>
      </w:r>
      <w:r>
        <w:rPr>
          <w:rFonts w:ascii="Arial" w:cs="Arial" w:eastAsia="Arial" w:hAnsi="Arial"/>
          <w:sz w:val="22"/>
          <w:szCs w:val="22"/>
          <w:color w:val="auto"/>
        </w:rPr>
        <w:t>. Each telephonic and written Borrowing Request shall specify the following information in compliance with Section 2.02:</w:t>
      </w:r>
    </w:p>
    <w:p>
      <w:pPr>
        <w:spacing w:after="0" w:line="175"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whether such Borrowing is to be made under the Dollar Commitments or the Multicurrency Commitments;</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aggregate amount and Currency of the requested Borrowing;</w:t>
      </w:r>
    </w:p>
    <w:p>
      <w:pPr>
        <w:spacing w:after="0" w:line="206" w:lineRule="exact"/>
        <w:rPr>
          <w:rFonts w:ascii="Arial" w:cs="Arial" w:eastAsia="Arial" w:hAnsi="Arial"/>
          <w:sz w:val="22"/>
          <w:szCs w:val="22"/>
          <w:color w:val="auto"/>
        </w:rPr>
      </w:pPr>
    </w:p>
    <w:p>
      <w:pPr>
        <w:ind w:left="380" w:hanging="372"/>
        <w:spacing w:after="0"/>
        <w:tabs>
          <w:tab w:leader="none" w:pos="3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date of such Borrowing, which shall be a Business Day;</w:t>
      </w:r>
    </w:p>
    <w:p>
      <w:pPr>
        <w:spacing w:after="0" w:line="206" w:lineRule="exact"/>
        <w:rPr>
          <w:rFonts w:ascii="Arial" w:cs="Arial" w:eastAsia="Arial" w:hAnsi="Arial"/>
          <w:sz w:val="22"/>
          <w:szCs w:val="22"/>
          <w:color w:val="auto"/>
        </w:rPr>
      </w:pPr>
    </w:p>
    <w:p>
      <w:pPr>
        <w:ind w:right="440" w:firstLine="8"/>
        <w:spacing w:after="0" w:line="250" w:lineRule="auto"/>
        <w:tabs>
          <w:tab w:leader="none" w:pos="366"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 the case of a Syndicated Borrowing denominated in Dollars, whether such Borrowing is to be an ABR Borrowing or a Eurocurrency Borrowing;</w:t>
      </w:r>
    </w:p>
    <w:p>
      <w:pPr>
        <w:spacing w:after="0" w:line="174" w:lineRule="exact"/>
        <w:rPr>
          <w:rFonts w:ascii="Arial" w:cs="Arial" w:eastAsia="Arial" w:hAnsi="Arial"/>
          <w:sz w:val="22"/>
          <w:szCs w:val="22"/>
          <w:color w:val="auto"/>
        </w:rPr>
      </w:pPr>
    </w:p>
    <w:p>
      <w:pPr>
        <w:ind w:right="180" w:firstLine="8"/>
        <w:spacing w:after="0" w:line="250" w:lineRule="auto"/>
        <w:tabs>
          <w:tab w:leader="none" w:pos="306"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 the case of a Eurocurrency Borrowing, the Interest Period therefor, which shall be a period contemplated by the definition of the term "Interest Period" and permitted under Section 2.02(d); and</w:t>
      </w:r>
    </w:p>
    <w:p>
      <w:pPr>
        <w:spacing w:after="0" w:line="174" w:lineRule="exact"/>
        <w:rPr>
          <w:rFonts w:ascii="Arial" w:cs="Arial" w:eastAsia="Arial" w:hAnsi="Arial"/>
          <w:sz w:val="22"/>
          <w:szCs w:val="22"/>
          <w:color w:val="auto"/>
        </w:rPr>
      </w:pPr>
    </w:p>
    <w:p>
      <w:pPr>
        <w:ind w:right="920" w:firstLine="8"/>
        <w:spacing w:after="0" w:line="250" w:lineRule="auto"/>
        <w:tabs>
          <w:tab w:leader="none" w:pos="366"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location and number of the Borrower's account to which funds are to be disbursed, which shall comply with the requirements of Section 2.06.</w:t>
      </w:r>
    </w:p>
    <w:p>
      <w:pPr>
        <w:spacing w:after="0" w:line="175" w:lineRule="exact"/>
        <w:rPr>
          <w:sz w:val="20"/>
          <w:szCs w:val="20"/>
          <w:color w:val="auto"/>
        </w:rPr>
      </w:pPr>
    </w:p>
    <w:p>
      <w:pPr>
        <w:ind w:right="300" w:firstLine="8"/>
        <w:spacing w:after="0"/>
        <w:tabs>
          <w:tab w:leader="none" w:pos="29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Notice by the Administrative Agent to the Lenders</w:t>
      </w:r>
      <w:r>
        <w:rPr>
          <w:rFonts w:ascii="Arial" w:cs="Arial" w:eastAsia="Arial" w:hAnsi="Arial"/>
          <w:sz w:val="22"/>
          <w:szCs w:val="22"/>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86" w:lineRule="exact"/>
        <w:rPr>
          <w:rFonts w:ascii="Arial" w:cs="Arial" w:eastAsia="Arial" w:hAnsi="Arial"/>
          <w:sz w:val="22"/>
          <w:szCs w:val="22"/>
          <w:color w:val="auto"/>
        </w:rPr>
      </w:pPr>
    </w:p>
    <w:p>
      <w:pPr>
        <w:ind w:right="20" w:firstLine="8"/>
        <w:spacing w:after="0" w:line="273" w:lineRule="auto"/>
        <w:tabs>
          <w:tab w:leader="none" w:pos="306"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Failure to Elect</w:t>
      </w:r>
      <w:r>
        <w:rPr>
          <w:rFonts w:ascii="Arial" w:cs="Arial" w:eastAsia="Arial" w:hAnsi="Arial"/>
          <w:sz w:val="19"/>
          <w:szCs w:val="19"/>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Eurocurrency Borrowing having an Interest Period of one month and, if an Agreed Foreign Currency has been specified, the requested Syndicated Borrowing shall be a Eurocurrency Borrowing denominated in such Agreed Foreign Currency and having an Interest Period of one month. If a Eurocurrency Borrowing is requested but no Interest Period is specified, (i) if the Currency specified for such Borrowing is Dollars (or if no Currency has been so specified), the requested Borrowing shall be a Eurocurrency Borrowing denominated in Dollars having an Inte rest Period of one month's duration, and (ii) if the Currency specified for such Borrowing is an Agreed Foreign Currency, the Borrower shall be deemed to have selected an Interest Period of one month's duration.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Swingline Loans</w:t>
      </w:r>
      <w:r>
        <w:rPr>
          <w:rFonts w:ascii="Arial" w:cs="Arial" w:eastAsia="Arial" w:hAnsi="Arial"/>
          <w:sz w:val="22"/>
          <w:szCs w:val="22"/>
          <w:color w:val="auto"/>
        </w:rPr>
        <w:t>.</w:t>
      </w:r>
    </w:p>
    <w:p>
      <w:pPr>
        <w:spacing w:after="0" w:line="206" w:lineRule="exact"/>
        <w:rPr>
          <w:sz w:val="20"/>
          <w:szCs w:val="20"/>
          <w:color w:val="auto"/>
        </w:rPr>
      </w:pPr>
    </w:p>
    <w:p>
      <w:pPr>
        <w:ind w:firstLine="8"/>
        <w:spacing w:after="0" w:line="275" w:lineRule="auto"/>
        <w:tabs>
          <w:tab w:leader="none" w:pos="29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Agreement to Make Swingline Loans</w:t>
      </w:r>
      <w:r>
        <w:rPr>
          <w:rFonts w:ascii="Arial" w:cs="Arial" w:eastAsia="Arial" w:hAnsi="Arial"/>
          <w:sz w:val="19"/>
          <w:szCs w:val="19"/>
          <w:color w:val="auto"/>
        </w:rPr>
        <w:t>. Subject to the terms and conditions set forth herein, the Swingline Lender agrees to make Swingline Loans under each Commitment to the Borrower from time to time during the Availability Period in Dollars, in an aggregate principal amount at any time outstanding that will not result in (i) the aggregate principal amount of outstanding Swingline Loans of both Classes exceeding $40,000,000, (ii) the total Revolving Dollar Credit Exposures exceeding the aggregate Dollar Commitments, (iii) the total Revolving Multicurrency Credit Exposures exceeding the aggregate Multicurrency Commitments or (iv) the total Covered Debt Amount exceeding the Borrowing Base then in effect; provided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57" w:lineRule="exact"/>
        <w:rPr>
          <w:rFonts w:ascii="Arial" w:cs="Arial" w:eastAsia="Arial" w:hAnsi="Arial"/>
          <w:sz w:val="19"/>
          <w:szCs w:val="19"/>
          <w:color w:val="auto"/>
        </w:rPr>
      </w:pPr>
    </w:p>
    <w:p>
      <w:pPr>
        <w:ind w:right="20" w:firstLine="8"/>
        <w:spacing w:after="0" w:line="245" w:lineRule="auto"/>
        <w:tabs>
          <w:tab w:leader="none" w:pos="306"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Notice of Swingline Loans by the Borrower</w:t>
      </w:r>
      <w:r>
        <w:rPr>
          <w:rFonts w:ascii="Arial" w:cs="Arial" w:eastAsia="Arial" w:hAnsi="Arial"/>
          <w:sz w:val="21"/>
          <w:szCs w:val="21"/>
          <w:color w:val="auto"/>
        </w:rPr>
        <w:t>. To request a Swingline Loan, the Borrower shall notify the Administrative Agent of such request by telephone (confirmed by telecopy) not later than 2:00 p.m., Atlanta, Georgia time, on the day of such proposed Swingline Loan. Each such notice shall be irrevocable and shall specify the requested date (which shall be a Business Day), the amount of the requested Swingline Loan and whether such Swingline Loan is to be made under the Dollar Commitments or the Multicurrency Commitments. The Administrative Agent will promptly advise the Swingline Lender of any such notice received from the Borrower. The Swingline Lender shall make each Swingline Loan available to the Borrower by means of a credit to the general deposit account of the Borrower with the Swingline Lender (or, in the case of a Swingline Loan made to finance the reimbursement of an LC Disbursement as provided in Section 2.05(f), by remittance to the Issuing Bank) by 3:00 p.m., A tlanta, Georgia time, on the requested date of such Swingline Loan.</w:t>
      </w:r>
    </w:p>
    <w:p>
      <w:pPr>
        <w:spacing w:after="0" w:line="184" w:lineRule="exact"/>
        <w:rPr>
          <w:rFonts w:ascii="Arial" w:cs="Arial" w:eastAsia="Arial" w:hAnsi="Arial"/>
          <w:sz w:val="21"/>
          <w:szCs w:val="21"/>
          <w:color w:val="auto"/>
        </w:rPr>
      </w:pPr>
    </w:p>
    <w:p>
      <w:pPr>
        <w:ind w:firstLine="8"/>
        <w:spacing w:after="0" w:line="279" w:lineRule="auto"/>
        <w:tabs>
          <w:tab w:leader="none" w:pos="29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Participations by Lenders in Swingline Loans</w:t>
      </w:r>
      <w:r>
        <w:rPr>
          <w:rFonts w:ascii="Arial" w:cs="Arial" w:eastAsia="Arial" w:hAnsi="Arial"/>
          <w:sz w:val="19"/>
          <w:szCs w:val="19"/>
          <w:color w:val="auto"/>
        </w:rPr>
        <w:t>. The Swingline Lender may by written notice given to the Administrative Agent not later than 10:00 a.m., Atlanta, Georgia time on any Business Day, require the Lenders of the applicable Class to acquire participations on such Business Day in all or a portion of the Swingline Loans of such Class outstanding.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Dollar Percentage or Applicable Multicurrency Percentage of such Swingline Loan or</w:t>
      </w:r>
    </w:p>
    <w:p>
      <w:pPr>
        <w:sectPr>
          <w:pgSz w:w="11900" w:h="16838" w:orient="portrait"/>
          <w:cols w:equalWidth="0" w:num="1">
            <w:col w:w="11240"/>
          </w:cols>
          <w:pgMar w:left="320" w:top="118" w:right="339" w:bottom="0" w:gutter="0" w:footer="0" w:header="0"/>
        </w:sectPr>
      </w:pPr>
    </w:p>
    <w:bookmarkStart w:id="19" w:name="page20"/>
    <w:bookmarkEnd w:id="19"/>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Loans. Each Lender hereby absolutely and unconditionally agrees, upon receipt of notice as provided above in this paragraph, to pay to the Administrative Agent, for account of the Swingline Lender, such Lender's Applicable Dollar Percentage or Applicabl e Multicurrency Percentage, as the case may be, of such Swingline Loan or Loans, provided that no Lender shall be required to purchase a participation in a Swingline Loan pursuant to this Section 2.04(c) if (x) the conditions set forth in Section 4.02 would not be satisfied in respect of a Borrowing at the time such Swingline Loan was made and (y) the Required Lenders of the respective Class shall have so notified the Swingline Lender in writing and shall not have subsequently determined that the circumstances giving rise to such conditions not being satisfied no longer exist.</w:t>
      </w:r>
    </w:p>
    <w:p>
      <w:pPr>
        <w:spacing w:after="0" w:line="152"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 xml:space="preserve">Subject to the foregoing, each Lender acknowledges and agrees that its obligation to acquire participations in Swingline Loans pursuant to this paragraph (c)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Section 2.06 with respect to Loans made by such Lender (and Section 2.06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to the payment obligations of the Lenders), and the Administrative Agent shall promptly pay to the Swingline Lender the amounts so received by it from the Lenders. The Administrative Agent shall notify the Borrower of any participations in any Swingline L 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The purchase of participations in a Swingline Loan pursuant to this paragraph shall not relieve the Borrower of any default in the payment thereof.</w:t>
      </w:r>
    </w:p>
    <w:p>
      <w:pPr>
        <w:spacing w:after="0" w:line="160" w:lineRule="exact"/>
        <w:rPr>
          <w:sz w:val="20"/>
          <w:szCs w:val="20"/>
          <w:color w:val="auto"/>
        </w:rPr>
      </w:pPr>
    </w:p>
    <w:p>
      <w:pPr>
        <w:ind w:right="40" w:firstLine="8"/>
        <w:spacing w:after="0" w:line="274" w:lineRule="auto"/>
        <w:tabs>
          <w:tab w:leader="none" w:pos="306" w:val="left"/>
        </w:tabs>
        <w:numPr>
          <w:ilvl w:val="0"/>
          <w:numId w:val="25"/>
        </w:numPr>
        <w:rPr>
          <w:rFonts w:ascii="Arial" w:cs="Arial" w:eastAsia="Arial" w:hAnsi="Arial"/>
          <w:sz w:val="19"/>
          <w:szCs w:val="19"/>
          <w:color w:val="auto"/>
        </w:rPr>
      </w:pPr>
      <w:r>
        <w:rPr>
          <w:rFonts w:ascii="Arial" w:cs="Arial" w:eastAsia="Arial" w:hAnsi="Arial"/>
          <w:sz w:val="19"/>
          <w:szCs w:val="19"/>
          <w:color w:val="auto"/>
        </w:rPr>
        <w:t>Replacement of Swingline Lender. The Swingline Lender may be replaced at any time by written agreement among the Borrower, the Administrative Agent, the replaced Swingline Lender and the successor Swingline Lender. The Administrative Agent shall notify the Lenders of any such replacement of the Swingline Lender. At the time any such replacement shall become effective, the Borrower shall repay in full all outstanding Swingline Loans together with all accrued interest thereon. From and after the effective date of any such replacement, (i) the successor Swingline Lender shall have all the rights and obligations of the replaced Swingline Lender under this Agreement with respect to Swingline Loans to be made thereafter and (ii) references herein to the term "Swingline Lender" shall be deemed to refer to such successor or to any previous Swingline Lender, or to such successor and all previous Swingline Lenders, as the context shall require. After the replacement of the Swingline Lender h ereunder, the replaced Swingline Lender shall have no obligation to make additional Swingline Loans.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Letters of Credit</w:t>
      </w:r>
      <w:r>
        <w:rPr>
          <w:rFonts w:ascii="Arial" w:cs="Arial" w:eastAsia="Arial" w:hAnsi="Arial"/>
          <w:sz w:val="22"/>
          <w:szCs w:val="22"/>
          <w:color w:val="auto"/>
        </w:rPr>
        <w:t>.</w:t>
      </w:r>
    </w:p>
    <w:p>
      <w:pPr>
        <w:spacing w:after="0" w:line="206" w:lineRule="exact"/>
        <w:rPr>
          <w:sz w:val="20"/>
          <w:szCs w:val="20"/>
          <w:color w:val="auto"/>
        </w:rPr>
      </w:pPr>
    </w:p>
    <w:p>
      <w:pPr>
        <w:ind w:firstLine="8"/>
        <w:spacing w:after="0" w:line="248" w:lineRule="auto"/>
        <w:tabs>
          <w:tab w:leader="none" w:pos="294"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Subject to the terms and conditions set forth herein, in addition to the Loans provided for in Section 2.01, the Borrower may request the Issuing Bank to issue, at any time and from time to time during the Availability Period and under either the Dollar Commitments or Multicurrency Commitments, Letters of Credit denominated in Dollars or (in the case of Letters of Credit under the Multicurrency Commitments) in any Agreed Foreign Currency for its own account in such form as is acceptable to the Issuing Bank in its reasonable determination. Letters of Credit issued hereunder shall constitute utilization of the Commitments up to the aggregate amount available to be drawn thereunder.</w:t>
      </w:r>
    </w:p>
    <w:p>
      <w:pPr>
        <w:spacing w:after="0" w:line="176" w:lineRule="exact"/>
        <w:rPr>
          <w:rFonts w:ascii="Arial" w:cs="Arial" w:eastAsia="Arial" w:hAnsi="Arial"/>
          <w:sz w:val="21"/>
          <w:szCs w:val="21"/>
          <w:color w:val="auto"/>
        </w:rPr>
      </w:pPr>
    </w:p>
    <w:p>
      <w:pPr>
        <w:ind w:right="60" w:firstLine="8"/>
        <w:spacing w:after="0" w:line="271" w:lineRule="auto"/>
        <w:tabs>
          <w:tab w:leader="none" w:pos="306"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Renewal or Extension</w:t>
      </w:r>
      <w:r>
        <w:rPr>
          <w:rFonts w:ascii="Arial" w:cs="Arial" w:eastAsia="Arial" w:hAnsi="Arial"/>
          <w:sz w:val="19"/>
          <w:szCs w:val="19"/>
          <w:color w:val="auto"/>
        </w:rPr>
        <w:t>. To request the issuance of a Letter of Credit (or the amendment, renewal or extension of an outstanding Letter of Credit), the Borrower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(d) of this Section), the amount and Currency of such Letter of Credit, whether such Letter of Credit is to be issued under the Dollar Commitments or the Multicurrency Commitments, the name and addre ss of the beneficiary thereof and such other information as shall be necessary to prepare, amend, renew or extend such Letter of Credit. If requested by the Issuing Bank, the Borrower also shall submit a letter of credit application on the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firstLine="8"/>
        <w:spacing w:after="0" w:line="270" w:lineRule="auto"/>
        <w:tabs>
          <w:tab w:leader="none" w:pos="294"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Limitations on Amounts</w:t>
      </w:r>
      <w:r>
        <w:rPr>
          <w:rFonts w:ascii="Arial" w:cs="Arial" w:eastAsia="Arial" w:hAnsi="Arial"/>
          <w:sz w:val="19"/>
          <w:szCs w:val="19"/>
          <w:color w:val="auto"/>
        </w:rPr>
        <w: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Issuing Bank (determined for these purposes without giving effect to the participations therein of the Lenders pursuant to paragraph (e) of this Section) shall not exceed $40,000,000, (ii) the total Revolving Dollar Credit Exposures shall not exceed the aggregate Dollar Commitments,</w:t>
      </w:r>
    </w:p>
    <w:p>
      <w:pPr>
        <w:spacing w:after="0" w:line="4" w:lineRule="exact"/>
        <w:rPr>
          <w:rFonts w:ascii="Arial" w:cs="Arial" w:eastAsia="Arial" w:hAnsi="Arial"/>
          <w:sz w:val="19"/>
          <w:szCs w:val="19"/>
          <w:color w:val="auto"/>
        </w:rPr>
      </w:pPr>
    </w:p>
    <w:p>
      <w:pPr>
        <w:ind w:right="80" w:firstLine="8"/>
        <w:spacing w:after="0" w:line="236" w:lineRule="auto"/>
        <w:tabs>
          <w:tab w:leader="none" w:pos="378"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total Revolving Multicurrency Credit Exposures shall not exceed the aggregate Multicurrency Commitments and (iv) the total Covered Debt Amount shall not exceed the Borrowing Base then in effect.</w:t>
      </w:r>
    </w:p>
    <w:p>
      <w:pPr>
        <w:spacing w:after="0" w:line="186" w:lineRule="exact"/>
        <w:rPr>
          <w:rFonts w:ascii="Arial" w:cs="Arial" w:eastAsia="Arial" w:hAnsi="Arial"/>
          <w:sz w:val="22"/>
          <w:szCs w:val="22"/>
          <w:color w:val="auto"/>
        </w:rPr>
      </w:pPr>
    </w:p>
    <w:p>
      <w:pPr>
        <w:ind w:right="80" w:firstLine="8"/>
        <w:spacing w:after="0" w:line="297" w:lineRule="auto"/>
        <w:tabs>
          <w:tab w:leader="none" w:pos="306"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Expiration Date</w:t>
      </w:r>
      <w:r>
        <w:rPr>
          <w:rFonts w:ascii="Arial" w:cs="Arial" w:eastAsia="Arial" w:hAnsi="Arial"/>
          <w:sz w:val="19"/>
          <w:szCs w:val="19"/>
          <w:color w:val="auto"/>
        </w:rPr>
        <w:t>.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w:t>
      </w:r>
    </w:p>
    <w:p>
      <w:pPr>
        <w:sectPr>
          <w:pgSz w:w="11900" w:h="16979" w:orient="portrait"/>
          <w:cols w:equalWidth="0" w:num="1">
            <w:col w:w="11240"/>
          </w:cols>
          <w:pgMar w:left="320" w:top="118" w:right="339" w:bottom="0" w:gutter="0" w:footer="0" w:header="0"/>
        </w:sectPr>
      </w:pPr>
    </w:p>
    <w:bookmarkStart w:id="20" w:name="page21"/>
    <w:bookmarkEnd w:id="20"/>
    <w:p>
      <w:pPr>
        <w:ind w:right="180"/>
        <w:spacing w:after="0" w:line="251" w:lineRule="auto"/>
        <w:rPr>
          <w:sz w:val="20"/>
          <w:szCs w:val="20"/>
          <w:color w:val="auto"/>
        </w:rPr>
      </w:pPr>
      <w:r>
        <w:rPr>
          <w:rFonts w:ascii="Arial" w:cs="Arial" w:eastAsia="Arial" w:hAnsi="Arial"/>
          <w:sz w:val="22"/>
          <w:szCs w:val="22"/>
          <w:color w:val="auto"/>
        </w:rPr>
        <w:t>expiration date); provided that any Letter of Credit with a one-year term may provide for the renewal thereof for additional one-year periods.</w:t>
      </w:r>
    </w:p>
    <w:p>
      <w:pPr>
        <w:spacing w:after="0" w:line="173" w:lineRule="exact"/>
        <w:rPr>
          <w:sz w:val="20"/>
          <w:szCs w:val="20"/>
          <w:color w:val="auto"/>
        </w:rPr>
      </w:pPr>
    </w:p>
    <w:p>
      <w:pPr>
        <w:ind w:firstLine="8"/>
        <w:spacing w:after="0" w:line="272" w:lineRule="auto"/>
        <w:tabs>
          <w:tab w:leader="none" w:pos="294"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By the issuance of a Letter of Credit of a Class (or an amendment to a Letter of Credit increasing the amount thereof) by the Issuing Bank, and without any further action on the part of the Issuing Bank or the Lenders, the Issuing Bank hereby grants to each Lender of such Class, and each Lender of such Class hereby acquires from the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provided that no Lender shall be required to purchase a participation in a Letter of Credit pursuant to this Section 2.05(e) if (x) the conditions set forth in Section 4.02 would not be satisfied in respect of a Borrowing at the time such Letter of Credit was issued and (y) the Required Lenders of the respective Class shall have so notified the Issuing Bank in writing and shall not have subsequently determined that the circumstances giving rise to such conditions not being satisfied no longer exist.</w:t>
      </w:r>
    </w:p>
    <w:p>
      <w:pPr>
        <w:spacing w:after="0" w:line="161"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In consideration and in furtherance of the foregoing, each Lender of a Class hereby absolutely and unconditionally agrees to pay to the Administrative Agent, for account of the Issuing Bank, such Lender's Applicable Dollar Percentage or Applicable Multicurrency Percentage, as the case may be, of each LC Disbursement made by the Issuing Bank in respect of Letters of Credit of such Class promptly upon the request of the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Section 2.06 with respect to Loans made by such Lender (and Section 2.06 shall apply, mutatis mutandis, to the payment obligations of the Lenders), and the Administrative Agent shall promptly pay to the Issuing Bank the amounts so received by it from the Lenders. Promptly following receipt by the Administrative Agent of any payment from the Borrower pursuant to the next following paragraph, the Administrative Agent shall distribute such payment to the Issuing Bank or, to the extent that the Lenders have made payments pursuant to this paragraph to reimburse the Issuing Bank, then to such Lenders and the Issuing Bank as their interests may appear. Any payment made by a Lender pursuant to this paragraph to reimburse the Issuing Bank for any LC Disbursement shall not constitute a Loan and shall not relieve the Borrower of its obligation to reimburse such LC Disbursement.</w:t>
      </w:r>
    </w:p>
    <w:p>
      <w:pPr>
        <w:spacing w:after="0" w:line="164" w:lineRule="exact"/>
        <w:rPr>
          <w:sz w:val="20"/>
          <w:szCs w:val="20"/>
          <w:color w:val="auto"/>
        </w:rPr>
      </w:pPr>
    </w:p>
    <w:p>
      <w:pPr>
        <w:ind w:right="60" w:firstLine="8"/>
        <w:spacing w:after="0" w:line="245" w:lineRule="auto"/>
        <w:tabs>
          <w:tab w:leader="none" w:pos="270"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Reimbursement</w:t>
      </w:r>
      <w:r>
        <w:rPr>
          <w:rFonts w:ascii="Arial" w:cs="Arial" w:eastAsia="Arial" w:hAnsi="Arial"/>
          <w:sz w:val="21"/>
          <w:szCs w:val="21"/>
          <w:color w:val="auto"/>
        </w:rPr>
        <w:t>. If the Issuing Bank shall make any LC Disbursement in respect of a Letter of Credit, the Borrower shall reimburse the Issuing Bank in respect of such LC Disbursement by paying to the Administrative Agent an amount equal to such LC Disbursement not later than 11:00 a.m., Atlanta, Georgia time, on (i) the Business Day that the Borrower receives notice of such LC Disbursement, if such notice is received prior to 10:00 a.m., Atlanta, Georgia time, or (ii) the Business Day immediately following the day that the Borrower receives such notice, if such notice is not received prior to such time, provided that, if such LC Disbursement is not less than $1,000,000 and is denominated in Dollars, the Borrower may, subject to the conditions to borrowing set forth herein, request in accordance with Section 2.03 or 2.04 that such payment be financed with a Syndicated ABR Borrowing or a Swingline Loan of the respective Class in an equivalent amount and, to the extent so financ ed, the Borrower's obligation to make such payment shall be discharged and replaced by the resulting Syndicated ABR Borrowing or Swingline Loan.</w:t>
      </w:r>
    </w:p>
    <w:p>
      <w:pPr>
        <w:spacing w:after="0" w:line="181" w:lineRule="exact"/>
        <w:rPr>
          <w:sz w:val="20"/>
          <w:szCs w:val="20"/>
          <w:color w:val="auto"/>
        </w:rPr>
      </w:pPr>
    </w:p>
    <w:p>
      <w:pPr>
        <w:ind w:right="360"/>
        <w:spacing w:after="0" w:line="257" w:lineRule="auto"/>
        <w:rPr>
          <w:sz w:val="20"/>
          <w:szCs w:val="20"/>
          <w:color w:val="auto"/>
        </w:rPr>
      </w:pPr>
      <w:r>
        <w:rPr>
          <w:rFonts w:ascii="Arial" w:cs="Arial" w:eastAsia="Arial" w:hAnsi="Arial"/>
          <w:sz w:val="21"/>
          <w:szCs w:val="21"/>
          <w:color w:val="auto"/>
        </w:rPr>
        <w:t>If the Borrower fails to make such payment when due, the Administrative Agent shall notify each applicable Lender of the applicable LC Disbursement, the payment then due from the Borrower in respect thereof and such Lender's Applicable Dollar Percentage or Applicable Multicurrency Percentage, as the case may be, thereof.</w:t>
      </w:r>
    </w:p>
    <w:p>
      <w:pPr>
        <w:spacing w:after="0" w:line="169"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Obligations Absolute</w:t>
      </w:r>
      <w:r>
        <w:rPr>
          <w:rFonts w:ascii="Arial" w:cs="Arial" w:eastAsia="Arial" w:hAnsi="Arial"/>
          <w:sz w:val="21"/>
          <w:szCs w:val="21"/>
          <w:color w:val="auto"/>
        </w:rPr>
        <w:t>. The Borrower's obligation to reimburse LC Disbursements as provided in paragraph (f) of this</w:t>
      </w:r>
    </w:p>
    <w:p>
      <w:pPr>
        <w:spacing w:after="0" w:line="19" w:lineRule="exact"/>
        <w:rPr>
          <w:rFonts w:ascii="Arial" w:cs="Arial" w:eastAsia="Arial" w:hAnsi="Arial"/>
          <w:sz w:val="21"/>
          <w:szCs w:val="21"/>
          <w:color w:val="auto"/>
        </w:rPr>
      </w:pPr>
    </w:p>
    <w:p>
      <w:pPr>
        <w:ind w:right="20"/>
        <w:spacing w:after="0" w:line="232" w:lineRule="auto"/>
        <w:rPr>
          <w:rFonts w:ascii="Arial" w:cs="Arial" w:eastAsia="Arial" w:hAnsi="Arial"/>
          <w:sz w:val="21"/>
          <w:szCs w:val="21"/>
          <w:color w:val="auto"/>
        </w:rPr>
      </w:pPr>
      <w:r>
        <w:rPr>
          <w:rFonts w:ascii="Arial" w:cs="Arial" w:eastAsia="Arial" w:hAnsi="Arial"/>
          <w:sz w:val="22"/>
          <w:szCs w:val="22"/>
          <w:color w:val="auto"/>
        </w:rPr>
        <w:t>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 ischarge of the Borrower's obligations hereunder.</w:t>
      </w:r>
    </w:p>
    <w:p>
      <w:pPr>
        <w:spacing w:after="0" w:line="186" w:lineRule="exact"/>
        <w:rPr>
          <w:sz w:val="20"/>
          <w:szCs w:val="20"/>
          <w:color w:val="auto"/>
        </w:rPr>
      </w:pPr>
    </w:p>
    <w:p>
      <w:pPr>
        <w:ind w:right="220"/>
        <w:spacing w:after="0" w:line="244" w:lineRule="auto"/>
        <w:rPr>
          <w:sz w:val="20"/>
          <w:szCs w:val="20"/>
          <w:color w:val="auto"/>
        </w:rPr>
      </w:pPr>
      <w:r>
        <w:rPr>
          <w:rFonts w:ascii="Arial" w:cs="Arial" w:eastAsia="Arial" w:hAnsi="Arial"/>
          <w:sz w:val="21"/>
          <w:szCs w:val="21"/>
          <w:color w:val="auto"/>
        </w:rPr>
        <w:t xml:space="preserve">Neither the Administrative Agent, the Lenders nor the Issuing Bank, nor any of their Related Parties, shall have any liability or responsibility by reason of or in connection with the issuance or transfer of any Letter of Credit by the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be construed to excuse the Issuing Bank from liability to the Borrower to the extent of any direct damages (as opposed to consequential damages, claims in respect of which are hereby waived by the Borrower to the extent permitted b y applicable law) suffered by the Borrower that are caused by the Issuing Bank's gross negligence or willful misconduct when determining whether drafts and other documents presented under a Letter of Credit comply with the terms thereof. The parties hereto expressly agree that:</w:t>
      </w:r>
    </w:p>
    <w:p>
      <w:pPr>
        <w:sectPr>
          <w:pgSz w:w="11900" w:h="16838" w:orient="portrait"/>
          <w:cols w:equalWidth="0" w:num="1">
            <w:col w:w="11240"/>
          </w:cols>
          <w:pgMar w:left="320" w:top="118" w:right="339" w:bottom="9" w:gutter="0" w:footer="0" w:header="0"/>
        </w:sectPr>
      </w:pPr>
    </w:p>
    <w:bookmarkStart w:id="21" w:name="page22"/>
    <w:bookmarkEnd w:id="21"/>
    <w:p>
      <w:pPr>
        <w:ind w:firstLine="8"/>
        <w:spacing w:after="0" w:line="238" w:lineRule="auto"/>
        <w:tabs>
          <w:tab w:leader="none" w:pos="258"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Issuing Bank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185" w:lineRule="exact"/>
        <w:rPr>
          <w:rFonts w:ascii="Arial" w:cs="Arial" w:eastAsia="Arial" w:hAnsi="Arial"/>
          <w:sz w:val="22"/>
          <w:szCs w:val="22"/>
          <w:color w:val="auto"/>
        </w:rPr>
      </w:pPr>
    </w:p>
    <w:p>
      <w:pPr>
        <w:ind w:right="140" w:firstLine="8"/>
        <w:spacing w:after="0" w:line="250" w:lineRule="auto"/>
        <w:tabs>
          <w:tab w:leader="none" w:pos="318"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Issuing Bank shall have the right, in its sole discretion, to decline to accept such documents and to make such payment if such documents are not in strict compliance with the terms of such Letter of Credit and</w:t>
      </w:r>
    </w:p>
    <w:p>
      <w:pPr>
        <w:spacing w:after="0" w:line="174" w:lineRule="exact"/>
        <w:rPr>
          <w:rFonts w:ascii="Arial" w:cs="Arial" w:eastAsia="Arial" w:hAnsi="Arial"/>
          <w:sz w:val="22"/>
          <w:szCs w:val="22"/>
          <w:color w:val="auto"/>
        </w:rPr>
      </w:pPr>
    </w:p>
    <w:p>
      <w:pPr>
        <w:jc w:val="both"/>
        <w:ind w:right="300" w:firstLine="8"/>
        <w:spacing w:after="0" w:line="257" w:lineRule="auto"/>
        <w:tabs>
          <w:tab w:leader="none" w:pos="378"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this sentence shall establish the standard of care to be exercised by the Issuing Bank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69" w:lineRule="exact"/>
        <w:rPr>
          <w:sz w:val="20"/>
          <w:szCs w:val="20"/>
          <w:color w:val="auto"/>
        </w:rPr>
      </w:pPr>
    </w:p>
    <w:p>
      <w:pPr>
        <w:ind w:right="120" w:firstLine="8"/>
        <w:spacing w:after="0" w:line="248" w:lineRule="auto"/>
        <w:tabs>
          <w:tab w:leader="none" w:pos="306"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Disbursement Procedures</w:t>
      </w:r>
      <w:r>
        <w:rPr>
          <w:rFonts w:ascii="Arial" w:cs="Arial" w:eastAsia="Arial" w:hAnsi="Arial"/>
          <w:sz w:val="21"/>
          <w:szCs w:val="21"/>
          <w:color w:val="auto"/>
        </w:rPr>
        <w:t>. The Issuing Bank shall, within a reasonable time following its receipt thereof examine all documents purporting to represent a demand for payment under a Letter of Credit. The Issuing Bank shall promptly after such examination notify the Administrative Agent and the Borrower by telephone (confirmed by telecopy) of such demand for payment and whether the Issuing Bank has made or will make an LC Disbursement thereunder; provided that any failure to give or delay in giving such notice shall not relieve the Borrower of its obligation to reimburse the Issuing Bank and the applicable Lenders with respect to any such LC Disbursement.</w:t>
      </w:r>
    </w:p>
    <w:p>
      <w:pPr>
        <w:spacing w:after="0" w:line="176" w:lineRule="exact"/>
        <w:rPr>
          <w:rFonts w:ascii="Arial" w:cs="Arial" w:eastAsia="Arial" w:hAnsi="Arial"/>
          <w:sz w:val="21"/>
          <w:szCs w:val="21"/>
          <w:color w:val="auto"/>
        </w:rPr>
      </w:pPr>
    </w:p>
    <w:p>
      <w:pPr>
        <w:ind w:right="60" w:firstLine="8"/>
        <w:spacing w:after="0" w:line="275" w:lineRule="auto"/>
        <w:tabs>
          <w:tab w:leader="none" w:pos="258"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provided that, if the Borrower fails to reimburse such LC Disbursement within two Business Days following the date when due pursuant to paragraph (f) of this Section, then the provisions of Section 2.12(d) shall apply. Interest accrued pursuant to this paragraph shall be for account of the Issuing Bank, except that interest accrued on and after the date of payment by any Lender pursuant to paragraph (f) of this Section to reimburse the Issuing Bank shall be for account of such Lender to the extent of such payment.</w:t>
      </w:r>
    </w:p>
    <w:p>
      <w:pPr>
        <w:spacing w:after="0" w:line="157" w:lineRule="exact"/>
        <w:rPr>
          <w:rFonts w:ascii="Arial" w:cs="Arial" w:eastAsia="Arial" w:hAnsi="Arial"/>
          <w:sz w:val="19"/>
          <w:szCs w:val="19"/>
          <w:color w:val="auto"/>
        </w:rPr>
      </w:pPr>
    </w:p>
    <w:p>
      <w:pPr>
        <w:ind w:right="60" w:firstLine="8"/>
        <w:spacing w:after="0" w:line="273" w:lineRule="auto"/>
        <w:tabs>
          <w:tab w:leader="none" w:pos="258"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Replacement of the Issuing Bank</w:t>
      </w:r>
      <w:r>
        <w:rPr>
          <w:rFonts w:ascii="Arial" w:cs="Arial" w:eastAsia="Arial" w:hAnsi="Arial"/>
          <w:sz w:val="19"/>
          <w:szCs w:val="19"/>
          <w:color w:val="auto"/>
        </w:rPr>
        <w:t>. The Issuing Bank may be replaced at any time by written agreement among the Borrower, the Administrative Agent, the replaced Issuing Bank and the successor Issuing Bank. The Administrative Agent shall notify the Lenders of any such replacement of the Issuing Bank. At the time any such replacement shall become effective, the Borrower shall pay all unpaid fees accrued for account of the replaced Issuing Bank pursuant to Section 2.11(b). From and after the effective date of any such replacement,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the Issuing Bank hereunder, the re placed Issuing Bank shall remain a party hereto and shall continue to have all the rights and obligations of the Issuing Bank under this Agreement with respect to Letters of Credit issued by it prior to such replacement, but shall not be required to issue additional Letters of Credit.</w:t>
      </w:r>
    </w:p>
    <w:p>
      <w:pPr>
        <w:spacing w:after="0" w:line="160" w:lineRule="exact"/>
        <w:rPr>
          <w:rFonts w:ascii="Arial" w:cs="Arial" w:eastAsia="Arial" w:hAnsi="Arial"/>
          <w:sz w:val="19"/>
          <w:szCs w:val="19"/>
          <w:color w:val="auto"/>
        </w:rPr>
      </w:pPr>
    </w:p>
    <w:p>
      <w:pPr>
        <w:ind w:firstLine="8"/>
        <w:spacing w:after="0" w:line="274" w:lineRule="auto"/>
        <w:tabs>
          <w:tab w:leader="none" w:pos="306"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Cash Collateralization</w:t>
      </w:r>
      <w:r>
        <w:rPr>
          <w:rFonts w:ascii="Arial" w:cs="Arial" w:eastAsia="Arial" w:hAnsi="Arial"/>
          <w:sz w:val="19"/>
          <w:szCs w:val="19"/>
          <w:color w:val="auto"/>
        </w:rPr>
        <w:t>. If the Borrower shall be required to provide cover for LC Exposure pursuant to Section 2.09(a), Section 2.10(b) or (c) or the last paragraph of Article VII, the Borrower shall immediately deposit into a segregated collateral account or accounts (herein, collectively, the "Letter of Credit Collateral Account") in the name and under the dominion and control of the Administrative Agent Cash denominated in the Currency of the Letter of Credit under which such LC Exposure arises in an amount equal to the amount required under Section 2.09(a), Section 2.10(b) or (c) or the last paragraph of Article VII,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 erest to the Administrative Agent for the benefit of the Lenders in the Letter of Credit Collateral Account and in any financial assets (as defined in the Uniform Commercial Code) or other property held therein.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Funding of Borrowings</w:t>
      </w:r>
      <w:r>
        <w:rPr>
          <w:rFonts w:ascii="Arial" w:cs="Arial" w:eastAsia="Arial" w:hAnsi="Arial"/>
          <w:sz w:val="22"/>
          <w:szCs w:val="22"/>
          <w:color w:val="auto"/>
        </w:rPr>
        <w:t>.</w:t>
      </w:r>
    </w:p>
    <w:p>
      <w:pPr>
        <w:spacing w:after="0" w:line="206" w:lineRule="exact"/>
        <w:rPr>
          <w:sz w:val="20"/>
          <w:szCs w:val="20"/>
          <w:color w:val="auto"/>
        </w:rPr>
      </w:pPr>
    </w:p>
    <w:p>
      <w:pPr>
        <w:ind w:right="40" w:firstLine="8"/>
        <w:spacing w:after="0" w:line="246" w:lineRule="auto"/>
        <w:tabs>
          <w:tab w:leader="none" w:pos="294"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Funding by Lenders</w:t>
      </w:r>
      <w:r>
        <w:rPr>
          <w:rFonts w:ascii="Arial" w:cs="Arial" w:eastAsia="Arial" w:hAnsi="Arial"/>
          <w:sz w:val="21"/>
          <w:szCs w:val="21"/>
          <w:color w:val="auto"/>
        </w:rPr>
        <w:t>. Each Lender shall make each Loan to be made by it hereunder on the proposed date thereof by wire transfer of immediately available funds by 1:00 p.m., Atlanta, Georgia time, to the account of the Administrative Agent most recently designated by it for such purpose by notice to the Lenders; provided that Swingline Loans shall be made as provided in Section 2.04. The Administrative Agent will make such Loans available to the Borrower by promptly crediting the amounts so received, in like funds, to an account of the Borrower designated by the Borrower in the applicable Borrowing Request; provided that Syndicated ABR Borrowings made to finance the reimbursement of an LC Disbursement as provided in Section 2.05(f) shall be remitted by the Administrative Agent to the Issuing Bank.</w:t>
      </w:r>
    </w:p>
    <w:p>
      <w:pPr>
        <w:spacing w:after="0" w:line="184" w:lineRule="exact"/>
        <w:rPr>
          <w:rFonts w:ascii="Arial" w:cs="Arial" w:eastAsia="Arial" w:hAnsi="Arial"/>
          <w:sz w:val="21"/>
          <w:szCs w:val="21"/>
          <w:color w:val="auto"/>
        </w:rPr>
      </w:pPr>
    </w:p>
    <w:p>
      <w:pPr>
        <w:ind w:right="60" w:firstLine="8"/>
        <w:spacing w:after="0" w:line="275" w:lineRule="auto"/>
        <w:tabs>
          <w:tab w:leader="none" w:pos="306"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Presumption by the Administrative Agent</w:t>
      </w:r>
      <w:r>
        <w:rPr>
          <w:rFonts w:ascii="Arial" w:cs="Arial" w:eastAsia="Arial" w:hAnsi="Arial"/>
          <w:sz w:val="19"/>
          <w:szCs w:val="19"/>
          <w:color w:val="auto"/>
        </w:rPr>
        <w:t>.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 he</w:t>
      </w:r>
    </w:p>
    <w:p>
      <w:pPr>
        <w:sectPr>
          <w:pgSz w:w="11900" w:h="16838" w:orient="portrait"/>
          <w:cols w:equalWidth="0" w:num="1">
            <w:col w:w="11220"/>
          </w:cols>
          <w:pgMar w:left="320" w:top="118" w:right="359" w:bottom="0" w:gutter="0" w:footer="0" w:header="0"/>
        </w:sectPr>
      </w:pPr>
    </w:p>
    <w:bookmarkStart w:id="22" w:name="page23"/>
    <w:bookmarkEnd w:id="22"/>
    <w:p>
      <w:pPr>
        <w:ind w:right="260"/>
        <w:spacing w:after="0" w:line="329" w:lineRule="auto"/>
        <w:rPr>
          <w:sz w:val="20"/>
          <w:szCs w:val="20"/>
          <w:color w:val="auto"/>
        </w:rPr>
      </w:pPr>
      <w:r>
        <w:rPr>
          <w:rFonts w:ascii="Arial" w:cs="Arial" w:eastAsia="Arial" w:hAnsi="Arial"/>
          <w:sz w:val="19"/>
          <w:szCs w:val="19"/>
          <w:color w:val="auto"/>
        </w:rPr>
        <w:t>Federal Funds Effective Rate or (ii) in the case of the Borrower, the interest rate applicable to ABR Loans. If such Lender pays such amount to the Administrative Agent, then such amount shall constitute such Lender's Loan included in such Borrowing.</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Interest Elections</w:t>
      </w:r>
      <w:r>
        <w:rPr>
          <w:rFonts w:ascii="Arial" w:cs="Arial" w:eastAsia="Arial" w:hAnsi="Arial"/>
          <w:sz w:val="22"/>
          <w:szCs w:val="22"/>
          <w:color w:val="auto"/>
        </w:rPr>
        <w:t>.</w:t>
      </w:r>
    </w:p>
    <w:p>
      <w:pPr>
        <w:spacing w:after="0" w:line="206" w:lineRule="exact"/>
        <w:rPr>
          <w:sz w:val="20"/>
          <w:szCs w:val="20"/>
          <w:color w:val="auto"/>
        </w:rPr>
      </w:pPr>
    </w:p>
    <w:p>
      <w:pPr>
        <w:ind w:right="120" w:firstLine="8"/>
        <w:spacing w:after="0" w:line="270" w:lineRule="auto"/>
        <w:tabs>
          <w:tab w:leader="none" w:pos="294"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Elections by the Borrower for Syndicated Borrowings</w:t>
      </w:r>
      <w:r>
        <w:rPr>
          <w:rFonts w:ascii="Arial" w:cs="Arial" w:eastAsia="Arial" w:hAnsi="Arial"/>
          <w:sz w:val="19"/>
          <w:szCs w:val="19"/>
          <w:color w:val="auto"/>
        </w:rPr>
        <w:t>. Subject to Section 2.03(d), the Loans constituting each Syndicated Borrowing initially shall be of the Type specified in the applicable Borrowing Request and, in the case of a Eurocurrency Borrowing, shall have the Interest Period specified in such Borrowing Request. Thereafter, the Borrower may elect to convert such Borrowing to a Borrowing of a different Type or to continue such Borrowing as a Borrowing of the same Type and, in the case of a Eurocurrency Borrowing, may elect the Interest Period therefor, all as provided in this Section; provided, however, that</w:t>
      </w:r>
    </w:p>
    <w:p>
      <w:pPr>
        <w:spacing w:after="0" w:line="4" w:lineRule="exact"/>
        <w:rPr>
          <w:rFonts w:ascii="Arial" w:cs="Arial" w:eastAsia="Arial" w:hAnsi="Arial"/>
          <w:sz w:val="19"/>
          <w:szCs w:val="19"/>
          <w:color w:val="auto"/>
        </w:rPr>
      </w:pPr>
    </w:p>
    <w:p>
      <w:pPr>
        <w:ind w:firstLine="8"/>
        <w:spacing w:after="0" w:line="272" w:lineRule="auto"/>
        <w:tabs>
          <w:tab w:leader="none" w:pos="258" w:val="left"/>
        </w:tabs>
        <w:numPr>
          <w:ilvl w:val="0"/>
          <w:numId w:val="36"/>
        </w:numPr>
        <w:rPr>
          <w:rFonts w:ascii="Arial" w:cs="Arial" w:eastAsia="Arial" w:hAnsi="Arial"/>
          <w:sz w:val="19"/>
          <w:szCs w:val="19"/>
          <w:color w:val="auto"/>
        </w:rPr>
      </w:pPr>
      <w:r>
        <w:rPr>
          <w:rFonts w:ascii="Arial" w:cs="Arial" w:eastAsia="Arial" w:hAnsi="Arial"/>
          <w:sz w:val="19"/>
          <w:szCs w:val="19"/>
          <w:color w:val="auto"/>
        </w:rPr>
        <w:t>a Syndicated Borrowing of a Class may only be continued or converted into a Syndicated Borrowing of the same Class, (ii) a Syndicated Borrowing denominated in one Currency may not be continued as, or converted to, a Syndicated Borrowing in a different Currency, (iii) no Eurocurrency Borrowing denominated in a Foreign Currency may be continued if, after g iving effect thereto, the aggregate Revolving Multicurrency Credit Exposures would exceed the aggregate Multicurrency Commitments, and (iv) a Eurocurrency Borrowing denominated in a Foreign Currency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Borrowings, which may not be converted or continued.</w:t>
      </w:r>
    </w:p>
    <w:p>
      <w:pPr>
        <w:spacing w:after="0" w:line="156" w:lineRule="exact"/>
        <w:rPr>
          <w:rFonts w:ascii="Arial" w:cs="Arial" w:eastAsia="Arial" w:hAnsi="Arial"/>
          <w:sz w:val="19"/>
          <w:szCs w:val="19"/>
          <w:color w:val="auto"/>
        </w:rPr>
      </w:pPr>
    </w:p>
    <w:p>
      <w:pPr>
        <w:ind w:right="100" w:firstLine="8"/>
        <w:spacing w:after="0" w:line="279" w:lineRule="auto"/>
        <w:tabs>
          <w:tab w:leader="none" w:pos="306"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Notice of Elections</w:t>
      </w:r>
      <w:r>
        <w:rPr>
          <w:rFonts w:ascii="Arial" w:cs="Arial" w:eastAsia="Arial" w:hAnsi="Arial"/>
          <w:sz w:val="19"/>
          <w:szCs w:val="19"/>
          <w:color w:val="auto"/>
        </w:rPr>
        <w:t>. To make an election pursuant to this Section, the Borrower shall notify the Administrative Agent of such election by telephone by the time that a Borrowing Request would be required under Section 2.03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150" w:lineRule="exact"/>
        <w:rPr>
          <w:rFonts w:ascii="Arial" w:cs="Arial" w:eastAsia="Arial" w:hAnsi="Arial"/>
          <w:sz w:val="19"/>
          <w:szCs w:val="19"/>
          <w:color w:val="auto"/>
        </w:rPr>
      </w:pPr>
    </w:p>
    <w:p>
      <w:pPr>
        <w:ind w:right="600" w:firstLine="8"/>
        <w:spacing w:after="0" w:line="250" w:lineRule="auto"/>
        <w:tabs>
          <w:tab w:leader="none" w:pos="294"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Content of Interest Election Requests</w:t>
      </w:r>
      <w:r>
        <w:rPr>
          <w:rFonts w:ascii="Arial" w:cs="Arial" w:eastAsia="Arial" w:hAnsi="Arial"/>
          <w:sz w:val="22"/>
          <w:szCs w:val="22"/>
          <w:color w:val="auto"/>
        </w:rPr>
        <w:t>. Each telephonic and written Interest Election Request shall specify the following information in compliance with Section 2.02:</w:t>
      </w:r>
    </w:p>
    <w:p>
      <w:pPr>
        <w:spacing w:after="0" w:line="175" w:lineRule="exact"/>
        <w:rPr>
          <w:sz w:val="20"/>
          <w:szCs w:val="20"/>
          <w:color w:val="auto"/>
        </w:rPr>
      </w:pPr>
    </w:p>
    <w:p>
      <w:pPr>
        <w:ind w:right="120" w:firstLine="8"/>
        <w:spacing w:after="0" w:line="297" w:lineRule="auto"/>
        <w:tabs>
          <w:tab w:leader="none" w:pos="258"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Borrowing (including the Class) to which such Interest Election Request applies and, if different options are being elected with respect to different portions thereof, the portions thereof to be allocated to each resulting Borrowing (in which case the information to be specified pursuant to clauses (iii) and (iv) of this paragraph shall be specified for each resulting Borrowing);</w:t>
      </w:r>
    </w:p>
    <w:p>
      <w:pPr>
        <w:spacing w:after="0" w:line="133" w:lineRule="exact"/>
        <w:rPr>
          <w:rFonts w:ascii="Arial" w:cs="Arial" w:eastAsia="Arial" w:hAnsi="Arial"/>
          <w:sz w:val="19"/>
          <w:szCs w:val="19"/>
          <w:color w:val="auto"/>
        </w:rPr>
      </w:pPr>
    </w:p>
    <w:p>
      <w:pPr>
        <w:ind w:left="320" w:hanging="312"/>
        <w:spacing w:after="0"/>
        <w:tabs>
          <w:tab w:leader="none" w:pos="3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effective date of the election made pursuant to such Interest Election Request, which shall be a Business Day;</w:t>
      </w:r>
    </w:p>
    <w:p>
      <w:pPr>
        <w:spacing w:after="0" w:line="217" w:lineRule="exact"/>
        <w:rPr>
          <w:rFonts w:ascii="Arial" w:cs="Arial" w:eastAsia="Arial" w:hAnsi="Arial"/>
          <w:sz w:val="21"/>
          <w:szCs w:val="21"/>
          <w:color w:val="auto"/>
        </w:rPr>
      </w:pPr>
    </w:p>
    <w:p>
      <w:pPr>
        <w:ind w:right="720" w:firstLine="8"/>
        <w:spacing w:after="0" w:line="250" w:lineRule="auto"/>
        <w:tabs>
          <w:tab w:leader="none" w:pos="378" w:val="left"/>
        </w:tabs>
        <w:numPr>
          <w:ilvl w:val="0"/>
          <w:numId w:val="38"/>
        </w:numPr>
        <w:rPr>
          <w:rFonts w:ascii="Arial" w:cs="Arial" w:eastAsia="Arial" w:hAnsi="Arial"/>
          <w:sz w:val="22"/>
          <w:szCs w:val="22"/>
          <w:color w:val="auto"/>
        </w:rPr>
      </w:pPr>
      <w:r>
        <w:rPr>
          <w:rFonts w:ascii="Arial" w:cs="Arial" w:eastAsia="Arial" w:hAnsi="Arial"/>
          <w:sz w:val="22"/>
          <w:szCs w:val="22"/>
          <w:color w:val="auto"/>
        </w:rPr>
        <w:t>whether, in the case of a Borrowing denominated in Dollars, the resulting Borrowing is to be an ABR Borrowing or a Eurocurrency Borrowing; and</w:t>
      </w:r>
    </w:p>
    <w:p>
      <w:pPr>
        <w:spacing w:after="0" w:line="174" w:lineRule="exact"/>
        <w:rPr>
          <w:rFonts w:ascii="Arial" w:cs="Arial" w:eastAsia="Arial" w:hAnsi="Arial"/>
          <w:sz w:val="22"/>
          <w:szCs w:val="22"/>
          <w:color w:val="auto"/>
        </w:rPr>
      </w:pPr>
    </w:p>
    <w:p>
      <w:pPr>
        <w:ind w:right="560" w:firstLine="8"/>
        <w:spacing w:after="0" w:line="328" w:lineRule="auto"/>
        <w:tabs>
          <w:tab w:leader="none" w:pos="366" w:val="left"/>
        </w:tabs>
        <w:numPr>
          <w:ilvl w:val="0"/>
          <w:numId w:val="38"/>
        </w:numPr>
        <w:rPr>
          <w:rFonts w:ascii="Arial" w:cs="Arial" w:eastAsia="Arial" w:hAnsi="Arial"/>
          <w:sz w:val="19"/>
          <w:szCs w:val="19"/>
          <w:color w:val="auto"/>
        </w:rPr>
      </w:pPr>
      <w:r>
        <w:rPr>
          <w:rFonts w:ascii="Arial" w:cs="Arial" w:eastAsia="Arial" w:hAnsi="Arial"/>
          <w:sz w:val="19"/>
          <w:szCs w:val="19"/>
          <w:color w:val="auto"/>
        </w:rPr>
        <w:t>if the resulting Borrowing is a Eurocurrency Borrowing, the Interest Period therefor after giving effect to such election, which shall be a period contemplated by the definition of the term "Interest Period" and permitted under Section 2.02(d).</w:t>
      </w:r>
    </w:p>
    <w:p>
      <w:pPr>
        <w:spacing w:after="0" w:line="105" w:lineRule="exact"/>
        <w:rPr>
          <w:sz w:val="20"/>
          <w:szCs w:val="20"/>
          <w:color w:val="auto"/>
        </w:rPr>
      </w:pPr>
    </w:p>
    <w:p>
      <w:pPr>
        <w:ind w:right="380" w:firstLine="8"/>
        <w:spacing w:after="0"/>
        <w:tabs>
          <w:tab w:leader="none" w:pos="306"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Notice by the Administrative Agent to the Lenders</w:t>
      </w:r>
      <w:r>
        <w:rPr>
          <w:rFonts w:ascii="Arial" w:cs="Arial" w:eastAsia="Arial" w:hAnsi="Arial"/>
          <w:sz w:val="22"/>
          <w:szCs w:val="22"/>
          <w:color w:val="auto"/>
        </w:rPr>
        <w:t>. Promptly following receipt of an Interest Election Request, the Administrative Agent shall advise each applicable Lender of the details thereof and of such Lender's portion of each resulting Borrowing.</w:t>
      </w:r>
    </w:p>
    <w:p>
      <w:pPr>
        <w:spacing w:after="0" w:line="186" w:lineRule="exact"/>
        <w:rPr>
          <w:rFonts w:ascii="Arial" w:cs="Arial" w:eastAsia="Arial" w:hAnsi="Arial"/>
          <w:sz w:val="22"/>
          <w:szCs w:val="22"/>
          <w:color w:val="auto"/>
        </w:rPr>
      </w:pPr>
    </w:p>
    <w:p>
      <w:pPr>
        <w:ind w:firstLine="8"/>
        <w:spacing w:after="0" w:line="245" w:lineRule="auto"/>
        <w:tabs>
          <w:tab w:leader="none" w:pos="294"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Failure to Elect; Events of Defaul</w:t>
      </w:r>
      <w:r>
        <w:rPr>
          <w:rFonts w:ascii="Arial" w:cs="Arial" w:eastAsia="Arial" w:hAnsi="Arial"/>
          <w:sz w:val="21"/>
          <w:szCs w:val="21"/>
          <w:color w:val="auto"/>
        </w:rPr>
        <w:t>t. If the Borrower fails to deliver a timely and complete Interest Election Request with respect to a Eurocurrency Borrowing prior to the end of the Interest Period therefor, then, unless such Borrowing is repaid as provided herein, (i) if such Borrowing is denominated in Dollars, at the end of such Interest Period such Borrowing shall be converted to a Syndicated Eurocurrency Borrowing of the same Class having an Interest Period of one month, and (ii) if such Borrowing is denominated in a Foreign Currency, the Borrower shall be deemed to have selected an Interest Period of one month's duration. Notwithstanding any contrary provision hereof, if an Event of Default has occurred and is continuing and the Administrative Agent, at the request of the Required Lenders, so notifies the Borrower, (i) any Eurocurrency Borrowing denominated in Dollars shall, at the end of the applicable Interest Period for such Eurocurrency Borrowing, be automatically co nverted to an ABR Borrowing and (ii) any Eurocurrency Borrowing denominated in a Foreign Currency shall not have an Interest Period of more than one month's duration.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u w:val="single" w:color="auto"/>
          <w:color w:val="auto"/>
        </w:rPr>
        <w:t>Termination, Reduction or Increase of the Commitments</w:t>
      </w:r>
      <w:r>
        <w:rPr>
          <w:rFonts w:ascii="Arial" w:cs="Arial" w:eastAsia="Arial" w:hAnsi="Arial"/>
          <w:sz w:val="22"/>
          <w:szCs w:val="22"/>
          <w:color w:val="auto"/>
        </w:rPr>
        <w:t>.</w:t>
      </w:r>
    </w:p>
    <w:p>
      <w:pPr>
        <w:spacing w:after="0" w:line="206" w:lineRule="exact"/>
        <w:rPr>
          <w:sz w:val="20"/>
          <w:szCs w:val="20"/>
          <w:color w:val="auto"/>
        </w:rPr>
      </w:pPr>
    </w:p>
    <w:p>
      <w:pPr>
        <w:ind w:right="320" w:firstLine="8"/>
        <w:spacing w:after="0" w:line="250" w:lineRule="auto"/>
        <w:tabs>
          <w:tab w:leader="none" w:pos="294"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Scheduled Termination</w:t>
      </w:r>
      <w:r>
        <w:rPr>
          <w:rFonts w:ascii="Arial" w:cs="Arial" w:eastAsia="Arial" w:hAnsi="Arial"/>
          <w:sz w:val="22"/>
          <w:szCs w:val="22"/>
          <w:color w:val="auto"/>
        </w:rPr>
        <w:t>. Unless previously terminated, the Commitments of each Class shall terminate on the Commitment Termination Date.</w:t>
      </w:r>
    </w:p>
    <w:p>
      <w:pPr>
        <w:spacing w:after="0" w:line="174" w:lineRule="exact"/>
        <w:rPr>
          <w:rFonts w:ascii="Arial" w:cs="Arial" w:eastAsia="Arial" w:hAnsi="Arial"/>
          <w:sz w:val="22"/>
          <w:szCs w:val="22"/>
          <w:color w:val="auto"/>
        </w:rPr>
      </w:pPr>
    </w:p>
    <w:p>
      <w:pPr>
        <w:ind w:right="20" w:firstLine="8"/>
        <w:spacing w:after="0" w:line="282" w:lineRule="auto"/>
        <w:tabs>
          <w:tab w:leader="none" w:pos="306"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Voluntary Termination or Reduction</w:t>
      </w:r>
      <w:r>
        <w:rPr>
          <w:rFonts w:ascii="Arial" w:cs="Arial" w:eastAsia="Arial" w:hAnsi="Arial"/>
          <w:sz w:val="19"/>
          <w:szCs w:val="19"/>
          <w:color w:val="auto"/>
        </w:rPr>
        <w:t>. The Borrower may at any time terminate, or from time to time reduce, the Commitments of either Class; provided that (i) each reduction of the Commitments of a Class shall be in an amount that is $25,000,000 or a larger multiple of $5,000,000 in excess thereof and (ii) the Borrower shall not terminate or reduce the Commitments of either Class if, after giving effect to any concurrent prepayment of the Syndicated Loans of such Class in accordance with Section 2.10, the total Revolving Credit Exposures of such Class would exceed the total Commitments of such Class.</w:t>
      </w:r>
    </w:p>
    <w:p>
      <w:pPr>
        <w:sectPr>
          <w:pgSz w:w="11900" w:h="16838" w:orient="portrait"/>
          <w:cols w:equalWidth="0" w:num="1">
            <w:col w:w="11240"/>
          </w:cols>
          <w:pgMar w:left="320" w:top="118" w:right="339" w:bottom="157" w:gutter="0" w:footer="0" w:header="0"/>
        </w:sectPr>
      </w:pPr>
    </w:p>
    <w:bookmarkStart w:id="23" w:name="page24"/>
    <w:bookmarkEnd w:id="23"/>
    <w:p>
      <w:pPr>
        <w:ind w:firstLine="8"/>
        <w:spacing w:after="0" w:line="234" w:lineRule="auto"/>
        <w:tabs>
          <w:tab w:leader="none" w:pos="294"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Notice of Voluntary Termination or Reduction</w:t>
      </w:r>
      <w:r>
        <w:rPr>
          <w:rFonts w:ascii="Arial" w:cs="Arial" w:eastAsia="Arial" w:hAnsi="Arial"/>
          <w:sz w:val="22"/>
          <w:szCs w:val="22"/>
          <w:color w:val="auto"/>
        </w:rPr>
        <w:t>. 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provided that a notice of termination of the Commitments of a Class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187" w:lineRule="exact"/>
        <w:rPr>
          <w:rFonts w:ascii="Arial" w:cs="Arial" w:eastAsia="Arial" w:hAnsi="Arial"/>
          <w:sz w:val="22"/>
          <w:szCs w:val="22"/>
          <w:color w:val="auto"/>
        </w:rPr>
      </w:pPr>
    </w:p>
    <w:p>
      <w:pPr>
        <w:ind w:right="300" w:firstLine="8"/>
        <w:spacing w:after="0"/>
        <w:tabs>
          <w:tab w:leader="none" w:pos="30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Effect of Termination or Reduction</w:t>
      </w:r>
      <w:r>
        <w:rPr>
          <w:rFonts w:ascii="Arial" w:cs="Arial" w:eastAsia="Arial" w:hAnsi="Arial"/>
          <w:sz w:val="22"/>
          <w:szCs w:val="22"/>
          <w:color w:val="auto"/>
        </w:rPr>
        <w:t>. Any termination or reduction of the Commitments of a Class shall be permanent. Each reduction of the Commitments of a Class shall be made ratably among the Lenders of such Class in accordance with their respective Commitments.</w:t>
      </w:r>
    </w:p>
    <w:p>
      <w:pPr>
        <w:spacing w:after="0" w:line="186" w:lineRule="exact"/>
        <w:rPr>
          <w:rFonts w:ascii="Arial" w:cs="Arial" w:eastAsia="Arial" w:hAnsi="Arial"/>
          <w:sz w:val="22"/>
          <w:szCs w:val="22"/>
          <w:color w:val="auto"/>
        </w:rPr>
      </w:pPr>
    </w:p>
    <w:p>
      <w:pPr>
        <w:ind w:left="300" w:hanging="292"/>
        <w:spacing w:after="0"/>
        <w:tabs>
          <w:tab w:leader="none" w:pos="30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Increase of the Commitments</w:t>
      </w:r>
      <w:r>
        <w:rPr>
          <w:rFonts w:ascii="Arial" w:cs="Arial" w:eastAsia="Arial" w:hAnsi="Arial"/>
          <w:sz w:val="22"/>
          <w:szCs w:val="22"/>
          <w:color w:val="auto"/>
        </w:rPr>
        <w:t>.</w:t>
      </w:r>
    </w:p>
    <w:p>
      <w:pPr>
        <w:spacing w:after="0" w:line="206" w:lineRule="exact"/>
        <w:rPr>
          <w:sz w:val="20"/>
          <w:szCs w:val="20"/>
          <w:color w:val="auto"/>
        </w:rPr>
      </w:pPr>
    </w:p>
    <w:p>
      <w:pPr>
        <w:ind w:right="120" w:firstLine="8"/>
        <w:spacing w:after="0" w:line="235" w:lineRule="auto"/>
        <w:tabs>
          <w:tab w:leader="none" w:pos="258"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Requests for Increase by Borrower</w:t>
      </w:r>
      <w:r>
        <w:rPr>
          <w:rFonts w:ascii="Arial" w:cs="Arial" w:eastAsia="Arial" w:hAnsi="Arial"/>
          <w:sz w:val="22"/>
          <w:szCs w:val="22"/>
          <w:color w:val="auto"/>
        </w:rPr>
        <w:t>. The Borrower may, at any time, propose that the Commitments hereunder of a Class be increased (each such proposed increase being a "Commitment Increase") by notice to the Administrative Agent specifying each existing Lender (each an "Increasing Lender") and/or each additional lender (each an "Assuming Lender") that shall have agreed to an additional Commitment and the date on which such increase is to be effective (the "Commitment Increase Date"), which shall be a Business Day at least three Business Days after delivery of such notice and 30 days prior to the Commitment Termination Date; provided that:</w:t>
      </w:r>
    </w:p>
    <w:p>
      <w:pPr>
        <w:spacing w:after="0" w:line="188" w:lineRule="exact"/>
        <w:rPr>
          <w:sz w:val="20"/>
          <w:szCs w:val="20"/>
          <w:color w:val="auto"/>
        </w:rPr>
      </w:pPr>
    </w:p>
    <w:p>
      <w:pPr>
        <w:ind w:right="800" w:firstLine="8"/>
        <w:spacing w:after="0"/>
        <w:tabs>
          <w:tab w:leader="none" w:pos="354"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minimum amount of the Commitment of any Assuming Lender, and the minimum amount of the increase of the Commitment of any Increasing Lender, as part of such commitment Increase shall be $10,000,000 or a larger multiple of $5,000,000 in excess thereof,</w:t>
      </w:r>
    </w:p>
    <w:p>
      <w:pPr>
        <w:spacing w:after="0" w:line="186" w:lineRule="exact"/>
        <w:rPr>
          <w:rFonts w:ascii="Arial" w:cs="Arial" w:eastAsia="Arial" w:hAnsi="Arial"/>
          <w:sz w:val="22"/>
          <w:szCs w:val="22"/>
          <w:color w:val="auto"/>
        </w:rPr>
      </w:pPr>
    </w:p>
    <w:p>
      <w:pPr>
        <w:ind w:right="300" w:firstLine="8"/>
        <w:spacing w:after="0" w:line="250" w:lineRule="auto"/>
        <w:tabs>
          <w:tab w:leader="none" w:pos="342" w:val="left"/>
        </w:tabs>
        <w:numPr>
          <w:ilvl w:val="0"/>
          <w:numId w:val="43"/>
        </w:numPr>
        <w:rPr>
          <w:rFonts w:ascii="Arial" w:cs="Arial" w:eastAsia="Arial" w:hAnsi="Arial"/>
          <w:sz w:val="22"/>
          <w:szCs w:val="22"/>
          <w:color w:val="auto"/>
        </w:rPr>
      </w:pPr>
      <w:r>
        <w:rPr>
          <w:rFonts w:ascii="Arial" w:cs="Arial" w:eastAsia="Arial" w:hAnsi="Arial"/>
          <w:sz w:val="22"/>
          <w:szCs w:val="22"/>
          <w:color w:val="auto"/>
        </w:rPr>
        <w:t>immediately after giving effect to such Commitment Increase, the total Commitments of all of the Lenders hereunder shall not exceed $600,000,000;</w:t>
      </w:r>
    </w:p>
    <w:p>
      <w:pPr>
        <w:spacing w:after="0" w:line="174" w:lineRule="exact"/>
        <w:rPr>
          <w:rFonts w:ascii="Arial" w:cs="Arial" w:eastAsia="Arial" w:hAnsi="Arial"/>
          <w:sz w:val="22"/>
          <w:szCs w:val="22"/>
          <w:color w:val="auto"/>
        </w:rPr>
      </w:pPr>
    </w:p>
    <w:p>
      <w:pPr>
        <w:ind w:left="360" w:hanging="352"/>
        <w:spacing w:after="0"/>
        <w:tabs>
          <w:tab w:leader="none" w:pos="3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each Assuming Lender shall be consented to by the Administrative Agent and the Issuing Bank;</w:t>
      </w:r>
    </w:p>
    <w:p>
      <w:pPr>
        <w:spacing w:after="0" w:line="206" w:lineRule="exact"/>
        <w:rPr>
          <w:rFonts w:ascii="Arial" w:cs="Arial" w:eastAsia="Arial" w:hAnsi="Arial"/>
          <w:sz w:val="22"/>
          <w:szCs w:val="22"/>
          <w:color w:val="auto"/>
        </w:rPr>
      </w:pPr>
    </w:p>
    <w:p>
      <w:pPr>
        <w:ind w:right="600" w:firstLine="8"/>
        <w:spacing w:after="0" w:line="250" w:lineRule="auto"/>
        <w:tabs>
          <w:tab w:leader="none" w:pos="354"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 Default shall have occurred and be continuing on such Commitment Increase Date or shall result from the proposed Commitment Increase; and</w:t>
      </w:r>
    </w:p>
    <w:p>
      <w:pPr>
        <w:spacing w:after="0" w:line="174" w:lineRule="exact"/>
        <w:rPr>
          <w:rFonts w:ascii="Arial" w:cs="Arial" w:eastAsia="Arial" w:hAnsi="Arial"/>
          <w:sz w:val="22"/>
          <w:szCs w:val="22"/>
          <w:color w:val="auto"/>
        </w:rPr>
      </w:pPr>
    </w:p>
    <w:p>
      <w:pPr>
        <w:ind w:right="160" w:firstLine="8"/>
        <w:spacing w:after="0"/>
        <w:tabs>
          <w:tab w:leader="none" w:pos="33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representations and warranties contained in this Agreement shall be true and correct on and as of the Commitment Increase Date as if made on and as of such date (or, if any such representation or warranty is expressly stated to have been made as of a specific date, as of such specific date).</w:t>
      </w:r>
    </w:p>
    <w:p>
      <w:pPr>
        <w:spacing w:after="0" w:line="186" w:lineRule="exact"/>
        <w:rPr>
          <w:sz w:val="20"/>
          <w:szCs w:val="20"/>
          <w:color w:val="auto"/>
        </w:rPr>
      </w:pPr>
    </w:p>
    <w:p>
      <w:pPr>
        <w:ind w:right="340" w:firstLine="8"/>
        <w:spacing w:after="0" w:line="257" w:lineRule="auto"/>
        <w:tabs>
          <w:tab w:leader="none" w:pos="318"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Effectiveness of Commitment Increase by Borrower</w:t>
      </w:r>
      <w:r>
        <w:rPr>
          <w:rFonts w:ascii="Arial" w:cs="Arial" w:eastAsia="Arial" w:hAnsi="Arial"/>
          <w:sz w:val="21"/>
          <w:szCs w:val="21"/>
          <w:color w:val="auto"/>
        </w:rPr>
        <w:t>. The Assuming Lender, if any, shall become a Lender hereunder as of such Commitment Increase Date and the Commitment of the respective Class of any Increasing Lender and such Assuming Lender shall be increased as of such Commitment Increase Date; provided that:</w:t>
      </w:r>
    </w:p>
    <w:p>
      <w:pPr>
        <w:spacing w:after="0" w:line="169" w:lineRule="exact"/>
        <w:rPr>
          <w:sz w:val="20"/>
          <w:szCs w:val="20"/>
          <w:color w:val="auto"/>
        </w:rPr>
      </w:pPr>
    </w:p>
    <w:p>
      <w:pPr>
        <w:ind w:right="40" w:firstLine="8"/>
        <w:spacing w:after="0" w:line="273" w:lineRule="auto"/>
        <w:tabs>
          <w:tab w:leader="none" w:pos="306"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Administrative Agent shall have received on or prior to 11:00 a.m., Atlanta, Georgia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paragraph</w:t>
      </w:r>
    </w:p>
    <w:p>
      <w:pPr>
        <w:spacing w:after="0" w:line="1" w:lineRule="exact"/>
        <w:rPr>
          <w:rFonts w:ascii="Arial" w:cs="Arial" w:eastAsia="Arial" w:hAnsi="Arial"/>
          <w:sz w:val="19"/>
          <w:szCs w:val="19"/>
          <w:color w:val="auto"/>
        </w:rPr>
      </w:pPr>
    </w:p>
    <w:p>
      <w:pPr>
        <w:ind w:left="260" w:hanging="252"/>
        <w:spacing w:after="0"/>
        <w:tabs>
          <w:tab w:leader="none" w:pos="2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has been satisfied; and</w:t>
      </w:r>
    </w:p>
    <w:p>
      <w:pPr>
        <w:spacing w:after="0" w:line="188" w:lineRule="exact"/>
        <w:rPr>
          <w:rFonts w:ascii="Arial" w:cs="Arial" w:eastAsia="Arial" w:hAnsi="Arial"/>
          <w:sz w:val="22"/>
          <w:szCs w:val="22"/>
          <w:color w:val="auto"/>
        </w:rPr>
      </w:pPr>
    </w:p>
    <w:p>
      <w:pPr>
        <w:ind w:right="60" w:firstLine="8"/>
        <w:spacing w:after="0" w:line="235" w:lineRule="auto"/>
        <w:tabs>
          <w:tab w:leader="none" w:pos="306" w:val="left"/>
        </w:tabs>
        <w:numPr>
          <w:ilvl w:val="0"/>
          <w:numId w:val="47"/>
        </w:numPr>
        <w:rPr>
          <w:rFonts w:ascii="Arial" w:cs="Arial" w:eastAsia="Arial" w:hAnsi="Arial"/>
          <w:sz w:val="22"/>
          <w:szCs w:val="22"/>
          <w:color w:val="auto"/>
        </w:rPr>
      </w:pPr>
      <w:r>
        <w:rPr>
          <w:rFonts w:ascii="Arial" w:cs="Arial" w:eastAsia="Arial" w:hAnsi="Arial"/>
          <w:sz w:val="22"/>
          <w:szCs w:val="22"/>
          <w:color w:val="auto"/>
        </w:rPr>
        <w:t>each Assuming Lender or Increasing Lender shall have delivered to the Administrative Agent, on or prior to 11:00 a.m., Atlanta, Georgia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in each case of the respective Class, duly executed by such Assuming Lender and the Borrower and acknowledged by the Administrative Agent.</w:t>
      </w:r>
    </w:p>
    <w:p>
      <w:pPr>
        <w:spacing w:after="0" w:line="188" w:lineRule="exact"/>
        <w:rPr>
          <w:sz w:val="20"/>
          <w:szCs w:val="20"/>
          <w:color w:val="auto"/>
        </w:rPr>
      </w:pPr>
    </w:p>
    <w:p>
      <w:pPr>
        <w:jc w:val="both"/>
        <w:ind w:right="200"/>
        <w:spacing w:after="0"/>
        <w:rPr>
          <w:sz w:val="20"/>
          <w:szCs w:val="20"/>
          <w:color w:val="auto"/>
        </w:rPr>
      </w:pPr>
      <w:r>
        <w:rPr>
          <w:rFonts w:ascii="Arial" w:cs="Arial" w:eastAsia="Arial" w:hAnsi="Arial"/>
          <w:sz w:val="22"/>
          <w:szCs w:val="22"/>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186" w:lineRule="exact"/>
        <w:rPr>
          <w:sz w:val="20"/>
          <w:szCs w:val="20"/>
          <w:color w:val="auto"/>
        </w:rPr>
      </w:pPr>
    </w:p>
    <w:p>
      <w:pPr>
        <w:ind w:firstLine="8"/>
        <w:spacing w:after="0" w:line="273" w:lineRule="auto"/>
        <w:tabs>
          <w:tab w:leader="none" w:pos="378"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Recordation into Register</w:t>
      </w:r>
      <w:r>
        <w:rPr>
          <w:rFonts w:ascii="Arial" w:cs="Arial" w:eastAsia="Arial" w:hAnsi="Arial"/>
          <w:sz w:val="19"/>
          <w:szCs w:val="19"/>
          <w:color w:val="auto"/>
        </w:rPr>
        <w:t>. Upon its receipt of an agreement referred to in clause (ii)(y) above executed by an Assuming Lender or any Increasing Lender, together with the certificate referred to in clause (ii)(x) above, the Administrative Agent shall, if such agreement has been completed, (x) accept such agreement, (y) record the information contained therein in the Register and</w:t>
      </w:r>
    </w:p>
    <w:p>
      <w:pPr>
        <w:spacing w:after="0" w:line="1" w:lineRule="exact"/>
        <w:rPr>
          <w:rFonts w:ascii="Arial" w:cs="Arial" w:eastAsia="Arial" w:hAnsi="Arial"/>
          <w:sz w:val="19"/>
          <w:szCs w:val="19"/>
          <w:color w:val="auto"/>
        </w:rPr>
      </w:pPr>
    </w:p>
    <w:p>
      <w:pPr>
        <w:ind w:left="300" w:hanging="292"/>
        <w:spacing w:after="0"/>
        <w:tabs>
          <w:tab w:leader="none" w:pos="3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give prompt notice thereof to the Borrower.</w:t>
      </w:r>
    </w:p>
    <w:p>
      <w:pPr>
        <w:spacing w:after="0" w:line="188" w:lineRule="exact"/>
        <w:rPr>
          <w:sz w:val="20"/>
          <w:szCs w:val="20"/>
          <w:color w:val="auto"/>
        </w:rPr>
      </w:pPr>
    </w:p>
    <w:p>
      <w:pPr>
        <w:ind w:left="380" w:hanging="372"/>
        <w:spacing w:after="0"/>
        <w:tabs>
          <w:tab w:leader="none" w:pos="380"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Adjustments of Borrowings upon Effectiveness of Increase</w:t>
      </w:r>
      <w:r>
        <w:rPr>
          <w:rFonts w:ascii="Arial" w:cs="Arial" w:eastAsia="Arial" w:hAnsi="Arial"/>
          <w:sz w:val="21"/>
          <w:szCs w:val="21"/>
          <w:color w:val="auto"/>
        </w:rPr>
        <w:t>. On the Commitment Increase Date, the Borrower shall</w:t>
      </w:r>
    </w:p>
    <w:p>
      <w:pPr>
        <w:spacing w:after="0" w:line="19" w:lineRule="exact"/>
        <w:rPr>
          <w:rFonts w:ascii="Arial" w:cs="Arial" w:eastAsia="Arial" w:hAnsi="Arial"/>
          <w:sz w:val="21"/>
          <w:szCs w:val="21"/>
          <w:color w:val="auto"/>
        </w:rPr>
      </w:pPr>
    </w:p>
    <w:p>
      <w:pPr>
        <w:ind w:right="180"/>
        <w:spacing w:after="0" w:line="277" w:lineRule="auto"/>
        <w:rPr>
          <w:rFonts w:ascii="Arial" w:cs="Arial" w:eastAsia="Arial" w:hAnsi="Arial"/>
          <w:sz w:val="21"/>
          <w:szCs w:val="21"/>
          <w:color w:val="auto"/>
        </w:rPr>
      </w:pPr>
      <w:r>
        <w:rPr>
          <w:rFonts w:ascii="Arial" w:cs="Arial" w:eastAsia="Arial" w:hAnsi="Arial"/>
          <w:sz w:val="19"/>
          <w:szCs w:val="19"/>
          <w:color w:val="auto"/>
        </w:rPr>
        <w:t>(A) prepay the outstanding Loans (if any) of the affected Class in full, (B) simultaneously borrow new Loans of such Class hereunder in an amount equal to such prepayment; provided that with respect to subclauses (A) and (B),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w:t>
      </w:r>
    </w:p>
    <w:p>
      <w:pPr>
        <w:sectPr>
          <w:pgSz w:w="11900" w:h="16838" w:orient="portrait"/>
          <w:cols w:equalWidth="0" w:num="1">
            <w:col w:w="11240"/>
          </w:cols>
          <w:pgMar w:left="320" w:top="118" w:right="339" w:bottom="0" w:gutter="0" w:footer="0" w:header="0"/>
        </w:sectPr>
      </w:pPr>
    </w:p>
    <w:bookmarkStart w:id="24" w:name="page25"/>
    <w:bookmarkEnd w:id="24"/>
    <w:p>
      <w:pPr>
        <w:ind w:right="260"/>
        <w:spacing w:after="0" w:line="282" w:lineRule="auto"/>
        <w:rPr>
          <w:sz w:val="20"/>
          <w:szCs w:val="20"/>
          <w:color w:val="auto"/>
        </w:rPr>
      </w:pPr>
      <w:r>
        <w:rPr>
          <w:rFonts w:ascii="Arial" w:cs="Arial" w:eastAsia="Arial" w:hAnsi="Arial"/>
          <w:sz w:val="19"/>
          <w:szCs w:val="19"/>
          <w:color w:val="auto"/>
        </w:rPr>
        <w:t>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Section 2.15 as a result of any such prepayment. Concurrently therewith, the Lenders of such Class shall be deemed to have adjusted their participation interests in any outstanding Letters of Credit of such Class so that such interests are held ratably in accordance with their commitments of such Class as so increased.</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u w:val="single" w:color="auto"/>
          <w:color w:val="auto"/>
        </w:rPr>
        <w:t>Repayment of Loans; Evidence of Debt</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Repayment</w:t>
      </w:r>
      <w:r>
        <w:rPr>
          <w:rFonts w:ascii="Arial" w:cs="Arial" w:eastAsia="Arial" w:hAnsi="Arial"/>
          <w:sz w:val="22"/>
          <w:szCs w:val="22"/>
          <w:color w:val="auto"/>
        </w:rPr>
        <w:t>. The Borrower hereby unconditionally promises to pay the Loans of each Class as follows:</w:t>
      </w:r>
    </w:p>
    <w:p>
      <w:pPr>
        <w:spacing w:after="0" w:line="206" w:lineRule="exact"/>
        <w:rPr>
          <w:sz w:val="20"/>
          <w:szCs w:val="20"/>
          <w:color w:val="auto"/>
        </w:rPr>
      </w:pPr>
    </w:p>
    <w:p>
      <w:pPr>
        <w:ind w:right="540" w:firstLine="8"/>
        <w:spacing w:after="0" w:line="250" w:lineRule="auto"/>
        <w:tabs>
          <w:tab w:leader="none" w:pos="258" w:val="left"/>
        </w:tabs>
        <w:numPr>
          <w:ilvl w:val="0"/>
          <w:numId w:val="51"/>
        </w:numPr>
        <w:rPr>
          <w:rFonts w:ascii="Arial" w:cs="Arial" w:eastAsia="Arial" w:hAnsi="Arial"/>
          <w:sz w:val="22"/>
          <w:szCs w:val="22"/>
          <w:color w:val="auto"/>
        </w:rPr>
      </w:pPr>
      <w:r>
        <w:rPr>
          <w:rFonts w:ascii="Arial" w:cs="Arial" w:eastAsia="Arial" w:hAnsi="Arial"/>
          <w:sz w:val="22"/>
          <w:szCs w:val="22"/>
          <w:color w:val="auto"/>
        </w:rPr>
        <w:t>to the Administrative Agent for account of the Lenders of such Class the outstanding principal amount of the Syndicated Loans of such Class on the Commitment Termination Date; and</w:t>
      </w:r>
    </w:p>
    <w:p>
      <w:pPr>
        <w:spacing w:after="0" w:line="174" w:lineRule="exact"/>
        <w:rPr>
          <w:rFonts w:ascii="Arial" w:cs="Arial" w:eastAsia="Arial" w:hAnsi="Arial"/>
          <w:sz w:val="22"/>
          <w:szCs w:val="22"/>
          <w:color w:val="auto"/>
        </w:rPr>
      </w:pPr>
    </w:p>
    <w:p>
      <w:pPr>
        <w:ind w:right="200" w:firstLine="8"/>
        <w:spacing w:after="0" w:line="287" w:lineRule="auto"/>
        <w:tabs>
          <w:tab w:leader="none" w:pos="318" w:val="left"/>
        </w:tabs>
        <w:numPr>
          <w:ilvl w:val="0"/>
          <w:numId w:val="51"/>
        </w:numPr>
        <w:rPr>
          <w:rFonts w:ascii="Arial" w:cs="Arial" w:eastAsia="Arial" w:hAnsi="Arial"/>
          <w:sz w:val="19"/>
          <w:szCs w:val="19"/>
          <w:color w:val="auto"/>
        </w:rPr>
      </w:pPr>
      <w:r>
        <w:rPr>
          <w:rFonts w:ascii="Arial" w:cs="Arial" w:eastAsia="Arial" w:hAnsi="Arial"/>
          <w:sz w:val="19"/>
          <w:szCs w:val="19"/>
          <w:color w:val="auto"/>
        </w:rPr>
        <w:t>to the Swingline Lender the then unpaid principal amount of each Swingline Loan of such Class denominated in Dollars, on the earlier of the Commitment Termination Date and the first date after such Swingline Loan is made that is the 15th or last day of a calendar month and is at least ten Business Days after such Swingline Loan is made; provided that on each date that a Syndicated Borrowing of such Class is made, the Borrower shall repay all Swingline Loans of such Class then outstanding.</w:t>
      </w:r>
    </w:p>
    <w:p>
      <w:pPr>
        <w:spacing w:after="0" w:line="143" w:lineRule="exact"/>
        <w:rPr>
          <w:sz w:val="20"/>
          <w:szCs w:val="20"/>
          <w:color w:val="auto"/>
        </w:rPr>
      </w:pPr>
    </w:p>
    <w:p>
      <w:pPr>
        <w:ind w:right="200"/>
        <w:spacing w:after="0" w:line="252" w:lineRule="auto"/>
        <w:rPr>
          <w:sz w:val="20"/>
          <w:szCs w:val="20"/>
          <w:color w:val="auto"/>
        </w:rPr>
      </w:pPr>
      <w:r>
        <w:rPr>
          <w:rFonts w:ascii="Arial" w:cs="Arial" w:eastAsia="Arial" w:hAnsi="Arial"/>
          <w:sz w:val="21"/>
          <w:szCs w:val="21"/>
          <w:color w:val="auto"/>
        </w:rPr>
        <w:t>In addition, on the Commitment Termination Date, the Borrower shall deposit into the Letter of Credit Collateral Account Cash in an amount equal to 102% of the undrawn face amount of all Letters of Credit outstanding on the close of business on the Commitment Termination Date, such deposit to be held by the Administrative Agent as collateral security for the LC Exposure under this Agreement in respect of the undrawn portion of such Letters of Credit.</w:t>
      </w:r>
    </w:p>
    <w:p>
      <w:pPr>
        <w:spacing w:after="0" w:line="174" w:lineRule="exact"/>
        <w:rPr>
          <w:sz w:val="20"/>
          <w:szCs w:val="20"/>
          <w:color w:val="auto"/>
        </w:rPr>
      </w:pPr>
    </w:p>
    <w:p>
      <w:pPr>
        <w:ind w:firstLine="8"/>
        <w:spacing w:after="0" w:line="245" w:lineRule="auto"/>
        <w:tabs>
          <w:tab w:leader="none" w:pos="306"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Manner of Payment</w:t>
      </w:r>
      <w:r>
        <w:rPr>
          <w:rFonts w:ascii="Arial" w:cs="Arial" w:eastAsia="Arial" w:hAnsi="Arial"/>
          <w:sz w:val="21"/>
          <w:szCs w:val="21"/>
          <w:color w:val="auto"/>
        </w:rPr>
        <w:t>. Prior to any repayment or prepayment of any Borrowings of any Class hereunder, the Borrower shall select the Borrowing or Borrowings of such Class to be paid and shall notify the Administrative Agent by telephone (confirmed by telecopy) of such selection not later than the time set forth in Section 2.10(e) prior to the scheduled date of such repayment; provided that each repayment of Borrowings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shall b e applied ratably to the Loans included in such Borrowing.</w:t>
      </w:r>
    </w:p>
    <w:p>
      <w:pPr>
        <w:spacing w:after="0" w:line="184" w:lineRule="exact"/>
        <w:rPr>
          <w:rFonts w:ascii="Arial" w:cs="Arial" w:eastAsia="Arial" w:hAnsi="Arial"/>
          <w:sz w:val="21"/>
          <w:szCs w:val="21"/>
          <w:color w:val="auto"/>
        </w:rPr>
      </w:pPr>
    </w:p>
    <w:p>
      <w:pPr>
        <w:ind w:right="120" w:firstLine="8"/>
        <w:spacing w:after="0" w:line="257" w:lineRule="auto"/>
        <w:tabs>
          <w:tab w:leader="none" w:pos="294"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Maintenance of Records by Lenders</w:t>
      </w:r>
      <w:r>
        <w:rPr>
          <w:rFonts w:ascii="Arial" w:cs="Arial" w:eastAsia="Arial" w:hAnsi="Arial"/>
          <w:sz w:val="21"/>
          <w:szCs w:val="21"/>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69" w:lineRule="exact"/>
        <w:rPr>
          <w:rFonts w:ascii="Arial" w:cs="Arial" w:eastAsia="Arial" w:hAnsi="Arial"/>
          <w:sz w:val="21"/>
          <w:szCs w:val="21"/>
          <w:color w:val="auto"/>
        </w:rPr>
      </w:pPr>
    </w:p>
    <w:p>
      <w:pPr>
        <w:jc w:val="center"/>
        <w:ind w:right="240" w:firstLine="8"/>
        <w:spacing w:after="0" w:line="276" w:lineRule="auto"/>
        <w:tabs>
          <w:tab w:leader="none" w:pos="306"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Maintenance of Records by the Administrative Agent</w:t>
      </w:r>
      <w:r>
        <w:rPr>
          <w:rFonts w:ascii="Arial" w:cs="Arial" w:eastAsia="Arial" w:hAnsi="Arial"/>
          <w:sz w:val="19"/>
          <w:szCs w:val="19"/>
          <w:color w:val="auto"/>
        </w:rPr>
        <w:t>. The Administrative Agent shall maintain records in which it shall record (i) the amount and Currency of each Loan made hereunder, the Class and Type thereof and each Interest Period therefor,</w:t>
      </w:r>
    </w:p>
    <w:p>
      <w:pPr>
        <w:spacing w:after="0" w:line="1" w:lineRule="exact"/>
        <w:rPr>
          <w:rFonts w:ascii="Arial" w:cs="Arial" w:eastAsia="Arial" w:hAnsi="Arial"/>
          <w:sz w:val="19"/>
          <w:szCs w:val="19"/>
          <w:color w:val="auto"/>
        </w:rPr>
      </w:pPr>
    </w:p>
    <w:p>
      <w:pPr>
        <w:ind w:right="380" w:firstLine="8"/>
        <w:spacing w:after="0" w:line="234" w:lineRule="auto"/>
        <w:tabs>
          <w:tab w:leader="none" w:pos="318"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amount and Currency of any principal or interest due and payable or to become due and payable from the Borrower to each Lender of such Class hereunder and (iii) the amount and Currency of any sum received by the Administrative Agent hereunder for account of the Lenders and each Lender's share thereof.</w:t>
      </w:r>
    </w:p>
    <w:p>
      <w:pPr>
        <w:spacing w:after="0" w:line="187" w:lineRule="exact"/>
        <w:rPr>
          <w:rFonts w:ascii="Arial" w:cs="Arial" w:eastAsia="Arial" w:hAnsi="Arial"/>
          <w:sz w:val="22"/>
          <w:szCs w:val="22"/>
          <w:color w:val="auto"/>
        </w:rPr>
      </w:pPr>
    </w:p>
    <w:p>
      <w:pPr>
        <w:ind w:firstLine="8"/>
        <w:spacing w:after="0" w:line="252" w:lineRule="auto"/>
        <w:tabs>
          <w:tab w:leader="none" w:pos="294"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Effect of Entries</w:t>
      </w:r>
      <w:r>
        <w:rPr>
          <w:rFonts w:ascii="Arial" w:cs="Arial" w:eastAsia="Arial" w:hAnsi="Arial"/>
          <w:sz w:val="21"/>
          <w:szCs w:val="21"/>
          <w:color w:val="auto"/>
        </w:rPr>
        <w:t>. The entries made in the records maintained pursuant to paragraph (c) or (d) of this Section shall be prima facie evidence, absent obvious error, of the existence and amounts of the obligations recorded therein; provided that the failure of any Lender or the Administrative Agent to maintain such records or any error therein shall not in any manner affect the obligation of the Borrower to repay the Loans in accordance with the terms of this Agreement.</w:t>
      </w:r>
    </w:p>
    <w:p>
      <w:pPr>
        <w:spacing w:after="0" w:line="173" w:lineRule="exact"/>
        <w:rPr>
          <w:rFonts w:ascii="Arial" w:cs="Arial" w:eastAsia="Arial" w:hAnsi="Arial"/>
          <w:sz w:val="21"/>
          <w:szCs w:val="21"/>
          <w:color w:val="auto"/>
        </w:rPr>
      </w:pPr>
    </w:p>
    <w:p>
      <w:pPr>
        <w:ind w:right="140" w:firstLine="8"/>
        <w:spacing w:after="0" w:line="279" w:lineRule="auto"/>
        <w:tabs>
          <w:tab w:leader="none" w:pos="27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Promissory Notes</w:t>
      </w:r>
      <w:r>
        <w:rPr>
          <w:rFonts w:ascii="Arial" w:cs="Arial" w:eastAsia="Arial" w:hAnsi="Arial"/>
          <w:sz w:val="19"/>
          <w:szCs w:val="19"/>
          <w:color w:val="auto"/>
        </w:rPr>
        <w:t>.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payable to the payee named therein (or, if such promissory note is a registered note, to such payee and its registered assigns).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Prepayment of Loans</w:t>
      </w:r>
      <w:r>
        <w:rPr>
          <w:rFonts w:ascii="Arial" w:cs="Arial" w:eastAsia="Arial" w:hAnsi="Arial"/>
          <w:sz w:val="22"/>
          <w:szCs w:val="22"/>
          <w:color w:val="auto"/>
        </w:rPr>
        <w:t>.</w:t>
      </w:r>
    </w:p>
    <w:p>
      <w:pPr>
        <w:spacing w:after="0" w:line="206" w:lineRule="exact"/>
        <w:rPr>
          <w:sz w:val="20"/>
          <w:szCs w:val="20"/>
          <w:color w:val="auto"/>
        </w:rPr>
      </w:pPr>
    </w:p>
    <w:p>
      <w:pPr>
        <w:ind w:firstLine="8"/>
        <w:spacing w:after="0" w:line="250" w:lineRule="auto"/>
        <w:tabs>
          <w:tab w:leader="none" w:pos="294"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Optional Prepayments</w:t>
      </w:r>
      <w:r>
        <w:rPr>
          <w:rFonts w:ascii="Arial" w:cs="Arial" w:eastAsia="Arial" w:hAnsi="Arial"/>
          <w:sz w:val="22"/>
          <w:szCs w:val="22"/>
          <w:color w:val="auto"/>
        </w:rPr>
        <w:t>. The Borrower shall have the right at any time and from time to time to prepay any Borrowing in whole or in part, subject to the requirements of this Section.</w:t>
      </w:r>
    </w:p>
    <w:p>
      <w:pPr>
        <w:spacing w:after="0" w:line="174" w:lineRule="exact"/>
        <w:rPr>
          <w:rFonts w:ascii="Arial" w:cs="Arial" w:eastAsia="Arial" w:hAnsi="Arial"/>
          <w:sz w:val="22"/>
          <w:szCs w:val="22"/>
          <w:color w:val="auto"/>
        </w:rPr>
      </w:pPr>
    </w:p>
    <w:p>
      <w:pPr>
        <w:ind w:left="320" w:hanging="312"/>
        <w:spacing w:after="0"/>
        <w:tabs>
          <w:tab w:leader="none" w:pos="32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Mandatory Prepayments due to Changes in Exchange Rates</w:t>
      </w:r>
      <w:r>
        <w:rPr>
          <w:rFonts w:ascii="Arial" w:cs="Arial" w:eastAsia="Arial" w:hAnsi="Arial"/>
          <w:sz w:val="22"/>
          <w:szCs w:val="22"/>
          <w:color w:val="auto"/>
        </w:rPr>
        <w:t>.</w:t>
      </w:r>
    </w:p>
    <w:p>
      <w:pPr>
        <w:spacing w:after="0" w:line="206" w:lineRule="exact"/>
        <w:rPr>
          <w:sz w:val="20"/>
          <w:szCs w:val="20"/>
          <w:color w:val="auto"/>
        </w:rPr>
      </w:pPr>
    </w:p>
    <w:p>
      <w:pPr>
        <w:ind w:right="40" w:firstLine="8"/>
        <w:spacing w:after="0" w:line="279" w:lineRule="auto"/>
        <w:tabs>
          <w:tab w:leader="none" w:pos="258"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Determination of Amount Outstanding</w:t>
      </w:r>
      <w:r>
        <w:rPr>
          <w:rFonts w:ascii="Arial" w:cs="Arial" w:eastAsia="Arial" w:hAnsi="Arial"/>
          <w:sz w:val="19"/>
          <w:szCs w:val="19"/>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Atlanta, Georgia time, on a Business Day, on such Business Day or, in the case of a Currency</w:t>
      </w:r>
    </w:p>
    <w:p>
      <w:pPr>
        <w:sectPr>
          <w:pgSz w:w="11900" w:h="16838" w:orient="portrait"/>
          <w:cols w:equalWidth="0" w:num="1">
            <w:col w:w="11240"/>
          </w:cols>
          <w:pgMar w:left="320" w:top="118" w:right="339" w:bottom="0" w:gutter="0" w:footer="0" w:header="0"/>
        </w:sectPr>
      </w:pPr>
    </w:p>
    <w:bookmarkStart w:id="25" w:name="page26"/>
    <w:bookmarkEnd w:id="25"/>
    <w:p>
      <w:pPr>
        <w:ind w:right="280"/>
        <w:spacing w:after="0" w:line="328" w:lineRule="auto"/>
        <w:rPr>
          <w:sz w:val="20"/>
          <w:szCs w:val="20"/>
          <w:color w:val="auto"/>
        </w:rPr>
      </w:pPr>
      <w:r>
        <w:rPr>
          <w:rFonts w:ascii="Arial" w:cs="Arial" w:eastAsia="Arial" w:hAnsi="Arial"/>
          <w:sz w:val="19"/>
          <w:szCs w:val="19"/>
          <w:color w:val="auto"/>
        </w:rPr>
        <w:t>Valuation Notice otherwise received, on the first Business Day after such Currency Valuation Notice is received. Upon making such determination, the Administrative Agent shall promptly notify the Multicurrency Lenders and the Borrower thereof.</w:t>
      </w:r>
    </w:p>
    <w:p>
      <w:pPr>
        <w:spacing w:after="0" w:line="105" w:lineRule="exact"/>
        <w:rPr>
          <w:sz w:val="20"/>
          <w:szCs w:val="20"/>
          <w:color w:val="auto"/>
        </w:rPr>
      </w:pPr>
    </w:p>
    <w:p>
      <w:pPr>
        <w:ind w:right="80" w:firstLine="8"/>
        <w:spacing w:after="0" w:line="279" w:lineRule="auto"/>
        <w:tabs>
          <w:tab w:leader="none" w:pos="318"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Prepayment</w:t>
      </w:r>
      <w:r>
        <w:rPr>
          <w:rFonts w:ascii="Arial" w:cs="Arial" w:eastAsia="Arial" w:hAnsi="Arial"/>
          <w:sz w:val="19"/>
          <w:szCs w:val="19"/>
          <w:color w:val="auto"/>
        </w:rPr>
        <w:t>. If on the date of such determination the aggregate Revolving Multicurrency Credit Exposure exceeds 105% of the aggregate amount of the Multicurrency Commitments as then in effect, the Borrower shall, if requested by the Required Multicurrency Lenders (through the Administrative Agent), prepay the Syndicated Multicurrency Loans and Swingline Multicurrency Loans (and/or provide cover for Multicurrency LC Exposure as specified in Section 2.05(k))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50"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For purposes hereof "</w:t>
      </w:r>
      <w:r>
        <w:rPr>
          <w:rFonts w:ascii="Arial" w:cs="Arial" w:eastAsia="Arial" w:hAnsi="Arial"/>
          <w:sz w:val="19"/>
          <w:szCs w:val="19"/>
          <w:u w:val="single" w:color="auto"/>
          <w:color w:val="auto"/>
        </w:rPr>
        <w:t>Currency Valuation Notice</w:t>
      </w:r>
      <w:r>
        <w:rPr>
          <w:rFonts w:ascii="Arial" w:cs="Arial" w:eastAsia="Arial" w:hAnsi="Arial"/>
          <w:sz w:val="19"/>
          <w:szCs w:val="19"/>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43" w:lineRule="exact"/>
        <w:rPr>
          <w:sz w:val="20"/>
          <w:szCs w:val="20"/>
          <w:color w:val="auto"/>
        </w:rPr>
      </w:pPr>
    </w:p>
    <w:p>
      <w:pPr>
        <w:ind w:right="540"/>
        <w:spacing w:after="0" w:line="274" w:lineRule="auto"/>
        <w:rPr>
          <w:sz w:val="20"/>
          <w:szCs w:val="20"/>
          <w:color w:val="auto"/>
        </w:rPr>
      </w:pPr>
      <w:r>
        <w:rPr>
          <w:rFonts w:ascii="Arial" w:cs="Arial" w:eastAsia="Arial" w:hAnsi="Arial"/>
          <w:sz w:val="21"/>
          <w:szCs w:val="21"/>
          <w:color w:val="auto"/>
        </w:rPr>
        <w:t xml:space="preserve">Any prepayment pursuant to this paragraph shall be applied,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to Swingline Multicurrency Loans outstanding,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to Syndicated Multicurrency Loans outstanding and </w:t>
      </w:r>
      <w:r>
        <w:rPr>
          <w:rFonts w:ascii="Arial" w:cs="Arial" w:eastAsia="Arial" w:hAnsi="Arial"/>
          <w:sz w:val="21"/>
          <w:szCs w:val="21"/>
          <w:u w:val="single" w:color="auto"/>
          <w:color w:val="auto"/>
        </w:rPr>
        <w:t>third</w:t>
      </w:r>
      <w:r>
        <w:rPr>
          <w:rFonts w:ascii="Arial" w:cs="Arial" w:eastAsia="Arial" w:hAnsi="Arial"/>
          <w:sz w:val="21"/>
          <w:szCs w:val="21"/>
          <w:color w:val="auto"/>
        </w:rPr>
        <w:t>, as cover for Multicurrency LC Exposure.</w:t>
      </w:r>
    </w:p>
    <w:p>
      <w:pPr>
        <w:spacing w:after="0" w:line="151" w:lineRule="exact"/>
        <w:rPr>
          <w:sz w:val="20"/>
          <w:szCs w:val="20"/>
          <w:color w:val="auto"/>
        </w:rPr>
      </w:pPr>
    </w:p>
    <w:p>
      <w:pPr>
        <w:ind w:right="20" w:firstLine="8"/>
        <w:spacing w:after="0" w:line="273" w:lineRule="auto"/>
        <w:tabs>
          <w:tab w:leader="none" w:pos="294"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Mandatory Prepayments due to Borrowing Base Deficiency</w:t>
      </w:r>
      <w:r>
        <w:rPr>
          <w:rFonts w:ascii="Arial" w:cs="Arial" w:eastAsia="Arial" w:hAnsi="Arial"/>
          <w:sz w:val="19"/>
          <w:szCs w:val="19"/>
          <w:color w:val="auto"/>
        </w:rPr>
        <w:t>. In the event that at any time any Borrowing Base Deficiency shall exist, the Borrower shall prepay the Loans (or provide cover for Letters of Credit as contemplated by Section 2.05(k)) or reduce Other Covered Indebtedness in such amounts as shall be necessary so that such Borrowing Base Deficiency is immediately cured, provided that (i) the aggregate amount of such prepayment of Loans (and cover for Letters of Credit) shall be at least equal to the Revolving Percentage times the aggregate prepayment of the Covered Debt Amount, and (ii) if, within five Business Days after delivery of a Borrowing Base Certificate demonstrating such Borrowing Base Deficiency (and/or at such other times as the Borrower has knowledge of such Borrowing Base Deficiency), the Borrower shall present the Administrative Agent a reasonably feasible plan to enable such Borrowing Base Deficiency to be cured within 30 Business Days (which 3 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155" w:lineRule="exact"/>
        <w:rPr>
          <w:rFonts w:ascii="Arial" w:cs="Arial" w:eastAsia="Arial" w:hAnsi="Arial"/>
          <w:sz w:val="19"/>
          <w:szCs w:val="19"/>
          <w:color w:val="auto"/>
        </w:rPr>
      </w:pPr>
    </w:p>
    <w:p>
      <w:pPr>
        <w:ind w:right="100" w:firstLine="8"/>
        <w:spacing w:after="0" w:line="246" w:lineRule="auto"/>
        <w:tabs>
          <w:tab w:leader="none" w:pos="306"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Mandatory Prepayments Due to Change in Investment Policies</w:t>
      </w:r>
      <w:r>
        <w:rPr>
          <w:rFonts w:ascii="Arial" w:cs="Arial" w:eastAsia="Arial" w:hAnsi="Arial"/>
          <w:sz w:val="21"/>
          <w:szCs w:val="21"/>
          <w:color w:val="auto"/>
        </w:rPr>
        <w:t>. In the event that at any time the Borrower or any of its Subsidiaries shall change or modify in any material respect the Investment Policies without the consent of the Required Lenders, the Borrower shall prepay the Loans then outstanding in full, together with accrued interest thereon and all fees and other obligations of the Borrower accrued hereunder; provided that it shall not be deemed a material change in the Investment Policies if (i) investment size (which as of the Effective Date is to normally range from between $5,000,000 and $50,000,000) proportionately increases as the size of the Borrower's capital base changes or (ii) the Borrower and its Subsidiaries invest up to 30% of their assets in non-U.S. companies.</w:t>
      </w:r>
    </w:p>
    <w:p>
      <w:pPr>
        <w:spacing w:after="0" w:line="184" w:lineRule="exact"/>
        <w:rPr>
          <w:rFonts w:ascii="Arial" w:cs="Arial" w:eastAsia="Arial" w:hAnsi="Arial"/>
          <w:sz w:val="21"/>
          <w:szCs w:val="21"/>
          <w:color w:val="auto"/>
        </w:rPr>
      </w:pPr>
    </w:p>
    <w:p>
      <w:pPr>
        <w:ind w:firstLine="8"/>
        <w:spacing w:after="0" w:line="270" w:lineRule="auto"/>
        <w:tabs>
          <w:tab w:leader="none" w:pos="294"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Notices, Etc.</w:t>
      </w:r>
      <w:r>
        <w:rPr>
          <w:rFonts w:ascii="Arial" w:cs="Arial" w:eastAsia="Arial" w:hAnsi="Arial"/>
          <w:sz w:val="19"/>
          <w:szCs w:val="19"/>
          <w:color w:val="auto"/>
        </w:rPr>
        <w:t xml:space="preserve"> The Borrower shall notify the Administrative Agent (and, in the case of prepayment of a Swingline Loan, the Swingline Lender) by telephone (confirmed by telecopy) of any prepayment hereunder (i) in the case of prepayment of a Eurocurrency Borrowing denominated in Dollars, not later than 11:00 a.m., Atlanta, Georgia time, three Business Days before the date of prepayment, (ii) in the case of prepayment of a Eurocurrency Borrowing denominated in a Foreign Currency, not later than 11:00 a.m., London time, four Business Days before the date of prepayment, (iii) in the case of prepayment of a Syndicated ABR Borrowing, not later than 11:00 a.m., Atlanta, Georgia, one Business Days before the date of prepayment, or (iv) in the case of prepayment of a Swingline Loan , not later than 11:00 a.m., Atlanta, Georgia time, on the date of prepayment. Each such notice shall be irrevocable and shall specify the prepayment date, the principal amount of each Borrowin g or portion thereof to be prepaid and, in the case of a mandatory prepayment, a reasonably detailed calculation of the amount of such prepayment; provided, that, if a notice of prepayment is given in connection with a conditional notice of termination of the Commitments of a Class as contemplated by Section 2.08, then such notice of prepayment may be revoked if such notice of termination is revoked in accordance with Section 2.08.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Section 2.02, except as necessary to apply fully the required amount of a mandatory prepayment. Each prepayment of a Syndicated Borrowing of a Class shall be applied ratably to the Loans of such Class included in the prepaid Borrowing. Prepayments shall be accompanied by accrued interest to the extent required by Section 2.12 and shall be made in the manner specified in Section 2.09(b).</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Fees</w:t>
      </w:r>
      <w:r>
        <w:rPr>
          <w:rFonts w:ascii="Arial" w:cs="Arial" w:eastAsia="Arial" w:hAnsi="Arial"/>
          <w:sz w:val="22"/>
          <w:szCs w:val="22"/>
          <w:color w:val="auto"/>
        </w:rPr>
        <w:t>.</w:t>
      </w:r>
    </w:p>
    <w:p>
      <w:pPr>
        <w:spacing w:after="0" w:line="206" w:lineRule="exact"/>
        <w:rPr>
          <w:sz w:val="20"/>
          <w:szCs w:val="20"/>
          <w:color w:val="auto"/>
        </w:rPr>
      </w:pPr>
    </w:p>
    <w:p>
      <w:pPr>
        <w:ind w:firstLine="8"/>
        <w:spacing w:after="0" w:line="273" w:lineRule="auto"/>
        <w:tabs>
          <w:tab w:leader="none" w:pos="294"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Commitment Fee</w:t>
      </w:r>
      <w:r>
        <w:rPr>
          <w:rFonts w:ascii="Arial" w:cs="Arial" w:eastAsia="Arial" w:hAnsi="Arial"/>
          <w:sz w:val="19"/>
          <w:szCs w:val="19"/>
          <w:color w:val="auto"/>
        </w:rPr>
        <w:t>. The Borrower agrees to pay to the Administrative Agent for account of each Lender a commitment fee, which shall accrue at a rate per annum equal to 2/10 of 1% on the average daily unused amount of the Dollar Commitment and Multicurrency Commitment, as applicable, of such Lender during the period from and including the date hereof to but excluding the earlier of the date such commitment terminates and the Commitment Termination Date. Accrued commitment fees shall be payable within one Business Day after each Quarterly Date and on the earlier of the date the Commitments of the respective Class terminate and the Commitment Termination Date,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the Commitment of any Class of a Lender sha ll be deemed to be used to the extent of the outstanding Syndicated Loans and LC Exposure of such Class of such Lender (and the Swingline Exposure of such Class of such Lender shall be disregarded for such purpose).</w:t>
      </w:r>
    </w:p>
    <w:p>
      <w:pPr>
        <w:sectPr>
          <w:pgSz w:w="11900" w:h="16838" w:orient="portrait"/>
          <w:cols w:equalWidth="0" w:num="1">
            <w:col w:w="11240"/>
          </w:cols>
          <w:pgMar w:left="320" w:top="118" w:right="339" w:bottom="0" w:gutter="0" w:footer="0" w:header="0"/>
        </w:sectPr>
      </w:pPr>
    </w:p>
    <w:bookmarkStart w:id="26" w:name="page27"/>
    <w:bookmarkEnd w:id="26"/>
    <w:p>
      <w:pPr>
        <w:ind w:right="40" w:firstLine="8"/>
        <w:spacing w:after="0" w:line="270" w:lineRule="auto"/>
        <w:tabs>
          <w:tab w:leader="none" w:pos="306"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The Borrower agrees to pay (i) to the Administrative Agent for account of each Lender a participation fee with respect to its participations in Letters of Credit of each Class, which shall accrue at a rate per annum equal to the Applicable Margin applicable to interest on Eurocurrency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the Issuing Bank a fronting fee, which shall accrue at the rate of 0.125% per annum on the average daily amount of the LC Exposure (excluding any portion thereof attributable to unreimbursed LC Disbursements) during the period from and including the Effective Date to but e xcluding the later of the date of termination of the Commitments and the date on which there ceases to be any LC Exposure, as well as the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provided that all such fees with respect to the Letters of Credit of a Class shall be payable on the date on which the Commitments of such Class terminate and any such fees accruing after the date on which such commitments terminate shall be payable on demand. Any other fees payable to the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right="120" w:firstLine="8"/>
        <w:spacing w:after="0" w:line="274" w:lineRule="auto"/>
        <w:tabs>
          <w:tab w:leader="none" w:pos="294"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Administrative Agent Fees</w:t>
      </w:r>
      <w:r>
        <w:rPr>
          <w:rFonts w:ascii="Arial" w:cs="Arial" w:eastAsia="Arial" w:hAnsi="Arial"/>
          <w:sz w:val="21"/>
          <w:szCs w:val="21"/>
          <w:color w:val="auto"/>
        </w:rPr>
        <w:t>. The Borrower agrees to pay to the Administrative Agent, for its own account, fees payable in the amounts and at the times separately agreed upon between the Borrower and the Administrative Agent.</w:t>
      </w:r>
    </w:p>
    <w:p>
      <w:pPr>
        <w:spacing w:after="0" w:line="150" w:lineRule="exact"/>
        <w:rPr>
          <w:rFonts w:ascii="Arial" w:cs="Arial" w:eastAsia="Arial" w:hAnsi="Arial"/>
          <w:sz w:val="21"/>
          <w:szCs w:val="21"/>
          <w:color w:val="auto"/>
        </w:rPr>
      </w:pPr>
    </w:p>
    <w:p>
      <w:pPr>
        <w:ind w:firstLine="8"/>
        <w:spacing w:after="0" w:line="236" w:lineRule="auto"/>
        <w:tabs>
          <w:tab w:leader="none" w:pos="306"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Payment of Fees</w:t>
      </w:r>
      <w:r>
        <w:rPr>
          <w:rFonts w:ascii="Arial" w:cs="Arial" w:eastAsia="Arial" w:hAnsi="Arial"/>
          <w:sz w:val="22"/>
          <w:szCs w:val="22"/>
          <w:color w:val="auto"/>
        </w:rPr>
        <w:t>. All fees payable hereunder shall be paid on the dates due, in Dollars (or, at the election of the Borrower with respect to any fees payable to the Issuing Bank on account of Letters of Credit issued in any Foreign Currency, in such Foreign Currency) and immediately available funds, to the Administrative Agent (or to the Issuing Bank, in the case of fees payable to it) for distribution, in the case of facility fees and participation fees, to the Lenders entitled thereto. Fees paid shall not be refundable under any circumstances absent obvious error.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Interest</w:t>
      </w:r>
      <w:r>
        <w:rPr>
          <w:rFonts w:ascii="Arial" w:cs="Arial" w:eastAsia="Arial" w:hAnsi="Arial"/>
          <w:sz w:val="22"/>
          <w:szCs w:val="22"/>
          <w:color w:val="auto"/>
        </w:rPr>
        <w:t>.</w:t>
      </w:r>
    </w:p>
    <w:p>
      <w:pPr>
        <w:spacing w:after="0" w:line="206" w:lineRule="exact"/>
        <w:rPr>
          <w:sz w:val="20"/>
          <w:szCs w:val="20"/>
          <w:color w:val="auto"/>
        </w:rPr>
      </w:pPr>
    </w:p>
    <w:p>
      <w:pPr>
        <w:ind w:right="340" w:firstLine="8"/>
        <w:spacing w:after="0" w:line="250" w:lineRule="auto"/>
        <w:tabs>
          <w:tab w:leader="none" w:pos="294"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ABR Loans</w:t>
      </w:r>
      <w:r>
        <w:rPr>
          <w:rFonts w:ascii="Arial" w:cs="Arial" w:eastAsia="Arial" w:hAnsi="Arial"/>
          <w:sz w:val="22"/>
          <w:szCs w:val="22"/>
          <w:color w:val="auto"/>
        </w:rPr>
        <w:t>. The Loans constituting each ABR Borrowing (including each Swingline Loan) shall bear interest at a rate per annum equal to the Alternate Base Rate plus the Applicable Margin.</w:t>
      </w:r>
    </w:p>
    <w:p>
      <w:pPr>
        <w:spacing w:after="0" w:line="174" w:lineRule="exact"/>
        <w:rPr>
          <w:rFonts w:ascii="Arial" w:cs="Arial" w:eastAsia="Arial" w:hAnsi="Arial"/>
          <w:sz w:val="22"/>
          <w:szCs w:val="22"/>
          <w:color w:val="auto"/>
        </w:rPr>
      </w:pPr>
    </w:p>
    <w:p>
      <w:pPr>
        <w:ind w:right="60" w:firstLine="8"/>
        <w:spacing w:after="0" w:line="274" w:lineRule="auto"/>
        <w:tabs>
          <w:tab w:leader="none" w:pos="306"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Eurocurrency Loans</w:t>
      </w:r>
      <w:r>
        <w:rPr>
          <w:rFonts w:ascii="Arial" w:cs="Arial" w:eastAsia="Arial" w:hAnsi="Arial"/>
          <w:sz w:val="21"/>
          <w:szCs w:val="21"/>
          <w:color w:val="auto"/>
        </w:rPr>
        <w:t>. The Loans constituting each Eurocurrency Borrowing shall bear interest at a rate per annum equal to the Adjusted LIBO Rate for the related Interest Period for such Borrowing plus the Applicable Margin.</w:t>
      </w:r>
    </w:p>
    <w:p>
      <w:pPr>
        <w:spacing w:after="0" w:line="150" w:lineRule="exact"/>
        <w:rPr>
          <w:rFonts w:ascii="Arial" w:cs="Arial" w:eastAsia="Arial" w:hAnsi="Arial"/>
          <w:sz w:val="21"/>
          <w:szCs w:val="21"/>
          <w:color w:val="auto"/>
        </w:rPr>
      </w:pPr>
    </w:p>
    <w:p>
      <w:pPr>
        <w:ind w:left="300" w:hanging="292"/>
        <w:spacing w:after="0"/>
        <w:tabs>
          <w:tab w:leader="none" w:pos="30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 w:firstLine="8"/>
        <w:spacing w:after="0" w:line="235" w:lineRule="auto"/>
        <w:tabs>
          <w:tab w:leader="none" w:pos="306"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Default Interest</w:t>
      </w:r>
      <w:r>
        <w:rPr>
          <w:rFonts w:ascii="Arial" w:cs="Arial" w:eastAsia="Arial" w:hAnsi="Arial"/>
          <w:sz w:val="22"/>
          <w:szCs w:val="22"/>
          <w:color w:val="auto"/>
        </w:rPr>
        <w:t>. Notwithstanding the foregoing, if any Event of Default has occurred and is continuing, the interest rates applicable to Loans and any fee or other amount payable by the Borrower hereunder shall bear interest, after as well as before judgment, at a rate per annum equal to (i) in the case of principal of any Loan, 2% plus the rate otherwise applicable to such Loan as provided above, (ii) in the case of any Letter of Credit, 2% plus the fee otherwise applicable to such Letter of Credit as provided in Section 2.11(b)(i), or (iii) in the case of any fee or other amount, 2% plus the rate applicable to ABR Revolving Loans as provided in paragraph (a) of this Section.</w:t>
      </w:r>
    </w:p>
    <w:p>
      <w:pPr>
        <w:spacing w:after="0" w:line="187" w:lineRule="exact"/>
        <w:rPr>
          <w:rFonts w:ascii="Arial" w:cs="Arial" w:eastAsia="Arial" w:hAnsi="Arial"/>
          <w:sz w:val="22"/>
          <w:szCs w:val="22"/>
          <w:color w:val="auto"/>
        </w:rPr>
      </w:pPr>
    </w:p>
    <w:p>
      <w:pPr>
        <w:ind w:right="20" w:firstLine="8"/>
        <w:spacing w:after="0" w:line="277" w:lineRule="auto"/>
        <w:tabs>
          <w:tab w:leader="none" w:pos="294"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Payment of Interest</w:t>
      </w:r>
      <w:r>
        <w:rPr>
          <w:rFonts w:ascii="Arial" w:cs="Arial" w:eastAsia="Arial" w:hAnsi="Arial"/>
          <w:sz w:val="19"/>
          <w:szCs w:val="19"/>
          <w:color w:val="auto"/>
        </w:rPr>
        <w:t>. Accrued interest on each Loan shall be payable in arrears on each Interest Payment Date for such Loan in the Currency in which such Loan is denominated and, in the case of Syndicated Loans, upon termination of the Commitments; provided that (i) interest accrued pursuant to paragraph (d) of this Section shall be payable on demand, (ii) in the event of any repayment or prepayment of any Loan (other than a prepayment of a Syndicated ABR Loan prior to the Commitment Termination Date), accrued interest on the principal amount repaid or prepaid shall be payable on the date of such repayment or prepayment and (iii) in the event of any conversion of any Eurocurrency Borrowing denominated in Dollars prior to the end of the Interest Period therefor, accrued interest on such Borrowing shall be payable on the effective date of such conversion.</w:t>
      </w:r>
    </w:p>
    <w:p>
      <w:pPr>
        <w:spacing w:after="0" w:line="151" w:lineRule="exact"/>
        <w:rPr>
          <w:rFonts w:ascii="Arial" w:cs="Arial" w:eastAsia="Arial" w:hAnsi="Arial"/>
          <w:sz w:val="19"/>
          <w:szCs w:val="19"/>
          <w:color w:val="auto"/>
        </w:rPr>
      </w:pPr>
    </w:p>
    <w:p>
      <w:pPr>
        <w:ind w:right="20" w:firstLine="8"/>
        <w:spacing w:after="0" w:line="248" w:lineRule="auto"/>
        <w:tabs>
          <w:tab w:leader="none" w:pos="270"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Computation</w:t>
      </w:r>
      <w:r>
        <w:rPr>
          <w:rFonts w:ascii="Arial" w:cs="Arial" w:eastAsia="Arial" w:hAnsi="Arial"/>
          <w:sz w:val="21"/>
          <w:szCs w:val="21"/>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Canadian Dollars or Pounds Sterling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77"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u w:val="single" w:color="auto"/>
          <w:color w:val="auto"/>
        </w:rPr>
        <w:t>Alternate Rate of Interest</w:t>
      </w:r>
      <w:r>
        <w:rPr>
          <w:rFonts w:ascii="Arial" w:cs="Arial" w:eastAsia="Arial" w:hAnsi="Arial"/>
          <w:sz w:val="22"/>
          <w:szCs w:val="22"/>
          <w:color w:val="auto"/>
        </w:rPr>
        <w:t>. If prior to the commencement of the Interest Period for any Eurocurrency Borrowing of a Class (the Currency of such Borrowing herein called the "</w:t>
      </w:r>
      <w:r>
        <w:rPr>
          <w:rFonts w:ascii="Arial" w:cs="Arial" w:eastAsia="Arial" w:hAnsi="Arial"/>
          <w:sz w:val="22"/>
          <w:szCs w:val="22"/>
          <w:u w:val="single" w:color="auto"/>
          <w:color w:val="auto"/>
        </w:rPr>
        <w:t>Affected Currency</w:t>
      </w:r>
      <w:r>
        <w:rPr>
          <w:rFonts w:ascii="Arial" w:cs="Arial" w:eastAsia="Arial" w:hAnsi="Arial"/>
          <w:sz w:val="22"/>
          <w:szCs w:val="22"/>
          <w:color w:val="auto"/>
        </w:rPr>
        <w:t>"):</w:t>
      </w:r>
    </w:p>
    <w:p>
      <w:pPr>
        <w:spacing w:after="0" w:line="175" w:lineRule="exact"/>
        <w:rPr>
          <w:sz w:val="20"/>
          <w:szCs w:val="20"/>
          <w:color w:val="auto"/>
        </w:rPr>
      </w:pPr>
    </w:p>
    <w:p>
      <w:pPr>
        <w:ind w:right="420" w:firstLine="8"/>
        <w:spacing w:after="0" w:line="328" w:lineRule="auto"/>
        <w:tabs>
          <w:tab w:leader="none" w:pos="294"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Administrative Agent determines (which determination shall be conclusive absent manifest error) that adequate and reasonable means do not exist for ascertaining the Adjusted LIBO Rate for the Affected Currency for such Interest Period; or</w:t>
      </w:r>
    </w:p>
    <w:p>
      <w:pPr>
        <w:spacing w:after="0" w:line="104" w:lineRule="exact"/>
        <w:rPr>
          <w:rFonts w:ascii="Arial" w:cs="Arial" w:eastAsia="Arial" w:hAnsi="Arial"/>
          <w:sz w:val="19"/>
          <w:szCs w:val="19"/>
          <w:color w:val="auto"/>
        </w:rPr>
      </w:pPr>
    </w:p>
    <w:p>
      <w:pPr>
        <w:ind w:right="300" w:firstLine="8"/>
        <w:spacing w:after="0"/>
        <w:tabs>
          <w:tab w:leader="none" w:pos="306"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Administrative Agent is advised by the Required Lenders of such Class that the Adjusted LIBO Rate for the Affected Currency for such Interest Period will not adequately and fairly reflect the cost to such Lenders of making or maintaining their respective Loans included in such Borrowing for such Interest Period;</w:t>
      </w:r>
    </w:p>
    <w:p>
      <w:pPr>
        <w:sectPr>
          <w:pgSz w:w="11900" w:h="16838" w:orient="portrait"/>
          <w:cols w:equalWidth="0" w:num="1">
            <w:col w:w="11240"/>
          </w:cols>
          <w:pgMar w:left="320" w:top="118" w:right="339" w:bottom="0" w:gutter="0" w:footer="0" w:header="0"/>
        </w:sectPr>
      </w:pPr>
    </w:p>
    <w:bookmarkStart w:id="27" w:name="page28"/>
    <w:bookmarkEnd w:id="27"/>
    <w:p>
      <w:pPr>
        <w:spacing w:after="0" w:line="46"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then the Administrative Agent shall give notice thereof to the Borrower and the affected Lenders by telephone or telecopy as promptly as practicable thereafter and, until the Administrative Agent notifies the Borrower and such Lenders that the circumstances giving rise to such notice no longer exist, (i) any Interest Election Request that requests the conversion of any Syndicated Borrowing to, or the continuation of any Syndicated Borrowing as, a Eurocurrency Borrowing denominated in the Affected Currency shall be ineffective and, if the Affected Currency is Dollars, such Syndicated Borrowing (unless prepaid) shall be continued as, or converted to, a Syndicated ABR Borrowing, (ii) if the Affected Currency is Dollars and any Borrowing Request requests a Eurocurrency Borrowing denominated in Dollars, such Borrowing shall be made as a Syndicated ABR Borrowing and (iii) if the Affected Currency is a Foreign Currency, any Borrowing Request that requests a Eurocurrency Borrowing denominated in the Affected Currency shall be ineffective.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2.14. </w:t>
      </w:r>
      <w:r>
        <w:rPr>
          <w:rFonts w:ascii="Arial" w:cs="Arial" w:eastAsia="Arial" w:hAnsi="Arial"/>
          <w:sz w:val="22"/>
          <w:szCs w:val="22"/>
          <w:u w:val="single" w:color="auto"/>
          <w:color w:val="auto"/>
        </w:rPr>
        <w:t>Increased Costs</w:t>
      </w:r>
      <w:r>
        <w:rPr>
          <w:rFonts w:ascii="Arial" w:cs="Arial" w:eastAsia="Arial" w:hAnsi="Arial"/>
          <w:sz w:val="22"/>
          <w:szCs w:val="22"/>
          <w:color w:val="auto"/>
        </w:rPr>
        <w:t>.</w:t>
      </w:r>
    </w:p>
    <w:p>
      <w:pPr>
        <w:spacing w:after="0" w:line="206" w:lineRule="exact"/>
        <w:rPr>
          <w:sz w:val="20"/>
          <w:szCs w:val="20"/>
          <w:color w:val="auto"/>
        </w:rPr>
      </w:pPr>
    </w:p>
    <w:p>
      <w:pPr>
        <w:ind w:left="300" w:hanging="292"/>
        <w:spacing w:after="0"/>
        <w:tabs>
          <w:tab w:leader="none" w:pos="30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Increased Costs Generally</w:t>
      </w:r>
      <w:r>
        <w:rPr>
          <w:rFonts w:ascii="Arial" w:cs="Arial" w:eastAsia="Arial" w:hAnsi="Arial"/>
          <w:sz w:val="22"/>
          <w:szCs w:val="22"/>
          <w:color w:val="auto"/>
        </w:rPr>
        <w:t>. If any Change in Law shall:</w:t>
      </w:r>
    </w:p>
    <w:p>
      <w:pPr>
        <w:spacing w:after="0" w:line="206" w:lineRule="exact"/>
        <w:rPr>
          <w:sz w:val="20"/>
          <w:szCs w:val="20"/>
          <w:color w:val="auto"/>
        </w:rPr>
      </w:pPr>
    </w:p>
    <w:p>
      <w:pPr>
        <w:jc w:val="both"/>
        <w:ind w:right="220" w:firstLine="8"/>
        <w:spacing w:after="0"/>
        <w:tabs>
          <w:tab w:leader="none" w:pos="258" w:val="left"/>
        </w:tabs>
        <w:numPr>
          <w:ilvl w:val="0"/>
          <w:numId w:val="64"/>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or similar requirement against assets of, deposits with or for account of, or credit extended by, any Lender (except any such reserve requirement reflected in the Adjusted LIBO Rate) or the Issuing Bank; or</w:t>
      </w:r>
    </w:p>
    <w:p>
      <w:pPr>
        <w:spacing w:after="0" w:line="186" w:lineRule="exact"/>
        <w:rPr>
          <w:rFonts w:ascii="Arial" w:cs="Arial" w:eastAsia="Arial" w:hAnsi="Arial"/>
          <w:sz w:val="22"/>
          <w:szCs w:val="22"/>
          <w:color w:val="auto"/>
        </w:rPr>
      </w:pPr>
    </w:p>
    <w:p>
      <w:pPr>
        <w:ind w:right="280" w:firstLine="8"/>
        <w:spacing w:after="0" w:line="250" w:lineRule="auto"/>
        <w:tabs>
          <w:tab w:leader="none" w:pos="318" w:val="left"/>
        </w:tabs>
        <w:numPr>
          <w:ilvl w:val="0"/>
          <w:numId w:val="64"/>
        </w:numPr>
        <w:rPr>
          <w:rFonts w:ascii="Arial" w:cs="Arial" w:eastAsia="Arial" w:hAnsi="Arial"/>
          <w:sz w:val="22"/>
          <w:szCs w:val="22"/>
          <w:color w:val="auto"/>
        </w:rPr>
      </w:pPr>
      <w:r>
        <w:rPr>
          <w:rFonts w:ascii="Arial" w:cs="Arial" w:eastAsia="Arial" w:hAnsi="Arial"/>
          <w:sz w:val="22"/>
          <w:szCs w:val="22"/>
          <w:color w:val="auto"/>
        </w:rPr>
        <w:t>impose on any Lender or the Issuing Bank or the London interbank market any other condition affecting this Agreement or Eurocurrency Loans made by such Lender or any Letter of Credit or participation therein;</w:t>
      </w:r>
    </w:p>
    <w:p>
      <w:pPr>
        <w:spacing w:after="0" w:line="175"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and the result of any of the foregoing shall be to increase the cost to such Lenders of making or maintaining any Eurocurrency Loan (or of maintaining its obligation to make any such Loan) or to increase the cost to such Lender or the Issuing Bank of participating in, issuing or maintaining any Letter of Credit or to reduce the amount of any sum received or receivable by such Lender or the Issuing Bank hereunder (whether of principal, interest or otherwise), then the Borrower will pay to such Lender or the Issuing Bank, as the case may be, in Dollars, such additional amount or amounts as will compensate such Lender or the Issuing Bank, as the case may be, for such additional costs incurred or reduction suffered.</w:t>
      </w:r>
    </w:p>
    <w:p>
      <w:pPr>
        <w:spacing w:after="0" w:line="150" w:lineRule="exact"/>
        <w:rPr>
          <w:sz w:val="20"/>
          <w:szCs w:val="20"/>
          <w:color w:val="auto"/>
        </w:rPr>
      </w:pPr>
    </w:p>
    <w:p>
      <w:pPr>
        <w:ind w:right="120" w:firstLine="8"/>
        <w:spacing w:after="0" w:line="273" w:lineRule="auto"/>
        <w:tabs>
          <w:tab w:leader="none" w:pos="30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If any Lender or the Issuing Bank determines that any Change in Law regarding capital requirements has or would have the effect of reducing the rate of return on such Lender's or the Issuing Bank's capital or on the capital of such Lender's or the Issuing Bank's holding company, if any, as a consequence of this Agreement or the Loans made by, or participations in Swingline Loans and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by an amount deemed to be material by such Lender or Issuing Bank, then from time to time the Borrower will pay to such Lender or the Issuing Bank, as the case m ay be, in Dollars, such additional amount or amounts as will compensate such Lender or the Issuing Bank or such Lender's or the Issuing Bank's holding company for any such reduction suffered.</w:t>
      </w:r>
    </w:p>
    <w:p>
      <w:pPr>
        <w:spacing w:after="0" w:line="160" w:lineRule="exact"/>
        <w:rPr>
          <w:rFonts w:ascii="Arial" w:cs="Arial" w:eastAsia="Arial" w:hAnsi="Arial"/>
          <w:sz w:val="19"/>
          <w:szCs w:val="19"/>
          <w:color w:val="auto"/>
        </w:rPr>
      </w:pPr>
    </w:p>
    <w:p>
      <w:pPr>
        <w:ind w:right="220" w:firstLine="8"/>
        <w:spacing w:after="0" w:line="276" w:lineRule="auto"/>
        <w:tabs>
          <w:tab w:leader="none" w:pos="294"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Certificates from Lenders</w:t>
      </w:r>
      <w:r>
        <w:rPr>
          <w:rFonts w:ascii="Arial" w:cs="Arial" w:eastAsia="Arial" w:hAnsi="Arial"/>
          <w:sz w:val="19"/>
          <w:szCs w:val="19"/>
          <w:color w:val="auto"/>
        </w:rPr>
        <w:t>. A certificate of a Lender or the Issuing Bank setting forth the amount or amounts, in Dollars, necessary to compensate such Lender or the Issuing Bank or its holding company, as the case may be, as specified in paragraph</w:t>
      </w:r>
    </w:p>
    <w:p>
      <w:pPr>
        <w:spacing w:after="0" w:line="1" w:lineRule="exact"/>
        <w:rPr>
          <w:rFonts w:ascii="Arial" w:cs="Arial" w:eastAsia="Arial" w:hAnsi="Arial"/>
          <w:sz w:val="19"/>
          <w:szCs w:val="19"/>
          <w:color w:val="auto"/>
        </w:rPr>
      </w:pPr>
    </w:p>
    <w:p>
      <w:pPr>
        <w:ind w:right="60" w:firstLine="8"/>
        <w:spacing w:after="0" w:line="234" w:lineRule="auto"/>
        <w:tabs>
          <w:tab w:leader="none" w:pos="294" w:val="left"/>
        </w:tabs>
        <w:numPr>
          <w:ilvl w:val="0"/>
          <w:numId w:val="66"/>
        </w:numPr>
        <w:rPr>
          <w:rFonts w:ascii="Arial" w:cs="Arial" w:eastAsia="Arial" w:hAnsi="Arial"/>
          <w:sz w:val="22"/>
          <w:szCs w:val="22"/>
          <w:color w:val="auto"/>
        </w:rPr>
      </w:pPr>
      <w:r>
        <w:rPr>
          <w:rFonts w:ascii="Arial" w:cs="Arial" w:eastAsia="Arial" w:hAnsi="Arial"/>
          <w:sz w:val="22"/>
          <w:szCs w:val="22"/>
          <w:color w:val="auto"/>
        </w:rPr>
        <w:t>or (b) of this Section shall be promptly delivered to the Borrower and shall be conclusive absent manifest error. The Borrower shall pay such Lender or the Issuing Bank, as the case may be, the amount shown as due on any such certificate within 10 days after receipt thereof.</w:t>
      </w:r>
    </w:p>
    <w:p>
      <w:pPr>
        <w:spacing w:after="0" w:line="187" w:lineRule="exact"/>
        <w:rPr>
          <w:rFonts w:ascii="Arial" w:cs="Arial" w:eastAsia="Arial" w:hAnsi="Arial"/>
          <w:sz w:val="22"/>
          <w:szCs w:val="22"/>
          <w:color w:val="auto"/>
        </w:rPr>
      </w:pPr>
    </w:p>
    <w:p>
      <w:pPr>
        <w:ind w:right="60" w:firstLine="8"/>
        <w:spacing w:after="0" w:line="234" w:lineRule="auto"/>
        <w:tabs>
          <w:tab w:leader="none" w:pos="30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Delay in Requests</w:t>
      </w:r>
      <w:r>
        <w:rPr>
          <w:rFonts w:ascii="Arial" w:cs="Arial" w:eastAsia="Arial" w:hAnsi="Arial"/>
          <w:sz w:val="22"/>
          <w:szCs w:val="22"/>
          <w:color w:val="auto"/>
        </w:rPr>
        <w:t>. Failure or delay on the part of any Lender or the Issuing Bank to demand compensation pursuant to this Section shall not constitute a waiver of such Lender's or the Issuing Bank's right to demand such compensation; provided that the Borrower shall not be required to compensate a Lender or the Issuing Bank pursuant to this Section for any increased costs or reductions incurred more than six months prior to the date that such Lender or the Issuing Bank as the case may be, notifies the Borrower of the Change in Law giving rise to such increased costs or reductions and of such Lender's or the Issuing Bank's intention to claim compensation therefor; provided further that, if the Change in Law giving rise to such increased costs or reductions is retroactive, then the six-month period referred to above shall be extended to include the period of retroactive effect thereof.</w:t>
      </w:r>
    </w:p>
    <w:p>
      <w:pPr>
        <w:spacing w:after="0" w:line="187"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In the event of (a) the payment of any principal of any Eurocurrency Loan other than on the last day of an Interest Period therefor (including as a result of an Event of Default), (b) the conversion of any Eurocurrency Loan other than on the last day of an Interest Period therefor, (c) the failure to borrow, convert, continue or prepay any Syndicated Loan on the date specified in any notice delivered pursuant hereto (regardless of whether such notice is permitted to be revocable under Section 2.10(e) and is revoked in accordance herewith), or (d) the assignment as a result of a request by the Borrower pursuant to Section 2.18(b) of any Eurocurrency Loan other than on the last day of an Interest Period therefor, then, in any such event, the Borrower shall compensate each Lender for the loss, cost and expense attributable to such event. In the case of a Eurocurrency Loan, the loss to any Lende r attributable to any such event shall be deemed to include an amount determined by such Lender to be equal to the excess, if any, of</w:t>
      </w:r>
    </w:p>
    <w:p>
      <w:pPr>
        <w:spacing w:after="0" w:line="158" w:lineRule="exact"/>
        <w:rPr>
          <w:sz w:val="20"/>
          <w:szCs w:val="20"/>
          <w:color w:val="auto"/>
        </w:rPr>
      </w:pPr>
    </w:p>
    <w:p>
      <w:pPr>
        <w:ind w:right="20" w:firstLine="8"/>
        <w:spacing w:after="0" w:line="282" w:lineRule="auto"/>
        <w:tabs>
          <w:tab w:leader="none" w:pos="258"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Adjusted LIBO Rate for such Currency for such Interest Period, </w:t>
      </w:r>
      <w:r>
        <w:rPr>
          <w:rFonts w:ascii="Arial" w:cs="Arial" w:eastAsia="Arial" w:hAnsi="Arial"/>
          <w:sz w:val="19"/>
          <w:szCs w:val="19"/>
          <w:u w:val="single" w:color="auto"/>
          <w:color w:val="auto"/>
        </w:rPr>
        <w:t>over</w:t>
      </w:r>
    </w:p>
    <w:p>
      <w:pPr>
        <w:sectPr>
          <w:pgSz w:w="11900" w:h="16884" w:orient="portrait"/>
          <w:cols w:equalWidth="0" w:num="1">
            <w:col w:w="11240"/>
          </w:cols>
          <w:pgMar w:left="320" w:top="118" w:right="339" w:bottom="0" w:gutter="0" w:footer="0" w:header="0"/>
        </w:sectPr>
      </w:pPr>
    </w:p>
    <w:bookmarkStart w:id="28" w:name="page29"/>
    <w:bookmarkEnd w:id="28"/>
    <w:p>
      <w:pPr>
        <w:jc w:val="both"/>
        <w:ind w:right="320" w:firstLine="8"/>
        <w:spacing w:after="0" w:line="297" w:lineRule="auto"/>
        <w:tabs>
          <w:tab w:leader="none" w:pos="318"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Eurocurrency market at the commencement of such period.</w:t>
      </w:r>
    </w:p>
    <w:p>
      <w:pPr>
        <w:spacing w:after="0" w:line="134"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Payment under this Section shall be made upon request of a Lender delivered not later than five Business Days following the payment, conversion, or failure to borrow, convert, continue or prepay that gives rise to a claim under this Section accompanied by a certificate of such Lender setting forth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2.16. </w:t>
      </w:r>
      <w:r>
        <w:rPr>
          <w:rFonts w:ascii="Arial" w:cs="Arial" w:eastAsia="Arial" w:hAnsi="Arial"/>
          <w:sz w:val="22"/>
          <w:szCs w:val="22"/>
          <w:u w:val="single" w:color="auto"/>
          <w:color w:val="auto"/>
        </w:rPr>
        <w:t>Taxes</w:t>
      </w:r>
      <w:r>
        <w:rPr>
          <w:rFonts w:ascii="Arial" w:cs="Arial" w:eastAsia="Arial" w:hAnsi="Arial"/>
          <w:sz w:val="22"/>
          <w:szCs w:val="22"/>
          <w:color w:val="auto"/>
        </w:rPr>
        <w:t>.</w:t>
      </w:r>
    </w:p>
    <w:p>
      <w:pPr>
        <w:spacing w:after="0" w:line="206" w:lineRule="exact"/>
        <w:rPr>
          <w:sz w:val="20"/>
          <w:szCs w:val="20"/>
          <w:color w:val="auto"/>
        </w:rPr>
      </w:pPr>
    </w:p>
    <w:p>
      <w:pPr>
        <w:ind w:firstLine="8"/>
        <w:spacing w:after="0" w:line="270" w:lineRule="auto"/>
        <w:tabs>
          <w:tab w:leader="none" w:pos="294"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Any and all payments by or on account of any obligation of the Borrower hereunder or under any other Loan Document shall be made free and clear of and without deduction for any Indemnified Taxes or Other Taxes; provided that if the Borrower shall be required to deduct any Indemnified Taxes or Other Taxes from such payments, then (i)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the Borrower shall make such deductions and</w:t>
      </w:r>
    </w:p>
    <w:p>
      <w:pPr>
        <w:spacing w:after="0" w:line="1" w:lineRule="exact"/>
        <w:rPr>
          <w:rFonts w:ascii="Arial" w:cs="Arial" w:eastAsia="Arial" w:hAnsi="Arial"/>
          <w:sz w:val="19"/>
          <w:szCs w:val="19"/>
          <w:color w:val="auto"/>
        </w:rPr>
      </w:pPr>
    </w:p>
    <w:p>
      <w:pPr>
        <w:ind w:left="380" w:hanging="372"/>
        <w:spacing w:after="0"/>
        <w:tabs>
          <w:tab w:leader="none" w:pos="38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Borrower shall pay the full amount deducted to the relevant Governmental Authority in accordance with applicable law.</w:t>
      </w:r>
    </w:p>
    <w:p>
      <w:pPr>
        <w:spacing w:after="0" w:line="222" w:lineRule="exact"/>
        <w:rPr>
          <w:rFonts w:ascii="Arial" w:cs="Arial" w:eastAsia="Arial" w:hAnsi="Arial"/>
          <w:sz w:val="19"/>
          <w:szCs w:val="19"/>
          <w:color w:val="auto"/>
        </w:rPr>
      </w:pPr>
    </w:p>
    <w:p>
      <w:pPr>
        <w:ind w:right="160" w:firstLine="8"/>
        <w:spacing w:after="0" w:line="250" w:lineRule="auto"/>
        <w:tabs>
          <w:tab w:leader="none" w:pos="306"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Payment of Other Taxes by the Borrower</w:t>
      </w:r>
      <w:r>
        <w:rPr>
          <w:rFonts w:ascii="Arial" w:cs="Arial" w:eastAsia="Arial" w:hAnsi="Arial"/>
          <w:sz w:val="22"/>
          <w:szCs w:val="22"/>
          <w:color w:val="auto"/>
        </w:rPr>
        <w:t>. In addition, the Borrower shall pay any Other Taxes to the relevant Governmental Authority in accordance with applicable law.</w:t>
      </w:r>
    </w:p>
    <w:p>
      <w:pPr>
        <w:spacing w:after="0" w:line="174" w:lineRule="exact"/>
        <w:rPr>
          <w:rFonts w:ascii="Arial" w:cs="Arial" w:eastAsia="Arial" w:hAnsi="Arial"/>
          <w:sz w:val="22"/>
          <w:szCs w:val="22"/>
          <w:color w:val="auto"/>
        </w:rPr>
      </w:pPr>
    </w:p>
    <w:p>
      <w:pPr>
        <w:ind w:right="40" w:firstLine="8"/>
        <w:spacing w:after="0" w:line="275" w:lineRule="auto"/>
        <w:tabs>
          <w:tab w:leader="none" w:pos="294"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shall indemnify the Administrative Agent, each Lender and the Issuing Bank for, and within 10 Business Days after written demand therefor, pay the full amount of any Indemnified Taxes or Other Taxes (including Indemnified Taxes or Other Taxes imposed or asserted on or attributable to amounts payable under this Section) paid by the Administrative Agent, such Lender or the Issuing Bank, as the case may be,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the Issuing Bank, or by the Administrative Agent on its own behalf or on behalf of a Lender or the Issuing Bank, shall be conclusive absent manifest error.</w:t>
      </w:r>
    </w:p>
    <w:p>
      <w:pPr>
        <w:spacing w:after="0" w:line="157" w:lineRule="exact"/>
        <w:rPr>
          <w:rFonts w:ascii="Arial" w:cs="Arial" w:eastAsia="Arial" w:hAnsi="Arial"/>
          <w:sz w:val="19"/>
          <w:szCs w:val="19"/>
          <w:color w:val="auto"/>
        </w:rPr>
      </w:pPr>
    </w:p>
    <w:p>
      <w:pPr>
        <w:ind w:right="80" w:firstLine="8"/>
        <w:spacing w:after="0" w:line="238" w:lineRule="auto"/>
        <w:tabs>
          <w:tab w:leader="none" w:pos="306"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Evidence of Payments</w:t>
      </w:r>
      <w:r>
        <w:rPr>
          <w:rFonts w:ascii="Arial" w:cs="Arial" w:eastAsia="Arial" w:hAnsi="Arial"/>
          <w:sz w:val="22"/>
          <w:szCs w:val="22"/>
          <w:color w:val="auto"/>
        </w:rPr>
        <w:t>.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4" w:lineRule="exact"/>
        <w:rPr>
          <w:rFonts w:ascii="Arial" w:cs="Arial" w:eastAsia="Arial" w:hAnsi="Arial"/>
          <w:sz w:val="22"/>
          <w:szCs w:val="22"/>
          <w:color w:val="auto"/>
        </w:rPr>
      </w:pPr>
    </w:p>
    <w:p>
      <w:pPr>
        <w:ind w:right="120" w:firstLine="8"/>
        <w:spacing w:after="0" w:line="282" w:lineRule="auto"/>
        <w:tabs>
          <w:tab w:leader="none" w:pos="294"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Foreign Lenders</w:t>
      </w:r>
      <w:r>
        <w:rPr>
          <w:rFonts w:ascii="Arial" w:cs="Arial" w:eastAsia="Arial" w:hAnsi="Arial"/>
          <w:sz w:val="19"/>
          <w:szCs w:val="19"/>
          <w:color w:val="auto"/>
        </w:rPr>
        <w:t>.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as will permit such payments to be made without withholding or at a reduced rate.</w:t>
      </w:r>
    </w:p>
    <w:p>
      <w:pPr>
        <w:spacing w:after="0" w:line="147"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In addition, any Foreign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Foreign Lender is subject to backup withholding or information reporting requirements.</w:t>
      </w:r>
    </w:p>
    <w:p>
      <w:pPr>
        <w:spacing w:after="0" w:line="185"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Without limiting the generality of the foregoing, if the Borrower is resident for tax purposes in the United States, any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187" w:lineRule="exact"/>
        <w:rPr>
          <w:sz w:val="20"/>
          <w:szCs w:val="20"/>
          <w:color w:val="auto"/>
        </w:rPr>
      </w:pPr>
    </w:p>
    <w:p>
      <w:pPr>
        <w:ind w:right="220" w:firstLine="8"/>
        <w:spacing w:after="0" w:line="250" w:lineRule="auto"/>
        <w:tabs>
          <w:tab w:leader="none" w:pos="258" w:val="left"/>
        </w:tabs>
        <w:numPr>
          <w:ilvl w:val="0"/>
          <w:numId w:val="73"/>
        </w:numPr>
        <w:rPr>
          <w:rFonts w:ascii="Arial" w:cs="Arial" w:eastAsia="Arial" w:hAnsi="Arial"/>
          <w:sz w:val="22"/>
          <w:szCs w:val="22"/>
          <w:color w:val="auto"/>
        </w:rPr>
      </w:pPr>
      <w:r>
        <w:rPr>
          <w:rFonts w:ascii="Arial" w:cs="Arial" w:eastAsia="Arial" w:hAnsi="Arial"/>
          <w:sz w:val="22"/>
          <w:szCs w:val="22"/>
          <w:color w:val="auto"/>
        </w:rPr>
        <w:t>duly completed copies of Internal Revenue Service Form W-8BEN or any successor form claiming eligibility for benefits of an income tax treaty to which the United States is a party,</w:t>
      </w:r>
    </w:p>
    <w:p>
      <w:pPr>
        <w:spacing w:after="0" w:line="174" w:lineRule="exact"/>
        <w:rPr>
          <w:rFonts w:ascii="Arial" w:cs="Arial" w:eastAsia="Arial" w:hAnsi="Arial"/>
          <w:sz w:val="22"/>
          <w:szCs w:val="22"/>
          <w:color w:val="auto"/>
        </w:rPr>
      </w:pPr>
    </w:p>
    <w:p>
      <w:pPr>
        <w:ind w:firstLine="8"/>
        <w:spacing w:after="0" w:line="328" w:lineRule="auto"/>
        <w:tabs>
          <w:tab w:leader="none" w:pos="318" w:val="left"/>
        </w:tabs>
        <w:numPr>
          <w:ilvl w:val="0"/>
          <w:numId w:val="73"/>
        </w:numPr>
        <w:rPr>
          <w:rFonts w:ascii="Arial" w:cs="Arial" w:eastAsia="Arial" w:hAnsi="Arial"/>
          <w:sz w:val="19"/>
          <w:szCs w:val="19"/>
          <w:color w:val="auto"/>
        </w:rPr>
      </w:pPr>
      <w:r>
        <w:rPr>
          <w:rFonts w:ascii="Arial" w:cs="Arial" w:eastAsia="Arial" w:hAnsi="Arial"/>
          <w:sz w:val="19"/>
          <w:szCs w:val="19"/>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104" w:lineRule="exact"/>
        <w:rPr>
          <w:rFonts w:ascii="Arial" w:cs="Arial" w:eastAsia="Arial" w:hAnsi="Arial"/>
          <w:sz w:val="19"/>
          <w:szCs w:val="19"/>
          <w:color w:val="auto"/>
        </w:rPr>
      </w:pPr>
    </w:p>
    <w:p>
      <w:pPr>
        <w:ind w:right="280" w:firstLine="8"/>
        <w:spacing w:after="0" w:line="282" w:lineRule="auto"/>
        <w:tabs>
          <w:tab w:leader="none" w:pos="378" w:val="left"/>
        </w:tabs>
        <w:numPr>
          <w:ilvl w:val="0"/>
          <w:numId w:val="73"/>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the exemption for portfolio interest under Section 881(c) of the Code, (A) 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(B) duly completed copies of Internal Revenue Service Form W-8BEN (or any successor form) certifying that the Foreign Lender is not a United States Person, or</w:t>
      </w:r>
    </w:p>
    <w:p>
      <w:pPr>
        <w:spacing w:after="0" w:line="147" w:lineRule="exact"/>
        <w:rPr>
          <w:rFonts w:ascii="Arial" w:cs="Arial" w:eastAsia="Arial" w:hAnsi="Arial"/>
          <w:sz w:val="19"/>
          <w:szCs w:val="19"/>
          <w:color w:val="auto"/>
        </w:rPr>
      </w:pPr>
    </w:p>
    <w:p>
      <w:pPr>
        <w:ind w:right="200" w:firstLine="8"/>
        <w:spacing w:after="0" w:line="328" w:lineRule="auto"/>
        <w:tabs>
          <w:tab w:leader="none" w:pos="366" w:val="left"/>
        </w:tabs>
        <w:numPr>
          <w:ilvl w:val="0"/>
          <w:numId w:val="73"/>
        </w:numPr>
        <w:rPr>
          <w:rFonts w:ascii="Arial" w:cs="Arial" w:eastAsia="Arial" w:hAnsi="Arial"/>
          <w:sz w:val="19"/>
          <w:szCs w:val="19"/>
          <w:color w:val="auto"/>
        </w:rPr>
      </w:pPr>
      <w:r>
        <w:rPr>
          <w:rFonts w:ascii="Arial" w:cs="Arial" w:eastAsia="Arial" w:hAnsi="Arial"/>
          <w:sz w:val="19"/>
          <w:szCs w:val="19"/>
          <w:color w:val="auto"/>
        </w:rPr>
        <w:t>any other form including Internal Revenue Service Form W-8IMY as applicable prescribed by applicable law as a basis for claiming exemption from or a reduction in United States Federal withholding tax duly completed together with such</w:t>
      </w:r>
    </w:p>
    <w:p>
      <w:pPr>
        <w:sectPr>
          <w:pgSz w:w="11900" w:h="16838" w:orient="portrait"/>
          <w:cols w:equalWidth="0" w:num="1">
            <w:col w:w="11220"/>
          </w:cols>
          <w:pgMar w:left="320" w:top="118" w:right="359" w:bottom="0" w:gutter="0" w:footer="0" w:header="0"/>
        </w:sectPr>
      </w:pPr>
    </w:p>
    <w:bookmarkStart w:id="29" w:name="page30"/>
    <w:bookmarkEnd w:id="29"/>
    <w:p>
      <w:pPr>
        <w:spacing w:after="0" w:line="116"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supplementary documentation as may be prescribed by applicable law to permit the Borrower to determine the withholding or deduction required to be made.</w:t>
      </w:r>
    </w:p>
    <w:p>
      <w:pPr>
        <w:spacing w:after="0" w:line="173"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 xml:space="preserve">In addition, upon reasonable request of the Borrower or the Administrative Agent, each Foreign Lender shall deliver such forms promptly upon the expiration or invalidity of any form previously delivered by such Foreign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it is legally able to do so at the time. Each Foreign Lender shall promptly notify the Borrower and the Administrative Agent at any time the chief tax officer of such Foreign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188" w:lineRule="exact"/>
        <w:rPr>
          <w:sz w:val="20"/>
          <w:szCs w:val="20"/>
          <w:color w:val="auto"/>
        </w:rPr>
      </w:pPr>
    </w:p>
    <w:p>
      <w:pPr>
        <w:ind w:right="40" w:firstLine="8"/>
        <w:spacing w:after="0" w:line="272" w:lineRule="auto"/>
        <w:tabs>
          <w:tab w:leader="none" w:pos="27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If the Administrative Agent, any Lender or an Issuing Bank 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provided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2.17. </w:t>
      </w:r>
      <w:r>
        <w:rPr>
          <w:rFonts w:ascii="Arial" w:cs="Arial" w:eastAsia="Arial" w:hAnsi="Arial"/>
          <w:sz w:val="22"/>
          <w:szCs w:val="22"/>
          <w:u w:val="single" w:color="auto"/>
          <w:color w:val="auto"/>
        </w:rPr>
        <w:t>Payments Generally; Pro Rata Treatment: Sharing of Set-offs</w:t>
      </w:r>
      <w:r>
        <w:rPr>
          <w:rFonts w:ascii="Arial" w:cs="Arial" w:eastAsia="Arial" w:hAnsi="Arial"/>
          <w:sz w:val="22"/>
          <w:szCs w:val="22"/>
          <w:color w:val="auto"/>
        </w:rPr>
        <w:t>.</w:t>
      </w:r>
    </w:p>
    <w:p>
      <w:pPr>
        <w:spacing w:after="0" w:line="206" w:lineRule="exact"/>
        <w:rPr>
          <w:sz w:val="20"/>
          <w:szCs w:val="20"/>
          <w:color w:val="auto"/>
        </w:rPr>
      </w:pPr>
    </w:p>
    <w:p>
      <w:pPr>
        <w:ind w:firstLine="8"/>
        <w:spacing w:after="0" w:line="272" w:lineRule="auto"/>
        <w:tabs>
          <w:tab w:leader="none" w:pos="294"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Payments by the Borrower</w:t>
      </w:r>
      <w:r>
        <w:rPr>
          <w:rFonts w:ascii="Arial" w:cs="Arial" w:eastAsia="Arial" w:hAnsi="Arial"/>
          <w:sz w:val="19"/>
          <w:szCs w:val="19"/>
          <w:color w:val="auto"/>
        </w:rPr>
        <w:t>. The Borrower shall make each payment required to be made by it hereunder (whether of principal, interest, fees or reimbursement of LC Disbursements, or under Section 2.14, 2.15 or 2.16, or otherwise) or under any other Loan Document (except to the extent otherwise provided therein) prior to 12:00 noon, Atlanta, Georgia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the Issuing Bank or the Swingline Lender as expressly provided herein and payments pursuant to Sections 2.14, 2.15, 2.16 and 9.03,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61"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All amounts owing under this Agreement (including commitment fees, payments required under Section 2.14, and payments required under Section 2.15 relating to any Loan denominated in Dollars, but not including principal of and interest on any Loan denominated in any Foreign Currency or payments relating to any such Loan required under Section 2.15,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 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200" w:lineRule="exact"/>
        <w:rPr>
          <w:sz w:val="20"/>
          <w:szCs w:val="20"/>
          <w:color w:val="auto"/>
        </w:rPr>
      </w:pPr>
    </w:p>
    <w:p>
      <w:pPr>
        <w:spacing w:after="0" w:line="204" w:lineRule="exact"/>
        <w:rPr>
          <w:sz w:val="20"/>
          <w:szCs w:val="20"/>
          <w:color w:val="auto"/>
        </w:rPr>
      </w:pPr>
    </w:p>
    <w:p>
      <w:pPr>
        <w:ind w:right="220" w:firstLine="8"/>
        <w:spacing w:after="0" w:line="279" w:lineRule="auto"/>
        <w:tabs>
          <w:tab w:leader="none" w:pos="306"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Application of Insufficient Payments</w:t>
      </w:r>
      <w:r>
        <w:rPr>
          <w:rFonts w:ascii="Arial" w:cs="Arial" w:eastAsia="Arial" w:hAnsi="Arial"/>
          <w:sz w:val="19"/>
          <w:szCs w:val="19"/>
          <w:color w:val="auto"/>
        </w:rPr>
        <w:t>. If at any time insufficient funds are received by and available to the Administrative Agent to pay fully all amounts of principal, unreimbursed LC Disbursements, interest and fees of a Class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50" w:lineRule="exact"/>
        <w:rPr>
          <w:rFonts w:ascii="Arial" w:cs="Arial" w:eastAsia="Arial" w:hAnsi="Arial"/>
          <w:sz w:val="19"/>
          <w:szCs w:val="19"/>
          <w:color w:val="auto"/>
        </w:rPr>
      </w:pPr>
    </w:p>
    <w:p>
      <w:pPr>
        <w:ind w:firstLine="8"/>
        <w:spacing w:after="0" w:line="274" w:lineRule="auto"/>
        <w:tabs>
          <w:tab w:leader="none" w:pos="294"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Pro Rata Treatment</w:t>
      </w:r>
      <w:r>
        <w:rPr>
          <w:rFonts w:ascii="Arial" w:cs="Arial" w:eastAsia="Arial" w:hAnsi="Arial"/>
          <w:sz w:val="19"/>
          <w:szCs w:val="19"/>
          <w:color w:val="auto"/>
        </w:rPr>
        <w:t>. Except to the extent otherwise provided herein: (i) each Syndicated Borrowing of a Class shall be made from the Lenders of such Class, each payment of commitment fee under Section 2.11 shall be made for account of the Lenders of the applicable Class, and each termination or reduction of the amount of the Commitments of a Class under Section 2.08 shall be applied to the respective Commitments of the Lenders of such Class, pro rata according to the amounts of their respective Commitments of such Class; (ii) each Syndicated Borrowing of a Class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by the Bor rower shall be made for account of the Lenders of such Class pro rata in accordance with the respective unpaid principal amounts of the Syndicated Loans of such</w:t>
      </w:r>
    </w:p>
    <w:p>
      <w:pPr>
        <w:sectPr>
          <w:pgSz w:w="11900" w:h="16954" w:orient="portrait"/>
          <w:cols w:equalWidth="0" w:num="1">
            <w:col w:w="11240"/>
          </w:cols>
          <w:pgMar w:left="320" w:top="118" w:right="339" w:bottom="0" w:gutter="0" w:footer="0" w:header="0"/>
        </w:sectPr>
      </w:pPr>
    </w:p>
    <w:bookmarkStart w:id="30" w:name="page31"/>
    <w:bookmarkEnd w:id="30"/>
    <w:p>
      <w:pPr>
        <w:spacing w:after="0" w:line="14"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Class held by them; and (iv) each payment of interest on Syndicated Loans of a Class by the Borrower shall be made for account of the Lenders of such Class pro rata in accordance with the amounts of interest on such Loans of such Class then due and payable to the respective Lenders.</w:t>
      </w:r>
    </w:p>
    <w:p>
      <w:pPr>
        <w:spacing w:after="0" w:line="187" w:lineRule="exact"/>
        <w:rPr>
          <w:sz w:val="20"/>
          <w:szCs w:val="20"/>
          <w:color w:val="auto"/>
        </w:rPr>
      </w:pPr>
    </w:p>
    <w:p>
      <w:pPr>
        <w:ind w:right="20" w:firstLine="8"/>
        <w:spacing w:after="0" w:line="270" w:lineRule="auto"/>
        <w:tabs>
          <w:tab w:leader="none" w:pos="30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Sharing of Payments by Lenders</w:t>
      </w:r>
      <w:r>
        <w:rPr>
          <w:rFonts w:ascii="Arial" w:cs="Arial" w:eastAsia="Arial" w:hAnsi="Arial"/>
          <w:sz w:val="19"/>
          <w:szCs w:val="19"/>
          <w:color w:val="auto"/>
        </w:rPr>
        <w:t>. If any Lender of any Class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amid Swingline Loans, of other Lenders of such Class to the extent necessary so that the benefit of all such payments shall be shared by the Lenders of such Class ratably in accordance with the aggregate amount of principal of and accrued inter est on their respective Syndicated Loans, and participations in LC Disbursements and Swingline Loans, of such Class;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 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5" w:lineRule="exact"/>
        <w:rPr>
          <w:rFonts w:ascii="Arial" w:cs="Arial" w:eastAsia="Arial" w:hAnsi="Arial"/>
          <w:sz w:val="19"/>
          <w:szCs w:val="19"/>
          <w:color w:val="auto"/>
        </w:rPr>
      </w:pPr>
    </w:p>
    <w:p>
      <w:pPr>
        <w:ind w:right="60" w:firstLine="8"/>
        <w:spacing w:after="0" w:line="275" w:lineRule="auto"/>
        <w:tabs>
          <w:tab w:leader="none" w:pos="294"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Presumptions of Payment</w:t>
      </w:r>
      <w:r>
        <w:rPr>
          <w:rFonts w:ascii="Arial" w:cs="Arial" w:eastAsia="Arial" w:hAnsi="Arial"/>
          <w:sz w:val="19"/>
          <w:szCs w:val="19"/>
          <w:color w:val="auto"/>
        </w:rPr>
        <w:t>. Unless the Administrative Agent shall have received notice from the Borrower prior to the date on which any payment is due to the Administrative Agent for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the Issuing Bank with interest thereon, for each day from and including the date such amount is distributed to it to but excluding the date of payment to the Administrative Agent at the Federal Funds Effective Rate.</w:t>
      </w:r>
    </w:p>
    <w:p>
      <w:pPr>
        <w:spacing w:after="0" w:line="157" w:lineRule="exact"/>
        <w:rPr>
          <w:rFonts w:ascii="Arial" w:cs="Arial" w:eastAsia="Arial" w:hAnsi="Arial"/>
          <w:sz w:val="19"/>
          <w:szCs w:val="19"/>
          <w:color w:val="auto"/>
        </w:rPr>
      </w:pPr>
    </w:p>
    <w:p>
      <w:pPr>
        <w:ind w:right="120" w:firstLine="8"/>
        <w:spacing w:after="0" w:line="287" w:lineRule="auto"/>
        <w:tabs>
          <w:tab w:leader="none" w:pos="270"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Certain Deductions by the Administrative Agent</w:t>
      </w:r>
      <w:r>
        <w:rPr>
          <w:rFonts w:ascii="Arial" w:cs="Arial" w:eastAsia="Arial" w:hAnsi="Arial"/>
          <w:sz w:val="19"/>
          <w:szCs w:val="19"/>
          <w:color w:val="auto"/>
        </w:rPr>
        <w:t>. If any Lender shall fail to make any payment required to be made by it pursuant to Section 2.04(c), 2.05(e), 2.06(a) or (b) or 2.17(e),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2.18. </w:t>
      </w:r>
      <w:r>
        <w:rPr>
          <w:rFonts w:ascii="Arial" w:cs="Arial" w:eastAsia="Arial" w:hAnsi="Arial"/>
          <w:sz w:val="22"/>
          <w:szCs w:val="22"/>
          <w:u w:val="single" w:color="auto"/>
          <w:color w:val="auto"/>
        </w:rPr>
        <w:t>Mitigation Obligations; Replacement of Lenders</w:t>
      </w:r>
      <w:r>
        <w:rPr>
          <w:rFonts w:ascii="Arial" w:cs="Arial" w:eastAsia="Arial" w:hAnsi="Arial"/>
          <w:sz w:val="22"/>
          <w:szCs w:val="22"/>
          <w:color w:val="auto"/>
        </w:rPr>
        <w:t>.</w:t>
      </w:r>
    </w:p>
    <w:p>
      <w:pPr>
        <w:spacing w:after="0" w:line="206" w:lineRule="exact"/>
        <w:rPr>
          <w:sz w:val="20"/>
          <w:szCs w:val="20"/>
          <w:color w:val="auto"/>
        </w:rPr>
      </w:pPr>
    </w:p>
    <w:p>
      <w:pPr>
        <w:ind w:firstLine="8"/>
        <w:spacing w:after="0" w:line="275" w:lineRule="auto"/>
        <w:tabs>
          <w:tab w:leader="none" w:pos="294"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If any Lender requests compensation under Section 2.14, or if the Borrower is required to pay any additional amount to any Lender or any Governmental Authority for account of any Lender pursuant to Section 2.16,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2.14 or 2.16,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57" w:lineRule="exact"/>
        <w:rPr>
          <w:rFonts w:ascii="Arial" w:cs="Arial" w:eastAsia="Arial" w:hAnsi="Arial"/>
          <w:sz w:val="19"/>
          <w:szCs w:val="19"/>
          <w:color w:val="auto"/>
        </w:rPr>
      </w:pPr>
    </w:p>
    <w:p>
      <w:pPr>
        <w:ind w:right="80" w:firstLine="8"/>
        <w:spacing w:after="0" w:line="270" w:lineRule="auto"/>
        <w:tabs>
          <w:tab w:leader="none" w:pos="306"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Replacement of Lenders</w:t>
      </w:r>
      <w:r>
        <w:rPr>
          <w:rFonts w:ascii="Arial" w:cs="Arial" w:eastAsia="Arial" w:hAnsi="Arial"/>
          <w:sz w:val="19"/>
          <w:szCs w:val="19"/>
          <w:color w:val="auto"/>
        </w:rPr>
        <w:t>. If any Lender requests compensation under Section 2.14, or if the Borrower is required to pay any additional amount to any Lender or any Governmental Authority for account of any Lender pursuant to Section 2.16, or if any Lender defaults in its obligation to fund Loans hereunder,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provided that</w:t>
      </w:r>
    </w:p>
    <w:p>
      <w:pPr>
        <w:spacing w:after="0" w:line="1" w:lineRule="exact"/>
        <w:rPr>
          <w:rFonts w:ascii="Arial" w:cs="Arial" w:eastAsia="Arial" w:hAnsi="Arial"/>
          <w:sz w:val="19"/>
          <w:szCs w:val="19"/>
          <w:color w:val="auto"/>
        </w:rPr>
      </w:pPr>
    </w:p>
    <w:p>
      <w:pPr>
        <w:ind w:right="160" w:firstLine="8"/>
        <w:spacing w:after="0" w:line="272" w:lineRule="auto"/>
        <w:tabs>
          <w:tab w:leader="none" w:pos="258"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Borrower shall have received the prior written consent of the Administrative Agent (and, if a Commitment is being assigned, the Issuing Bank and the Swingline Lender), which consent shall not unreasonably be withh 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2.14 or payments required to be made pursuant to Section 2.16,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56"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III</w:t>
      </w:r>
    </w:p>
    <w:p>
      <w:pPr>
        <w:spacing w:after="0" w:line="206" w:lineRule="exact"/>
        <w:rPr>
          <w:sz w:val="20"/>
          <w:szCs w:val="20"/>
          <w:color w:val="auto"/>
        </w:rPr>
      </w:pPr>
    </w:p>
    <w:p>
      <w:pPr>
        <w:ind w:left="3660"/>
        <w:spacing w:after="0"/>
        <w:rPr>
          <w:sz w:val="20"/>
          <w:szCs w:val="20"/>
          <w:color w:val="auto"/>
        </w:rPr>
      </w:pPr>
      <w:r>
        <w:rPr>
          <w:rFonts w:ascii="Arial" w:cs="Arial" w:eastAsia="Arial" w:hAnsi="Arial"/>
          <w:sz w:val="22"/>
          <w:szCs w:val="22"/>
          <w:u w:val="single" w:color="auto"/>
          <w:color w:val="auto"/>
        </w:rPr>
        <w:t>REPRESENTATIONS AND WARRANTIES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Borrower represents and warrants to the Lenders that:</w:t>
      </w:r>
    </w:p>
    <w:p>
      <w:pPr>
        <w:sectPr>
          <w:pgSz w:w="11900" w:h="16852" w:orient="portrait"/>
          <w:cols w:equalWidth="0" w:num="1">
            <w:col w:w="11240"/>
          </w:cols>
          <w:pgMar w:left="320" w:top="118" w:right="339" w:bottom="0" w:gutter="0" w:footer="0" w:header="0"/>
        </w:sectPr>
      </w:pPr>
    </w:p>
    <w:bookmarkStart w:id="31" w:name="page32"/>
    <w:bookmarkEnd w:id="31"/>
    <w:p>
      <w:pPr>
        <w:spacing w:after="0" w:line="43"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Organization; Powers</w:t>
      </w:r>
      <w:r>
        <w:rPr>
          <w:rFonts w:ascii="Arial" w:cs="Arial" w:eastAsia="Arial" w:hAnsi="Arial"/>
          <w:sz w:val="21"/>
          <w:szCs w:val="21"/>
          <w:color w:val="auto"/>
        </w:rPr>
        <w:t>. 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of the Borrower or such Subsidiary, as applicable.</w:t>
      </w:r>
    </w:p>
    <w:p>
      <w:pPr>
        <w:spacing w:after="0" w:line="179"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u w:val="single" w:color="auto"/>
          <w:color w:val="auto"/>
        </w:rPr>
        <w:t>Authorization; Enforceability</w:t>
      </w:r>
      <w:r>
        <w:rPr>
          <w:rFonts w:ascii="Arial" w:cs="Arial" w:eastAsia="Arial" w:hAnsi="Arial"/>
          <w:sz w:val="21"/>
          <w:szCs w:val="21"/>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will constitute, a legal, valid and binding obligation of the Borrower,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84"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color w:val="auto"/>
        </w:rPr>
        <w:t xml:space="preserve">SECTION 3.03. </w:t>
      </w:r>
      <w:r>
        <w:rPr>
          <w:rFonts w:ascii="Arial" w:cs="Arial" w:eastAsia="Arial" w:hAnsi="Arial"/>
          <w:sz w:val="21"/>
          <w:szCs w:val="21"/>
          <w:u w:val="single" w:color="auto"/>
          <w:color w:val="auto"/>
        </w:rPr>
        <w:t>Governmental Approvals; No Conflicts</w:t>
      </w:r>
      <w:r>
        <w:rPr>
          <w:rFonts w:ascii="Arial" w:cs="Arial" w:eastAsia="Arial" w:hAnsi="Arial"/>
          <w:sz w:val="21"/>
          <w:szCs w:val="21"/>
          <w:color w:val="auto"/>
        </w:rPr>
        <w:t>. The Transactions (a) do not require any consent or approval of registration or filing with, or any other action by, any Governmental Authority, except for (i) such as have been or will be obtained or made and are in full force and effect and (ii) filings and recordings in respect of the Liens created pursuant to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and (d) except for the Liens created pursuant to the Security Documents, will not result in the creation or impositi on of any Lien on any asset of the Borrower or any of its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Financial Condition; No Material Adverse Change</w:t>
      </w:r>
      <w:r>
        <w:rPr>
          <w:rFonts w:ascii="Arial" w:cs="Arial" w:eastAsia="Arial" w:hAnsi="Arial"/>
          <w:sz w:val="22"/>
          <w:szCs w:val="22"/>
          <w:color w:val="auto"/>
        </w:rPr>
        <w:t>.</w:t>
      </w:r>
    </w:p>
    <w:p>
      <w:pPr>
        <w:spacing w:after="0" w:line="206" w:lineRule="exact"/>
        <w:rPr>
          <w:sz w:val="20"/>
          <w:szCs w:val="20"/>
          <w:color w:val="auto"/>
        </w:rPr>
      </w:pPr>
    </w:p>
    <w:p>
      <w:pPr>
        <w:ind w:right="80" w:firstLine="8"/>
        <w:spacing w:after="0" w:line="235" w:lineRule="auto"/>
        <w:tabs>
          <w:tab w:leader="none" w:pos="294"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Financial Statements</w:t>
      </w:r>
      <w:r>
        <w:rPr>
          <w:rFonts w:ascii="Arial" w:cs="Arial" w:eastAsia="Arial" w:hAnsi="Arial"/>
          <w:sz w:val="22"/>
          <w:szCs w:val="22"/>
          <w:color w:val="auto"/>
        </w:rPr>
        <w:t>. The Borrower has heretofore delivered to the Lenders the unaudited interim consolidated balance sheet and statements of operations, changes in net assets and cash flows of the Borrower and its Subsidiaries as of and for the three month period ended March 31, 2007,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 subject to year-end audit adjustments and the absence of footnotes.</w:t>
      </w:r>
    </w:p>
    <w:p>
      <w:pPr>
        <w:spacing w:after="0" w:line="187" w:lineRule="exact"/>
        <w:rPr>
          <w:rFonts w:ascii="Arial" w:cs="Arial" w:eastAsia="Arial" w:hAnsi="Arial"/>
          <w:sz w:val="22"/>
          <w:szCs w:val="22"/>
          <w:color w:val="auto"/>
        </w:rPr>
      </w:pPr>
    </w:p>
    <w:p>
      <w:pPr>
        <w:ind w:right="120" w:firstLine="8"/>
        <w:spacing w:after="0" w:line="279" w:lineRule="auto"/>
        <w:tabs>
          <w:tab w:leader="none" w:pos="306"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No Material Adverse Change</w:t>
      </w:r>
      <w:r>
        <w:rPr>
          <w:rFonts w:ascii="Arial" w:cs="Arial" w:eastAsia="Arial" w:hAnsi="Arial"/>
          <w:sz w:val="19"/>
          <w:szCs w:val="19"/>
          <w:color w:val="auto"/>
        </w:rPr>
        <w:t>. Since the date of the most recent Applicable Financial Statements, there has not been any event, development or circumstance (herein, a "</w:t>
      </w:r>
      <w:r>
        <w:rPr>
          <w:rFonts w:ascii="Arial" w:cs="Arial" w:eastAsia="Arial" w:hAnsi="Arial"/>
          <w:sz w:val="19"/>
          <w:szCs w:val="19"/>
          <w:u w:val="single" w:color="auto"/>
          <w:color w:val="auto"/>
        </w:rPr>
        <w:t>Material Adverse Change</w:t>
      </w:r>
      <w:r>
        <w:rPr>
          <w:rFonts w:ascii="Arial" w:cs="Arial" w:eastAsia="Arial" w:hAnsi="Arial"/>
          <w:sz w:val="19"/>
          <w:szCs w:val="19"/>
          <w:color w:val="auto"/>
        </w:rPr>
        <w:t>") that has had or could reasonably be expected to have a material adverse effect on (i) the business, Portfolio Investments and other assets, liabilities and financial condition of the Borrower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50"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u w:val="single" w:color="auto"/>
          <w:color w:val="auto"/>
        </w:rPr>
        <w:t>Litigation</w:t>
      </w:r>
      <w:r>
        <w:rPr>
          <w:rFonts w:ascii="Arial" w:cs="Arial" w:eastAsia="Arial" w:hAnsi="Arial"/>
          <w:sz w:val="22"/>
          <w:szCs w:val="22"/>
          <w:color w:val="auto"/>
        </w:rPr>
        <w:t>. There are no actions, suits, investigations or proceedings by or before any 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87" w:lineRule="exact"/>
        <w:rPr>
          <w:sz w:val="20"/>
          <w:szCs w:val="20"/>
          <w:color w:val="auto"/>
        </w:rPr>
      </w:pPr>
    </w:p>
    <w:p>
      <w:pPr>
        <w:ind w:right="240"/>
        <w:spacing w:after="0" w:line="235"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Compliance with Laws and Agreements</w:t>
      </w:r>
      <w:r>
        <w:rPr>
          <w:rFonts w:ascii="Arial" w:cs="Arial" w:eastAsia="Arial" w:hAnsi="Arial"/>
          <w:sz w:val="22"/>
          <w:szCs w:val="22"/>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could reasonably be expected to result in a Material Adverse Effect.</w:t>
      </w:r>
    </w:p>
    <w:p>
      <w:pPr>
        <w:spacing w:after="0" w:line="188"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Taxes</w:t>
      </w:r>
      <w:r>
        <w:rPr>
          <w:rFonts w:ascii="Arial" w:cs="Arial" w:eastAsia="Arial" w:hAnsi="Arial"/>
          <w:sz w:val="22"/>
          <w:szCs w:val="22"/>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87" w:lineRule="exact"/>
        <w:rPr>
          <w:sz w:val="20"/>
          <w:szCs w:val="20"/>
          <w:color w:val="auto"/>
        </w:rPr>
      </w:pPr>
    </w:p>
    <w:p>
      <w:pPr>
        <w:ind w:right="80"/>
        <w:spacing w:after="0"/>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ERISA</w:t>
      </w:r>
      <w:r>
        <w:rPr>
          <w:rFonts w:ascii="Arial" w:cs="Arial" w:eastAsia="Arial" w:hAnsi="Arial"/>
          <w:sz w:val="22"/>
          <w:szCs w:val="22"/>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8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Disclosure</w:t>
      </w:r>
      <w:r>
        <w:rPr>
          <w:rFonts w:ascii="Arial" w:cs="Arial" w:eastAsia="Arial" w:hAnsi="Arial"/>
          <w:sz w:val="19"/>
          <w:szCs w:val="19"/>
          <w:color w:val="auto"/>
        </w:rPr>
        <w:t>.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None of the reports, financial statements, certificates or other information furnished by or on behalf of the Borrower to the Lenders in connection with the negotiation of this Agreement and the other Loan Documents or delivered hereunder or thereunder (as modified or supplemented by other information so furnished) contains any material misstatement of fact or omits to state any material fact necessary to make the statements therein,</w:t>
      </w:r>
    </w:p>
    <w:p>
      <w:pPr>
        <w:sectPr>
          <w:pgSz w:w="11900" w:h="16881" w:orient="portrait"/>
          <w:cols w:equalWidth="0" w:num="1">
            <w:col w:w="11240"/>
          </w:cols>
          <w:pgMar w:left="320" w:top="118" w:right="339" w:bottom="0" w:gutter="0" w:footer="0" w:header="0"/>
        </w:sectPr>
      </w:pPr>
    </w:p>
    <w:bookmarkStart w:id="32" w:name="page33"/>
    <w:bookmarkEnd w:id="32"/>
    <w:p>
      <w:pPr>
        <w:jc w:val="both"/>
        <w:ind w:right="160"/>
        <w:spacing w:after="0"/>
        <w:rPr>
          <w:sz w:val="20"/>
          <w:szCs w:val="20"/>
          <w:color w:val="auto"/>
        </w:rPr>
      </w:pPr>
      <w:r>
        <w:rPr>
          <w:rFonts w:ascii="Arial" w:cs="Arial" w:eastAsia="Arial" w:hAnsi="Arial"/>
          <w:sz w:val="22"/>
          <w:szCs w:val="22"/>
          <w:color w:val="auto"/>
        </w:rPr>
        <w:t>in the light of the circumstances under which they were made, not misleading; provided that with respect to projected financial information, the Borrower represents only that such information was prepared in good faith based upon assumptions believed to be reasonable at the time.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Investment Company Act; Margin Regulations</w:t>
      </w:r>
      <w:r>
        <w:rPr>
          <w:rFonts w:ascii="Arial" w:cs="Arial" w:eastAsia="Arial" w:hAnsi="Arial"/>
          <w:sz w:val="22"/>
          <w:szCs w:val="22"/>
          <w:color w:val="auto"/>
        </w:rPr>
        <w:t>.</w:t>
      </w:r>
    </w:p>
    <w:p>
      <w:pPr>
        <w:spacing w:after="0" w:line="206" w:lineRule="exact"/>
        <w:rPr>
          <w:sz w:val="20"/>
          <w:szCs w:val="20"/>
          <w:color w:val="auto"/>
        </w:rPr>
      </w:pPr>
    </w:p>
    <w:p>
      <w:pPr>
        <w:ind w:right="300" w:firstLine="8"/>
        <w:spacing w:after="0" w:line="328" w:lineRule="auto"/>
        <w:tabs>
          <w:tab w:leader="none" w:pos="294"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Status as Business Development Company</w:t>
      </w:r>
      <w:r>
        <w:rPr>
          <w:rFonts w:ascii="Arial" w:cs="Arial" w:eastAsia="Arial" w:hAnsi="Arial"/>
          <w:sz w:val="19"/>
          <w:szCs w:val="19"/>
          <w:color w:val="auto"/>
        </w:rPr>
        <w:t>. The Borrower is an "investment company" that has elected to be regulated as a "business development company" within the meaning of the Investment Company Act and qualifies as a RIC.</w:t>
      </w:r>
    </w:p>
    <w:p>
      <w:pPr>
        <w:spacing w:after="0" w:line="104" w:lineRule="exact"/>
        <w:rPr>
          <w:rFonts w:ascii="Arial" w:cs="Arial" w:eastAsia="Arial" w:hAnsi="Arial"/>
          <w:sz w:val="19"/>
          <w:szCs w:val="19"/>
          <w:color w:val="auto"/>
        </w:rPr>
      </w:pPr>
    </w:p>
    <w:p>
      <w:pPr>
        <w:ind w:right="140" w:firstLine="8"/>
        <w:spacing w:after="0" w:line="236" w:lineRule="auto"/>
        <w:tabs>
          <w:tab w:leader="none" w:pos="30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Compliance with Investment Company Act</w:t>
      </w:r>
      <w:r>
        <w:rPr>
          <w:rFonts w:ascii="Arial" w:cs="Arial" w:eastAsia="Arial" w:hAnsi="Arial"/>
          <w:sz w:val="22"/>
          <w:szCs w:val="22"/>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w:t>
      </w:r>
    </w:p>
    <w:p>
      <w:pPr>
        <w:spacing w:after="0" w:line="187" w:lineRule="exact"/>
        <w:rPr>
          <w:rFonts w:ascii="Arial" w:cs="Arial" w:eastAsia="Arial" w:hAnsi="Arial"/>
          <w:sz w:val="22"/>
          <w:szCs w:val="22"/>
          <w:color w:val="auto"/>
        </w:rPr>
      </w:pPr>
    </w:p>
    <w:p>
      <w:pPr>
        <w:ind w:right="20" w:firstLine="8"/>
        <w:spacing w:after="0" w:line="273" w:lineRule="auto"/>
        <w:tabs>
          <w:tab w:leader="none" w:pos="294"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Investment Policies</w:t>
      </w:r>
      <w:r>
        <w:rPr>
          <w:rFonts w:ascii="Arial" w:cs="Arial" w:eastAsia="Arial" w:hAnsi="Arial"/>
          <w:sz w:val="19"/>
          <w:szCs w:val="19"/>
          <w:color w:val="auto"/>
        </w:rPr>
        <w:t>. The Borrower is in compliance in all material respects with the Investment Policies; provided that it shall not be deemed a material change in the Investment Policies if (i) investment size (which as of the Effective Date is to normally range from between $5,000,000 and $50,000,000) proportionately increases as the size of the Borrower's capital base changes or</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Borrower and its Subsidiaries invest up to 30% of their assets in non-U.S. companies.</w:t>
      </w:r>
    </w:p>
    <w:p>
      <w:pPr>
        <w:spacing w:after="0" w:line="188" w:lineRule="exact"/>
        <w:rPr>
          <w:rFonts w:ascii="Arial" w:cs="Arial" w:eastAsia="Arial" w:hAnsi="Arial"/>
          <w:sz w:val="22"/>
          <w:szCs w:val="22"/>
          <w:color w:val="auto"/>
        </w:rPr>
      </w:pPr>
    </w:p>
    <w:p>
      <w:pPr>
        <w:jc w:val="both"/>
        <w:ind w:right="140" w:firstLine="8"/>
        <w:spacing w:after="0" w:line="297" w:lineRule="auto"/>
        <w:tabs>
          <w:tab w:leader="none" w:pos="306"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Use of Credit</w:t>
      </w:r>
      <w:r>
        <w:rPr>
          <w:rFonts w:ascii="Arial" w:cs="Arial" w:eastAsia="Arial" w:hAnsi="Arial"/>
          <w:sz w:val="19"/>
          <w:szCs w:val="19"/>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3.11. </w:t>
      </w:r>
      <w:r>
        <w:rPr>
          <w:rFonts w:ascii="Arial" w:cs="Arial" w:eastAsia="Arial" w:hAnsi="Arial"/>
          <w:sz w:val="22"/>
          <w:szCs w:val="22"/>
          <w:u w:val="single" w:color="auto"/>
          <w:color w:val="auto"/>
        </w:rPr>
        <w:t>Material Agreements and Liens</w:t>
      </w:r>
      <w:r>
        <w:rPr>
          <w:rFonts w:ascii="Arial" w:cs="Arial" w:eastAsia="Arial" w:hAnsi="Arial"/>
          <w:sz w:val="22"/>
          <w:szCs w:val="22"/>
          <w:color w:val="auto"/>
        </w:rPr>
        <w:t>.</w:t>
      </w:r>
    </w:p>
    <w:p>
      <w:pPr>
        <w:spacing w:after="0" w:line="206" w:lineRule="exact"/>
        <w:rPr>
          <w:sz w:val="20"/>
          <w:szCs w:val="20"/>
          <w:color w:val="auto"/>
        </w:rPr>
      </w:pPr>
    </w:p>
    <w:p>
      <w:pPr>
        <w:ind w:right="60" w:firstLine="8"/>
        <w:spacing w:after="0" w:line="282" w:lineRule="auto"/>
        <w:tabs>
          <w:tab w:leader="none" w:pos="294"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Material Agreements</w:t>
      </w:r>
      <w:r>
        <w:rPr>
          <w:rFonts w:ascii="Arial" w:cs="Arial" w:eastAsia="Arial" w:hAnsi="Arial"/>
          <w:sz w:val="19"/>
          <w:szCs w:val="19"/>
          <w:color w:val="auto"/>
        </w:rPr>
        <w:t>. Part A of Schedule 3.11 is a complete and correct list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on the date hereof, and the aggregate principal or face amount outstanding or that is, or may become, outstanding under each such arrangement is correctly described in Part A of Schedule II.</w:t>
      </w:r>
    </w:p>
    <w:p>
      <w:pPr>
        <w:spacing w:after="0" w:line="147" w:lineRule="exact"/>
        <w:rPr>
          <w:rFonts w:ascii="Arial" w:cs="Arial" w:eastAsia="Arial" w:hAnsi="Arial"/>
          <w:sz w:val="19"/>
          <w:szCs w:val="19"/>
          <w:color w:val="auto"/>
        </w:rPr>
      </w:pPr>
    </w:p>
    <w:p>
      <w:pPr>
        <w:jc w:val="both"/>
        <w:ind w:right="60" w:firstLine="8"/>
        <w:spacing w:after="0" w:line="297" w:lineRule="auto"/>
        <w:tabs>
          <w:tab w:leader="none" w:pos="306"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Liens</w:t>
      </w:r>
      <w:r>
        <w:rPr>
          <w:rFonts w:ascii="Arial" w:cs="Arial" w:eastAsia="Arial" w:hAnsi="Arial"/>
          <w:sz w:val="19"/>
          <w:szCs w:val="19"/>
          <w:color w:val="auto"/>
        </w:rPr>
        <w:t>. Part B of Schedule 3.11 is a complete and correct list of each Lien securing Indebtedness of any Person outstanding on the date hereof covering any property of the Borrower or any of its Subsidiaries, and the aggregate Indebtedness secured (or that may be secured) by each such Lien and the property covered by each such Lien is correctly described in Part B of Schedule 3.11.</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Subsidiaries and Investments</w:t>
      </w:r>
      <w:r>
        <w:rPr>
          <w:rFonts w:ascii="Arial" w:cs="Arial" w:eastAsia="Arial" w:hAnsi="Arial"/>
          <w:sz w:val="22"/>
          <w:szCs w:val="22"/>
          <w:color w:val="auto"/>
        </w:rPr>
        <w:t>.</w:t>
      </w:r>
    </w:p>
    <w:p>
      <w:pPr>
        <w:spacing w:after="0" w:line="206" w:lineRule="exact"/>
        <w:rPr>
          <w:sz w:val="20"/>
          <w:szCs w:val="20"/>
          <w:color w:val="auto"/>
        </w:rPr>
      </w:pPr>
    </w:p>
    <w:p>
      <w:pPr>
        <w:ind w:left="300" w:hanging="292"/>
        <w:spacing w:after="0"/>
        <w:tabs>
          <w:tab w:leader="none" w:pos="30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Subsidiaries</w:t>
      </w:r>
      <w:r>
        <w:rPr>
          <w:rFonts w:ascii="Arial" w:cs="Arial" w:eastAsia="Arial" w:hAnsi="Arial"/>
          <w:sz w:val="22"/>
          <w:szCs w:val="22"/>
          <w:color w:val="auto"/>
        </w:rPr>
        <w:t>. Set forth on Schedule 3.12(a) is a list of the Borrower's Subsidiaries as of the date hereof.</w:t>
      </w:r>
    </w:p>
    <w:p>
      <w:pPr>
        <w:spacing w:after="0" w:line="206" w:lineRule="exact"/>
        <w:rPr>
          <w:rFonts w:ascii="Arial" w:cs="Arial" w:eastAsia="Arial" w:hAnsi="Arial"/>
          <w:sz w:val="22"/>
          <w:szCs w:val="22"/>
          <w:color w:val="auto"/>
        </w:rPr>
      </w:pPr>
    </w:p>
    <w:p>
      <w:pPr>
        <w:ind w:firstLine="8"/>
        <w:spacing w:after="0" w:line="282" w:lineRule="auto"/>
        <w:tabs>
          <w:tab w:leader="none" w:pos="306"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Set forth in Schedule 3.12(b) is a complete and correct list of all Investments (other than Investments of the types referred to in clauses (b), (c) and (d) of Section 6.04) held by the Borrower or any of its Subsidiaries in any Person on the date hereof and, for each such Investment, (x) the identity of the Person or Persons holding such Investment and (y) the nature of such Investment. Except as disclosed in Schedule 3.12, each of the Borrower and its Subsidiaries owns, free and clear of all Liens (other than Liens created pursuant to the Security Documents), all such Investments.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3.13. </w:t>
      </w:r>
      <w:r>
        <w:rPr>
          <w:rFonts w:ascii="Arial" w:cs="Arial" w:eastAsia="Arial" w:hAnsi="Arial"/>
          <w:sz w:val="22"/>
          <w:szCs w:val="22"/>
          <w:u w:val="single" w:color="auto"/>
          <w:color w:val="auto"/>
        </w:rPr>
        <w:t>Properties</w:t>
      </w:r>
      <w:r>
        <w:rPr>
          <w:rFonts w:ascii="Arial" w:cs="Arial" w:eastAsia="Arial" w:hAnsi="Arial"/>
          <w:sz w:val="22"/>
          <w:szCs w:val="22"/>
          <w:color w:val="auto"/>
        </w:rPr>
        <w:t>.</w:t>
      </w:r>
    </w:p>
    <w:p>
      <w:pPr>
        <w:spacing w:after="0" w:line="206" w:lineRule="exact"/>
        <w:rPr>
          <w:sz w:val="20"/>
          <w:szCs w:val="20"/>
          <w:color w:val="auto"/>
        </w:rPr>
      </w:pPr>
    </w:p>
    <w:p>
      <w:pPr>
        <w:jc w:val="both"/>
        <w:ind w:right="500" w:firstLine="8"/>
        <w:spacing w:after="0" w:line="257" w:lineRule="auto"/>
        <w:tabs>
          <w:tab w:leader="none" w:pos="294"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Title Generally</w:t>
      </w:r>
      <w:r>
        <w:rPr>
          <w:rFonts w:ascii="Arial" w:cs="Arial" w:eastAsia="Arial" w:hAnsi="Arial"/>
          <w:sz w:val="21"/>
          <w:szCs w:val="21"/>
          <w:color w:val="auto"/>
        </w:rPr>
        <w:t>. Each of the Borrower and its Subsidiaries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69" w:lineRule="exact"/>
        <w:rPr>
          <w:rFonts w:ascii="Arial" w:cs="Arial" w:eastAsia="Arial" w:hAnsi="Arial"/>
          <w:sz w:val="21"/>
          <w:szCs w:val="21"/>
          <w:color w:val="auto"/>
        </w:rPr>
      </w:pPr>
    </w:p>
    <w:p>
      <w:pPr>
        <w:ind w:right="200" w:firstLine="8"/>
        <w:spacing w:after="0" w:line="252" w:lineRule="auto"/>
        <w:tabs>
          <w:tab w:leader="none" w:pos="306"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Intellectual Property</w:t>
      </w:r>
      <w:r>
        <w:rPr>
          <w:rFonts w:ascii="Arial" w:cs="Arial" w:eastAsia="Arial" w:hAnsi="Arial"/>
          <w:sz w:val="21"/>
          <w:szCs w:val="21"/>
          <w:color w:val="auto"/>
        </w:rPr>
        <w:t>. Each of the Borrower and its Subsidiaries owns, or is licensed to use, all trademarks, tradenames, copyrights, patents and other intellectual property material to its business, and the use thereof by the Borrower and its Subsidiaries does not infringe upon the rights of any other Person, except for any such infringements that, individually or in the aggregate, could not reasonably be expected to result in a Material Adverse Effect.</w:t>
      </w:r>
    </w:p>
    <w:p>
      <w:pPr>
        <w:spacing w:after="0" w:line="174"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 xml:space="preserve">SECTION 3.14. </w:t>
      </w:r>
      <w:r>
        <w:rPr>
          <w:rFonts w:ascii="Arial" w:cs="Arial" w:eastAsia="Arial" w:hAnsi="Arial"/>
          <w:sz w:val="22"/>
          <w:szCs w:val="22"/>
          <w:u w:val="single" w:color="auto"/>
          <w:color w:val="auto"/>
        </w:rPr>
        <w:t>Affiliate Agreements</w:t>
      </w:r>
      <w:r>
        <w:rPr>
          <w:rFonts w:ascii="Arial" w:cs="Arial" w:eastAsia="Arial" w:hAnsi="Arial"/>
          <w:sz w:val="22"/>
          <w:szCs w:val="22"/>
          <w:color w:val="auto"/>
        </w:rPr>
        <w:t>. As of the date hereof, the Borrower has heretofore delivered to each of the Lenders true and complete copies of each of the Affiliate Agreements (including and schedules and exhibits thereto, and any amendments, supplements or waivers executed and delivered thereunder). As of the date of hereof, each of the Affiliate Agreements is in full force and effect.</w:t>
      </w:r>
    </w:p>
    <w:p>
      <w:pPr>
        <w:spacing w:after="0" w:line="185"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IV</w:t>
      </w:r>
    </w:p>
    <w:p>
      <w:pPr>
        <w:spacing w:after="0" w:line="206" w:lineRule="exact"/>
        <w:rPr>
          <w:sz w:val="20"/>
          <w:szCs w:val="20"/>
          <w:color w:val="auto"/>
        </w:rPr>
      </w:pPr>
    </w:p>
    <w:p>
      <w:pPr>
        <w:ind w:left="4960"/>
        <w:spacing w:after="0"/>
        <w:rPr>
          <w:sz w:val="20"/>
          <w:szCs w:val="20"/>
          <w:color w:val="auto"/>
        </w:rPr>
      </w:pPr>
      <w:r>
        <w:rPr>
          <w:rFonts w:ascii="Arial" w:cs="Arial" w:eastAsia="Arial" w:hAnsi="Arial"/>
          <w:sz w:val="22"/>
          <w:szCs w:val="22"/>
          <w:u w:val="single" w:color="auto"/>
          <w:color w:val="auto"/>
        </w:rPr>
        <w:t>CONDITIONS</w:t>
      </w:r>
    </w:p>
    <w:p>
      <w:pPr>
        <w:spacing w:after="0" w:line="206" w:lineRule="exact"/>
        <w:rPr>
          <w:sz w:val="20"/>
          <w:szCs w:val="20"/>
          <w:color w:val="auto"/>
        </w:rPr>
      </w:pPr>
    </w:p>
    <w:p>
      <w:pPr>
        <w:ind w:right="120"/>
        <w:spacing w:after="0" w:line="257" w:lineRule="auto"/>
        <w:rPr>
          <w:sz w:val="20"/>
          <w:szCs w:val="20"/>
          <w:color w:val="auto"/>
        </w:rPr>
      </w:pPr>
      <w:r>
        <w:rPr>
          <w:rFonts w:ascii="Arial" w:cs="Arial" w:eastAsia="Arial" w:hAnsi="Arial"/>
          <w:sz w:val="21"/>
          <w:szCs w:val="21"/>
          <w:color w:val="auto"/>
        </w:rPr>
        <w:t xml:space="preserve">SECTION 4.01. </w:t>
      </w:r>
      <w:r>
        <w:rPr>
          <w:rFonts w:ascii="Arial" w:cs="Arial" w:eastAsia="Arial" w:hAnsi="Arial"/>
          <w:sz w:val="21"/>
          <w:szCs w:val="21"/>
          <w:u w:val="single" w:color="auto"/>
          <w:color w:val="auto"/>
        </w:rPr>
        <w:t>Effective Date</w:t>
      </w:r>
      <w:r>
        <w:rPr>
          <w:rFonts w:ascii="Arial" w:cs="Arial" w:eastAsia="Arial" w:hAnsi="Arial"/>
          <w:sz w:val="21"/>
          <w:szCs w:val="21"/>
          <w:color w:val="auto"/>
        </w:rPr>
        <w:t>. The effectiveness of this Agreement and of the obligations of the Lenders to make Loans and of the Issuing Bank to issue Letters of Credit hereunder shall not become effective until completion of each of the following conditions precedent (unless a condition shall have been waived in accordance with Section 9.02):</w:t>
      </w:r>
    </w:p>
    <w:p>
      <w:pPr>
        <w:sectPr>
          <w:pgSz w:w="11900" w:h="16838" w:orient="portrait"/>
          <w:cols w:equalWidth="0" w:num="1">
            <w:col w:w="11220"/>
          </w:cols>
          <w:pgMar w:left="320" w:top="118" w:right="359" w:bottom="0" w:gutter="0" w:footer="0" w:header="0"/>
        </w:sectPr>
      </w:pPr>
    </w:p>
    <w:bookmarkStart w:id="33" w:name="page34"/>
    <w:bookmarkEnd w:id="33"/>
    <w:p>
      <w:pPr>
        <w:spacing w:after="0" w:line="169" w:lineRule="exact"/>
        <w:rPr>
          <w:sz w:val="20"/>
          <w:szCs w:val="20"/>
          <w:color w:val="auto"/>
        </w:rPr>
      </w:pPr>
    </w:p>
    <w:p>
      <w:pPr>
        <w:ind w:right="60" w:firstLine="8"/>
        <w:spacing w:after="0" w:line="251" w:lineRule="auto"/>
        <w:tabs>
          <w:tab w:leader="none" w:pos="294"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Documents</w:t>
      </w:r>
      <w:r>
        <w:rPr>
          <w:rFonts w:ascii="Arial" w:cs="Arial" w:eastAsia="Arial" w:hAnsi="Arial"/>
          <w:sz w:val="22"/>
          <w:szCs w:val="22"/>
          <w:color w:val="auto"/>
        </w:rPr>
        <w:t>. Administrative Agent shall have received each of the following documents, each of which shall be satisfactory to the Administrative Agent (and to the extent specified below to each Lender) in form and substance:</w:t>
      </w:r>
    </w:p>
    <w:p>
      <w:pPr>
        <w:spacing w:after="0" w:line="173" w:lineRule="exact"/>
        <w:rPr>
          <w:sz w:val="20"/>
          <w:szCs w:val="20"/>
          <w:color w:val="auto"/>
        </w:rPr>
      </w:pPr>
    </w:p>
    <w:p>
      <w:pPr>
        <w:ind w:left="260" w:hanging="252"/>
        <w:spacing w:after="0"/>
        <w:tabs>
          <w:tab w:leader="none" w:pos="260"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Executed Counterparts</w:t>
      </w:r>
      <w:r>
        <w:rPr>
          <w:rFonts w:ascii="Arial" w:cs="Arial" w:eastAsia="Arial" w:hAnsi="Arial"/>
          <w:sz w:val="19"/>
          <w:szCs w:val="19"/>
          <w:color w:val="auto"/>
        </w:rPr>
        <w:t>. From each party hereto either (i) a counterpart of this Agreement signed on behalf of such party or</w:t>
      </w:r>
    </w:p>
    <w:p>
      <w:pPr>
        <w:spacing w:after="0" w:line="42" w:lineRule="exact"/>
        <w:rPr>
          <w:rFonts w:ascii="Arial" w:cs="Arial" w:eastAsia="Arial" w:hAnsi="Arial"/>
          <w:sz w:val="19"/>
          <w:szCs w:val="19"/>
          <w:color w:val="auto"/>
        </w:rPr>
      </w:pPr>
    </w:p>
    <w:p>
      <w:pPr>
        <w:ind w:right="400" w:firstLine="8"/>
        <w:spacing w:after="0" w:line="236" w:lineRule="auto"/>
        <w:tabs>
          <w:tab w:leader="none" w:pos="318" w:val="left"/>
        </w:tabs>
        <w:numPr>
          <w:ilvl w:val="0"/>
          <w:numId w:val="88"/>
        </w:numPr>
        <w:rPr>
          <w:rFonts w:ascii="Arial" w:cs="Arial" w:eastAsia="Arial" w:hAnsi="Arial"/>
          <w:sz w:val="22"/>
          <w:szCs w:val="22"/>
          <w:color w:val="auto"/>
        </w:rPr>
      </w:pPr>
      <w:r>
        <w:rPr>
          <w:rFonts w:ascii="Arial" w:cs="Arial" w:eastAsia="Arial" w:hAnsi="Arial"/>
          <w:sz w:val="22"/>
          <w:szCs w:val="22"/>
          <w:color w:val="auto"/>
        </w:rPr>
        <w:t>written evidence satisfactory to the Administrative Agent (which may include telecopy transmission of a signed signature page to this Agreement) that such party has signed a counterpart of this Agreement.</w:t>
      </w:r>
    </w:p>
    <w:p>
      <w:pPr>
        <w:spacing w:after="0" w:line="187" w:lineRule="exact"/>
        <w:rPr>
          <w:sz w:val="20"/>
          <w:szCs w:val="20"/>
          <w:color w:val="auto"/>
        </w:rPr>
      </w:pPr>
    </w:p>
    <w:p>
      <w:pPr>
        <w:ind w:right="20" w:firstLine="8"/>
        <w:spacing w:after="0" w:line="252" w:lineRule="auto"/>
        <w:tabs>
          <w:tab w:leader="none" w:pos="318"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Opinion of Counsel to the Borrower</w:t>
      </w:r>
      <w:r>
        <w:rPr>
          <w:rFonts w:ascii="Arial" w:cs="Arial" w:eastAsia="Arial" w:hAnsi="Arial"/>
          <w:sz w:val="21"/>
          <w:szCs w:val="21"/>
          <w:color w:val="auto"/>
        </w:rPr>
        <w:t>. A favorable written opinion (addressed to the Administrative Agent and the Lenders and dated the Effective Date) of Dechert LLP, New York counsel for the Borrower and of Venable LLP, Maryland counsel for the Borrower each in form and substance reasonably acceptable to the Administrative Agent (and the Borrower hereby instructs such counsel to deliver such opinion to the Lenders and the Administrative Agent).</w:t>
      </w:r>
    </w:p>
    <w:p>
      <w:pPr>
        <w:spacing w:after="0" w:line="173" w:lineRule="exact"/>
        <w:rPr>
          <w:rFonts w:ascii="Arial" w:cs="Arial" w:eastAsia="Arial" w:hAnsi="Arial"/>
          <w:sz w:val="21"/>
          <w:szCs w:val="21"/>
          <w:color w:val="auto"/>
        </w:rPr>
      </w:pPr>
    </w:p>
    <w:p>
      <w:pPr>
        <w:ind w:right="280" w:firstLine="8"/>
        <w:spacing w:after="0" w:line="238" w:lineRule="auto"/>
        <w:tabs>
          <w:tab w:leader="none" w:pos="378"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Corporate Documents</w:t>
      </w:r>
      <w:r>
        <w:rPr>
          <w:rFonts w:ascii="Arial" w:cs="Arial" w:eastAsia="Arial" w:hAnsi="Arial"/>
          <w:sz w:val="22"/>
          <w:szCs w:val="22"/>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184" w:lineRule="exact"/>
        <w:rPr>
          <w:rFonts w:ascii="Arial" w:cs="Arial" w:eastAsia="Arial" w:hAnsi="Arial"/>
          <w:sz w:val="22"/>
          <w:szCs w:val="22"/>
          <w:color w:val="auto"/>
        </w:rPr>
      </w:pPr>
    </w:p>
    <w:p>
      <w:pPr>
        <w:ind w:right="600" w:firstLine="8"/>
        <w:spacing w:after="0"/>
        <w:tabs>
          <w:tab w:leader="none" w:pos="366"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A certificate, dated the Effective Date and signed by the President, a Vice President or a Financial Officer of the Borrower, confirming compliance with the conditions set forth in the lettered clauses of the first sentence of Section 4.02.</w:t>
      </w:r>
    </w:p>
    <w:p>
      <w:pPr>
        <w:spacing w:after="0" w:line="186" w:lineRule="exact"/>
        <w:rPr>
          <w:rFonts w:ascii="Arial" w:cs="Arial" w:eastAsia="Arial" w:hAnsi="Arial"/>
          <w:sz w:val="22"/>
          <w:szCs w:val="22"/>
          <w:color w:val="auto"/>
        </w:rPr>
      </w:pPr>
    </w:p>
    <w:p>
      <w:pPr>
        <w:ind w:right="540" w:firstLine="8"/>
        <w:spacing w:after="0" w:line="250" w:lineRule="auto"/>
        <w:tabs>
          <w:tab w:leader="none" w:pos="306"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Guarantee and Security Agreement</w:t>
      </w:r>
      <w:r>
        <w:rPr>
          <w:rFonts w:ascii="Arial" w:cs="Arial" w:eastAsia="Arial" w:hAnsi="Arial"/>
          <w:sz w:val="22"/>
          <w:szCs w:val="22"/>
          <w:color w:val="auto"/>
        </w:rPr>
        <w:t>. The Guarantee and Security Agreement, duly executed and delivered by each of the parties to the Guarantee and Security Agreement.</w:t>
      </w:r>
    </w:p>
    <w:p>
      <w:pPr>
        <w:spacing w:after="0" w:line="174" w:lineRule="exact"/>
        <w:rPr>
          <w:rFonts w:ascii="Arial" w:cs="Arial" w:eastAsia="Arial" w:hAnsi="Arial"/>
          <w:sz w:val="22"/>
          <w:szCs w:val="22"/>
          <w:color w:val="auto"/>
        </w:rPr>
      </w:pPr>
    </w:p>
    <w:p>
      <w:pPr>
        <w:ind w:right="320" w:firstLine="8"/>
        <w:spacing w:after="0" w:line="250" w:lineRule="auto"/>
        <w:tabs>
          <w:tab w:leader="none" w:pos="366"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Control Agreement</w:t>
      </w:r>
      <w:r>
        <w:rPr>
          <w:rFonts w:ascii="Arial" w:cs="Arial" w:eastAsia="Arial" w:hAnsi="Arial"/>
          <w:sz w:val="22"/>
          <w:szCs w:val="22"/>
          <w:color w:val="auto"/>
        </w:rPr>
        <w:t>. A Custody and Securities Account Control Agreement, duly executed and delivered by the Borrower, the Administrative Agent and PFPC.</w:t>
      </w:r>
    </w:p>
    <w:p>
      <w:pPr>
        <w:spacing w:after="0" w:line="174" w:lineRule="exact"/>
        <w:rPr>
          <w:rFonts w:ascii="Arial" w:cs="Arial" w:eastAsia="Arial" w:hAnsi="Arial"/>
          <w:sz w:val="22"/>
          <w:szCs w:val="22"/>
          <w:color w:val="auto"/>
        </w:rPr>
      </w:pPr>
    </w:p>
    <w:p>
      <w:pPr>
        <w:ind w:left="440" w:hanging="432"/>
        <w:spacing w:after="0"/>
        <w:tabs>
          <w:tab w:leader="none" w:pos="440"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Borrowing Base Certificate</w:t>
      </w:r>
      <w:r>
        <w:rPr>
          <w:rFonts w:ascii="Arial" w:cs="Arial" w:eastAsia="Arial" w:hAnsi="Arial"/>
          <w:sz w:val="19"/>
          <w:szCs w:val="19"/>
          <w:color w:val="auto"/>
        </w:rPr>
        <w:t>. A Borrowing Base Certificate showing a calculation of the Borrowing Base as of May 31, 2007.</w:t>
      </w:r>
    </w:p>
    <w:p>
      <w:pPr>
        <w:spacing w:after="0" w:line="241" w:lineRule="exact"/>
        <w:rPr>
          <w:sz w:val="20"/>
          <w:szCs w:val="20"/>
          <w:color w:val="auto"/>
        </w:rPr>
      </w:pPr>
    </w:p>
    <w:p>
      <w:pPr>
        <w:ind w:firstLine="8"/>
        <w:spacing w:after="0" w:line="277" w:lineRule="auto"/>
        <w:tabs>
          <w:tab w:leader="none" w:pos="306"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Liens</w:t>
      </w:r>
      <w:r>
        <w:rPr>
          <w:rFonts w:ascii="Arial" w:cs="Arial" w:eastAsia="Arial" w:hAnsi="Arial"/>
          <w:sz w:val="19"/>
          <w:szCs w:val="19"/>
          <w:color w:val="auto"/>
        </w:rPr>
        <w:t>. The Administrative Agent shall have received results of a recent lien search in each relevant jurisdiction with respect to the Borrower, confirming the priority of the Liens in favor of the Collateral Agent created pursuant to the Security Documents and revealing no liens on any of the assets of the Borrower or its Subsidiaries except for liens permitted under Section 6.02 or liens to be discharged on or prior to the Effective Date pursuant to documentation satisfactory to the Administrative Agent. All UCC financing statements and similar documents required to be filed in order to create in favor of the Administrative Agent, for the benefit of the Lenders, a first priority perfected security interest in the Collateral (to the extent that such a security interest may be perfected by a filing under the Uniform Commercial Code) shall have been properly filed in each jurisdiction required.</w:t>
      </w:r>
    </w:p>
    <w:p>
      <w:pPr>
        <w:spacing w:after="0" w:line="151" w:lineRule="exact"/>
        <w:rPr>
          <w:rFonts w:ascii="Arial" w:cs="Arial" w:eastAsia="Arial" w:hAnsi="Arial"/>
          <w:sz w:val="19"/>
          <w:szCs w:val="19"/>
          <w:color w:val="auto"/>
        </w:rPr>
      </w:pPr>
    </w:p>
    <w:p>
      <w:pPr>
        <w:ind w:right="20" w:firstLine="8"/>
        <w:spacing w:after="0" w:line="236" w:lineRule="auto"/>
        <w:tabs>
          <w:tab w:leader="none" w:pos="294"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Financial Statements</w:t>
      </w:r>
      <w:r>
        <w:rPr>
          <w:rFonts w:ascii="Arial" w:cs="Arial" w:eastAsia="Arial" w:hAnsi="Arial"/>
          <w:sz w:val="22"/>
          <w:szCs w:val="22"/>
          <w:color w:val="auto"/>
        </w:rPr>
        <w:t>. The Administrative Agent shall have received (i) a true, correct and complete copy of the Borrower's N-2 registration statement filed on January 19, 2007 with the Securities and Exchange Commission, together with all amendments thereto, and (ii) the unaudited interim consolidated balance sheet and statements of operations, changes in net assets and cash flows of the Borrower and its Subsidiaries as of and for the three month period ended March 31, 2007, certified by a Financial Officer of the Borrower.</w:t>
      </w:r>
    </w:p>
    <w:p>
      <w:pPr>
        <w:spacing w:after="0" w:line="187" w:lineRule="exact"/>
        <w:rPr>
          <w:rFonts w:ascii="Arial" w:cs="Arial" w:eastAsia="Arial" w:hAnsi="Arial"/>
          <w:sz w:val="22"/>
          <w:szCs w:val="22"/>
          <w:color w:val="auto"/>
        </w:rPr>
      </w:pPr>
    </w:p>
    <w:p>
      <w:pPr>
        <w:ind w:right="100" w:firstLine="8"/>
        <w:spacing w:after="0" w:line="248" w:lineRule="auto"/>
        <w:tabs>
          <w:tab w:leader="none" w:pos="306"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Consents</w:t>
      </w:r>
      <w:r>
        <w:rPr>
          <w:rFonts w:ascii="Arial" w:cs="Arial" w:eastAsia="Arial" w:hAnsi="Arial"/>
          <w:sz w:val="21"/>
          <w:szCs w:val="21"/>
          <w:color w:val="auto"/>
        </w:rPr>
        <w:t>. The Borrower shall have obtained and delivered to the Administrative Agent certified copies of all consents, approvals, authorizations, registrations, or filings required to be made or obtained by the Borrower and all guarantors in connection with the Transactions and any transaction being financed with the proceeds of the Loans, and such consents, approvals, authorizations, registrations, filings and orders shall be in full force and effect and all applicable waiting periods shall have expired and no investigation or inquiry by any Governmental Authority regarding the Transactions or any transaction being financed with the proceeds of the Loans shall be ongoing.</w:t>
      </w:r>
    </w:p>
    <w:p>
      <w:pPr>
        <w:spacing w:after="0" w:line="176" w:lineRule="exact"/>
        <w:rPr>
          <w:rFonts w:ascii="Arial" w:cs="Arial" w:eastAsia="Arial" w:hAnsi="Arial"/>
          <w:sz w:val="21"/>
          <w:szCs w:val="21"/>
          <w:color w:val="auto"/>
        </w:rPr>
      </w:pPr>
    </w:p>
    <w:p>
      <w:pPr>
        <w:ind w:right="480" w:firstLine="8"/>
        <w:spacing w:after="0" w:line="250" w:lineRule="auto"/>
        <w:tabs>
          <w:tab w:leader="none" w:pos="294"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Fees and Expenses</w:t>
      </w:r>
      <w:r>
        <w:rPr>
          <w:rFonts w:ascii="Arial" w:cs="Arial" w:eastAsia="Arial" w:hAnsi="Arial"/>
          <w:sz w:val="22"/>
          <w:szCs w:val="22"/>
          <w:color w:val="auto"/>
        </w:rPr>
        <w:t>. The Borrower shall have paid in full to the Administrative Agent all fees and expenses related to this Agreement owing on the Effective Date.</w:t>
      </w:r>
    </w:p>
    <w:p>
      <w:pPr>
        <w:spacing w:after="0" w:line="174" w:lineRule="exact"/>
        <w:rPr>
          <w:rFonts w:ascii="Arial" w:cs="Arial" w:eastAsia="Arial" w:hAnsi="Arial"/>
          <w:sz w:val="22"/>
          <w:szCs w:val="22"/>
          <w:color w:val="auto"/>
        </w:rPr>
      </w:pPr>
    </w:p>
    <w:p>
      <w:pPr>
        <w:ind w:right="320" w:firstLine="8"/>
        <w:spacing w:after="0" w:line="250" w:lineRule="auto"/>
        <w:tabs>
          <w:tab w:leader="none" w:pos="27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Other Documents</w:t>
      </w:r>
      <w:r>
        <w:rPr>
          <w:rFonts w:ascii="Arial" w:cs="Arial" w:eastAsia="Arial" w:hAnsi="Arial"/>
          <w:sz w:val="22"/>
          <w:szCs w:val="22"/>
          <w:color w:val="auto"/>
        </w:rPr>
        <w:t>. The Administrative Agent shall have received such other documents as the Administrative Agent or any Lender may reasonably request in form and substance satisfactory to the Administrative Agent.</w:t>
      </w:r>
    </w:p>
    <w:p>
      <w:pPr>
        <w:spacing w:after="0" w:line="175"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Each Credit Event</w:t>
      </w:r>
      <w:r>
        <w:rPr>
          <w:rFonts w:ascii="Arial" w:cs="Arial" w:eastAsia="Arial" w:hAnsi="Arial"/>
          <w:sz w:val="19"/>
          <w:szCs w:val="19"/>
          <w:color w:val="auto"/>
        </w:rPr>
        <w:t>. The obligation of each Lender to make any Loan, and of the Issuing Bank to issue, amend, renew or extend any Letter of Credit, is additionally subject to the satisfaction of the following conditions:</w:t>
      </w:r>
    </w:p>
    <w:p>
      <w:pPr>
        <w:spacing w:after="0" w:line="105" w:lineRule="exact"/>
        <w:rPr>
          <w:sz w:val="20"/>
          <w:szCs w:val="20"/>
          <w:color w:val="auto"/>
        </w:rPr>
      </w:pPr>
    </w:p>
    <w:p>
      <w:pPr>
        <w:ind w:right="140" w:firstLine="8"/>
        <w:spacing w:after="0" w:line="249" w:lineRule="auto"/>
        <w:tabs>
          <w:tab w:leader="none" w:pos="294" w:val="left"/>
        </w:tabs>
        <w:numPr>
          <w:ilvl w:val="0"/>
          <w:numId w:val="91"/>
        </w:numPr>
        <w:rPr>
          <w:rFonts w:ascii="Arial" w:cs="Arial" w:eastAsia="Arial" w:hAnsi="Arial"/>
          <w:sz w:val="21"/>
          <w:szCs w:val="21"/>
          <w:color w:val="auto"/>
        </w:rPr>
      </w:pPr>
      <w:r>
        <w:rPr>
          <w:rFonts w:ascii="Arial" w:cs="Arial" w:eastAsia="Arial" w:hAnsi="Arial"/>
          <w:sz w:val="21"/>
          <w:szCs w:val="21"/>
          <w:color w:val="auto"/>
        </w:rPr>
        <w:t>the representations and warranties of the Borrower set forth in this Agreement and in the other Loan Documents shall be true and correct (or, in the case of the representations and warranties in Sections 3.03, 3.05 and 3.13 of this Agreement, and in Section 2.03 of the Guarantee and Security Agreement, true and correct in all material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78" w:lineRule="exact"/>
        <w:rPr>
          <w:rFonts w:ascii="Arial" w:cs="Arial" w:eastAsia="Arial" w:hAnsi="Arial"/>
          <w:sz w:val="21"/>
          <w:szCs w:val="21"/>
          <w:color w:val="auto"/>
        </w:rPr>
      </w:pPr>
    </w:p>
    <w:p>
      <w:pPr>
        <w:ind w:right="460" w:firstLine="8"/>
        <w:spacing w:after="0" w:line="250" w:lineRule="auto"/>
        <w:tabs>
          <w:tab w:leader="none" w:pos="306" w:val="left"/>
        </w:tabs>
        <w:numPr>
          <w:ilvl w:val="0"/>
          <w:numId w:val="91"/>
        </w:numPr>
        <w:rPr>
          <w:rFonts w:ascii="Arial" w:cs="Arial" w:eastAsia="Arial" w:hAnsi="Arial"/>
          <w:sz w:val="22"/>
          <w:szCs w:val="22"/>
          <w:color w:val="auto"/>
        </w:rPr>
      </w:pPr>
      <w:r>
        <w:rPr>
          <w:rFonts w:ascii="Arial" w:cs="Arial" w:eastAsia="Arial" w:hAnsi="Arial"/>
          <w:sz w:val="22"/>
          <w:szCs w:val="22"/>
          <w:color w:val="auto"/>
        </w:rPr>
        <w:t>at the time of and immediately after giving effect to such Loan or the issuance, amendment, renewal or extension of such Letter of Credit, as applicable, no Default shall have occurred and be continuing; and</w:t>
      </w:r>
    </w:p>
    <w:p>
      <w:pPr>
        <w:spacing w:after="0" w:line="174" w:lineRule="exact"/>
        <w:rPr>
          <w:rFonts w:ascii="Arial" w:cs="Arial" w:eastAsia="Arial" w:hAnsi="Arial"/>
          <w:sz w:val="22"/>
          <w:szCs w:val="22"/>
          <w:color w:val="auto"/>
        </w:rPr>
      </w:pPr>
    </w:p>
    <w:p>
      <w:pPr>
        <w:ind w:right="120" w:firstLine="8"/>
        <w:spacing w:after="0" w:line="328" w:lineRule="auto"/>
        <w:tabs>
          <w:tab w:leader="none" w:pos="294" w:val="left"/>
        </w:tabs>
        <w:numPr>
          <w:ilvl w:val="0"/>
          <w:numId w:val="91"/>
        </w:numPr>
        <w:rPr>
          <w:rFonts w:ascii="Arial" w:cs="Arial" w:eastAsia="Arial" w:hAnsi="Arial"/>
          <w:sz w:val="19"/>
          <w:szCs w:val="19"/>
          <w:color w:val="auto"/>
        </w:rPr>
      </w:pPr>
      <w:r>
        <w:rPr>
          <w:rFonts w:ascii="Arial" w:cs="Arial" w:eastAsia="Arial" w:hAnsi="Arial"/>
          <w:sz w:val="19"/>
          <w:szCs w:val="19"/>
          <w:color w:val="auto"/>
        </w:rPr>
        <w:t>either (i) the aggregate Covered Debt Amount (after giving effect to such extension of credit) shall not exceed the Borrowing Base reflected on the Borrowing Base Certificate most recently delivered to the Administrative Agent or (ii) the Borrower shall</w:t>
      </w:r>
    </w:p>
    <w:p>
      <w:pPr>
        <w:sectPr>
          <w:pgSz w:w="11900" w:h="17008" w:orient="portrait"/>
          <w:cols w:equalWidth="0" w:num="1">
            <w:col w:w="11240"/>
          </w:cols>
          <w:pgMar w:left="320" w:top="118" w:right="339" w:bottom="0" w:gutter="0" w:footer="0" w:header="0"/>
        </w:sectPr>
      </w:pPr>
    </w:p>
    <w:bookmarkStart w:id="34" w:name="page35"/>
    <w:bookmarkEnd w:id="34"/>
    <w:p>
      <w:pPr>
        <w:jc w:val="both"/>
        <w:ind w:right="160"/>
        <w:spacing w:after="0" w:line="297" w:lineRule="auto"/>
        <w:rPr>
          <w:sz w:val="20"/>
          <w:szCs w:val="20"/>
          <w:color w:val="auto"/>
        </w:rPr>
      </w:pPr>
      <w:r>
        <w:rPr>
          <w:rFonts w:ascii="Arial" w:cs="Arial" w:eastAsia="Arial" w:hAnsi="Arial"/>
          <w:sz w:val="19"/>
          <w:szCs w:val="19"/>
          <w:color w:val="auto"/>
        </w:rPr>
        <w:t>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w:t>
      </w:r>
    </w:p>
    <w:p>
      <w:pPr>
        <w:spacing w:after="0" w:line="134" w:lineRule="exact"/>
        <w:rPr>
          <w:sz w:val="20"/>
          <w:szCs w:val="20"/>
          <w:color w:val="auto"/>
        </w:rPr>
      </w:pPr>
    </w:p>
    <w:p>
      <w:pPr>
        <w:ind w:right="700"/>
        <w:spacing w:after="0" w:line="328" w:lineRule="auto"/>
        <w:rPr>
          <w:sz w:val="20"/>
          <w:szCs w:val="20"/>
          <w:color w:val="auto"/>
        </w:rPr>
      </w:pPr>
      <w:r>
        <w:rPr>
          <w:rFonts w:ascii="Arial" w:cs="Arial" w:eastAsia="Arial" w:hAnsi="Arial"/>
          <w:sz w:val="19"/>
          <w:szCs w:val="19"/>
          <w:color w:val="auto"/>
        </w:rPr>
        <w:t>Each Borrowing and each issuance, amendment, renewal or extension of a Letter of Credit shall be deemed to constitute a representation and warranty by the Borrower on the date thereof as to the matters specified in the preceding sentence.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AFFIRMATIVE COVENANTS</w:t>
      </w:r>
    </w:p>
    <w:p>
      <w:pPr>
        <w:spacing w:after="0" w:line="206"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Until the Commitments have expired or been terminated and the principal of and interest on each Loan and all fees payable hereunder shall have been paid in full and all Letters of Credit shall have expired or terminated and all LC Disbursements shall have been reimbursed, the Borrower covenants and agrees with the Lenders that: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u w:val="single" w:color="auto"/>
          <w:color w:val="auto"/>
        </w:rPr>
        <w:t>Financial Statements and Other Information</w:t>
      </w:r>
      <w:r>
        <w:rPr>
          <w:rFonts w:ascii="Arial" w:cs="Arial" w:eastAsia="Arial" w:hAnsi="Arial"/>
          <w:sz w:val="19"/>
          <w:szCs w:val="19"/>
          <w:color w:val="auto"/>
        </w:rPr>
        <w:t>. The Borrower will furnish to the Administrative Agent and each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Lender:</w:t>
      </w:r>
    </w:p>
    <w:p>
      <w:pPr>
        <w:spacing w:after="0" w:line="188" w:lineRule="exact"/>
        <w:rPr>
          <w:sz w:val="20"/>
          <w:szCs w:val="20"/>
          <w:color w:val="auto"/>
        </w:rPr>
      </w:pPr>
    </w:p>
    <w:p>
      <w:pPr>
        <w:ind w:right="80" w:firstLine="8"/>
        <w:spacing w:after="0" w:line="246" w:lineRule="auto"/>
        <w:tabs>
          <w:tab w:leader="none" w:pos="294" w:val="left"/>
        </w:tabs>
        <w:numPr>
          <w:ilvl w:val="0"/>
          <w:numId w:val="92"/>
        </w:numPr>
        <w:rPr>
          <w:rFonts w:ascii="Arial" w:cs="Arial" w:eastAsia="Arial" w:hAnsi="Arial"/>
          <w:sz w:val="21"/>
          <w:szCs w:val="21"/>
          <w:color w:val="auto"/>
        </w:rPr>
      </w:pPr>
      <w:r>
        <w:rPr>
          <w:rFonts w:ascii="Arial" w:cs="Arial" w:eastAsia="Arial" w:hAnsi="Arial"/>
          <w:sz w:val="21"/>
          <w:szCs w:val="21"/>
          <w:color w:val="auto"/>
        </w:rPr>
        <w:t>within 90 days after the end of each fiscal year of the Borrower, the audited consolidated balance sheet and related statements of operations, stockholders' equity and cash flows of the Borrower and its Subsidiaries as of the end of and for such year, selling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provided that the requirements set forth in this clause (a) may be fulfilled by providing to the Administrative Agent and the Lenders the report of the Borrower to the SEC on Form 10-K for the applicable fiscal year;</w:t>
      </w:r>
    </w:p>
    <w:p>
      <w:pPr>
        <w:spacing w:after="0" w:line="179" w:lineRule="exact"/>
        <w:rPr>
          <w:rFonts w:ascii="Arial" w:cs="Arial" w:eastAsia="Arial" w:hAnsi="Arial"/>
          <w:sz w:val="21"/>
          <w:szCs w:val="21"/>
          <w:color w:val="auto"/>
        </w:rPr>
      </w:pPr>
    </w:p>
    <w:p>
      <w:pPr>
        <w:ind w:firstLine="8"/>
        <w:spacing w:after="0" w:line="269" w:lineRule="auto"/>
        <w:tabs>
          <w:tab w:leader="none" w:pos="306" w:val="left"/>
        </w:tabs>
        <w:numPr>
          <w:ilvl w:val="0"/>
          <w:numId w:val="92"/>
        </w:numPr>
        <w:rPr>
          <w:rFonts w:ascii="Arial" w:cs="Arial" w:eastAsia="Arial" w:hAnsi="Arial"/>
          <w:sz w:val="19"/>
          <w:szCs w:val="19"/>
          <w:color w:val="auto"/>
        </w:rPr>
      </w:pPr>
      <w:r>
        <w:rPr>
          <w:rFonts w:ascii="Arial" w:cs="Arial" w:eastAsia="Arial" w:hAnsi="Arial"/>
          <w:sz w:val="19"/>
          <w:szCs w:val="19"/>
          <w:color w:val="auto"/>
        </w:rPr>
        <w:t>within 45 days after the end of each of the first three fiscal quarters of each fiscal year of the Borrower, the consolidated balance sheet and related statements of operations, stockholders' equity and cash flows of the Borrower and its Subsidiaries as of the end of and for such fiscal quarter and the then elapsed portion of the fiscal year, setting forth in each case in comparative form the figures for (or, in the case of the balance sheet,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provided that the requirements set forth in this clause</w:t>
      </w:r>
    </w:p>
    <w:p>
      <w:pPr>
        <w:spacing w:after="0" w:line="4" w:lineRule="exact"/>
        <w:rPr>
          <w:rFonts w:ascii="Arial" w:cs="Arial" w:eastAsia="Arial" w:hAnsi="Arial"/>
          <w:sz w:val="19"/>
          <w:szCs w:val="19"/>
          <w:color w:val="auto"/>
        </w:rPr>
      </w:pPr>
    </w:p>
    <w:p>
      <w:pPr>
        <w:ind w:right="40" w:firstLine="8"/>
        <w:spacing w:after="0" w:line="236" w:lineRule="auto"/>
        <w:tabs>
          <w:tab w:leader="none" w:pos="306" w:val="left"/>
        </w:tabs>
        <w:numPr>
          <w:ilvl w:val="0"/>
          <w:numId w:val="93"/>
        </w:numPr>
        <w:rPr>
          <w:rFonts w:ascii="Arial" w:cs="Arial" w:eastAsia="Arial" w:hAnsi="Arial"/>
          <w:sz w:val="22"/>
          <w:szCs w:val="22"/>
          <w:color w:val="auto"/>
        </w:rPr>
      </w:pPr>
      <w:r>
        <w:rPr>
          <w:rFonts w:ascii="Arial" w:cs="Arial" w:eastAsia="Arial" w:hAnsi="Arial"/>
          <w:sz w:val="22"/>
          <w:szCs w:val="22"/>
          <w:color w:val="auto"/>
        </w:rPr>
        <w:t>may be fulfilled by providing to the Lenders the report of the Borrower to the S EC on Form 10-Q for the applicable quarterly period;</w:t>
      </w:r>
    </w:p>
    <w:p>
      <w:pPr>
        <w:spacing w:after="0" w:line="186" w:lineRule="exact"/>
        <w:rPr>
          <w:rFonts w:ascii="Arial" w:cs="Arial" w:eastAsia="Arial" w:hAnsi="Arial"/>
          <w:sz w:val="22"/>
          <w:szCs w:val="22"/>
          <w:color w:val="auto"/>
        </w:rPr>
      </w:pPr>
    </w:p>
    <w:p>
      <w:pPr>
        <w:ind w:right="100" w:firstLine="8"/>
        <w:spacing w:after="0" w:line="271" w:lineRule="auto"/>
        <w:tabs>
          <w:tab w:leader="none" w:pos="294" w:val="left"/>
        </w:tabs>
        <w:numPr>
          <w:ilvl w:val="0"/>
          <w:numId w:val="93"/>
        </w:numPr>
        <w:rPr>
          <w:rFonts w:ascii="Arial" w:cs="Arial" w:eastAsia="Arial" w:hAnsi="Arial"/>
          <w:sz w:val="19"/>
          <w:szCs w:val="19"/>
          <w:color w:val="auto"/>
        </w:rPr>
      </w:pPr>
      <w:r>
        <w:rPr>
          <w:rFonts w:ascii="Arial" w:cs="Arial" w:eastAsia="Arial" w:hAnsi="Arial"/>
          <w:sz w:val="19"/>
          <w:szCs w:val="19"/>
          <w:color w:val="auto"/>
        </w:rPr>
        <w:t>concurrently with any delivery of financial statements under clause (a) or (b) of this Section, a certificate of a Financial Officer of the Borrower (i) certifying that such statements are consistent with the financial statements filed by the Borrower with the Securities and Exchange Commission, (ii) certifying as to whether the Borrower has knowledge that a Default has occurred and, if a Default has occurred, specifying the details thereof and any action taken or proposed to be taken with respect thereto,</w:t>
      </w:r>
    </w:p>
    <w:p>
      <w:pPr>
        <w:spacing w:after="0" w:line="3" w:lineRule="exact"/>
        <w:rPr>
          <w:rFonts w:ascii="Arial" w:cs="Arial" w:eastAsia="Arial" w:hAnsi="Arial"/>
          <w:sz w:val="19"/>
          <w:szCs w:val="19"/>
          <w:color w:val="auto"/>
        </w:rPr>
      </w:pPr>
    </w:p>
    <w:p>
      <w:pPr>
        <w:ind w:left="380" w:hanging="372"/>
        <w:spacing w:after="0"/>
        <w:tabs>
          <w:tab w:leader="none" w:pos="380" w:val="left"/>
        </w:tabs>
        <w:numPr>
          <w:ilvl w:val="0"/>
          <w:numId w:val="94"/>
        </w:numPr>
        <w:rPr>
          <w:rFonts w:ascii="Arial" w:cs="Arial" w:eastAsia="Arial" w:hAnsi="Arial"/>
          <w:sz w:val="21"/>
          <w:szCs w:val="21"/>
          <w:color w:val="auto"/>
        </w:rPr>
      </w:pPr>
      <w:r>
        <w:rPr>
          <w:rFonts w:ascii="Arial" w:cs="Arial" w:eastAsia="Arial" w:hAnsi="Arial"/>
          <w:sz w:val="21"/>
          <w:szCs w:val="21"/>
          <w:color w:val="auto"/>
        </w:rPr>
        <w:t>setting forth reasonably detailed calculations demonstrating compliance with Sections 6.01, 6.02, 6.04 and 6.07 and</w:t>
      </w:r>
    </w:p>
    <w:p>
      <w:pPr>
        <w:spacing w:after="0" w:line="1" w:lineRule="exact"/>
        <w:rPr>
          <w:rFonts w:ascii="Arial" w:cs="Arial" w:eastAsia="Arial" w:hAnsi="Arial"/>
          <w:sz w:val="21"/>
          <w:szCs w:val="21"/>
          <w:color w:val="auto"/>
        </w:rPr>
      </w:pPr>
    </w:p>
    <w:p>
      <w:pPr>
        <w:ind w:right="200"/>
        <w:spacing w:after="0" w:line="234" w:lineRule="auto"/>
        <w:rPr>
          <w:rFonts w:ascii="Arial" w:cs="Arial" w:eastAsia="Arial" w:hAnsi="Arial"/>
          <w:sz w:val="21"/>
          <w:szCs w:val="21"/>
          <w:color w:val="auto"/>
        </w:rPr>
      </w:pPr>
      <w:r>
        <w:rPr>
          <w:rFonts w:ascii="Arial" w:cs="Arial" w:eastAsia="Arial" w:hAnsi="Arial"/>
          <w:sz w:val="22"/>
          <w:szCs w:val="22"/>
          <w:color w:val="auto"/>
        </w:rPr>
        <w:t>(iv) stating whether any change in GAAP as applied by (or in the application of GAAP by) the Borrower has occurred since the Effective Date and, if any such change has occurred, specifying the effect of such change on the financial statements accompanying such certificate;</w:t>
      </w:r>
    </w:p>
    <w:p>
      <w:pPr>
        <w:spacing w:after="0" w:line="187" w:lineRule="exact"/>
        <w:rPr>
          <w:rFonts w:ascii="Arial" w:cs="Arial" w:eastAsia="Arial" w:hAnsi="Arial"/>
          <w:sz w:val="21"/>
          <w:szCs w:val="21"/>
          <w:color w:val="auto"/>
        </w:rPr>
      </w:pPr>
    </w:p>
    <w:p>
      <w:pPr>
        <w:ind w:right="320" w:firstLine="8"/>
        <w:spacing w:after="0"/>
        <w:tabs>
          <w:tab w:leader="none" w:pos="306" w:val="left"/>
        </w:tabs>
        <w:numPr>
          <w:ilvl w:val="0"/>
          <w:numId w:val="95"/>
        </w:numPr>
        <w:rPr>
          <w:rFonts w:ascii="Arial" w:cs="Arial" w:eastAsia="Arial" w:hAnsi="Arial"/>
          <w:sz w:val="22"/>
          <w:szCs w:val="22"/>
          <w:color w:val="auto"/>
        </w:rPr>
      </w:pPr>
      <w:r>
        <w:rPr>
          <w:rFonts w:ascii="Arial" w:cs="Arial" w:eastAsia="Arial" w:hAnsi="Arial"/>
          <w:sz w:val="22"/>
          <w:szCs w:val="22"/>
          <w:color w:val="auto"/>
        </w:rPr>
        <w:t>as soon as available and in any event not later than 20 days after the end of each monthly accounting period (ending on the last day of each calendar month) of the Borrower and its Subsidiaries, a Borrowing Base Certificate as at the last day of such accounting period;</w:t>
      </w:r>
    </w:p>
    <w:p>
      <w:pPr>
        <w:spacing w:after="0" w:line="186" w:lineRule="exact"/>
        <w:rPr>
          <w:rFonts w:ascii="Arial" w:cs="Arial" w:eastAsia="Arial" w:hAnsi="Arial"/>
          <w:sz w:val="22"/>
          <w:szCs w:val="22"/>
          <w:color w:val="auto"/>
        </w:rPr>
      </w:pPr>
    </w:p>
    <w:p>
      <w:pPr>
        <w:ind w:right="280" w:firstLine="8"/>
        <w:spacing w:after="0"/>
        <w:tabs>
          <w:tab w:leader="none" w:pos="294"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Borrowing Base Deficiency as at the date the Borrower obtained knowledge of such deficiency and the amount of the Borrowing Base Deficiency as of the date not earlier than one Business Day prior to the date the Borrowing Base Certificate is delivered pursuant to this paragraph;</w:t>
      </w:r>
    </w:p>
    <w:p>
      <w:pPr>
        <w:spacing w:after="0" w:line="186" w:lineRule="exact"/>
        <w:rPr>
          <w:rFonts w:ascii="Arial" w:cs="Arial" w:eastAsia="Arial" w:hAnsi="Arial"/>
          <w:sz w:val="22"/>
          <w:szCs w:val="22"/>
          <w:color w:val="auto"/>
        </w:rPr>
      </w:pPr>
    </w:p>
    <w:p>
      <w:pPr>
        <w:jc w:val="both"/>
        <w:ind w:right="140" w:firstLine="8"/>
        <w:spacing w:after="0" w:line="238" w:lineRule="auto"/>
        <w:tabs>
          <w:tab w:leader="none" w:pos="270" w:val="left"/>
        </w:tabs>
        <w:numPr>
          <w:ilvl w:val="0"/>
          <w:numId w:val="95"/>
        </w:numPr>
        <w:rPr>
          <w:rFonts w:ascii="Arial" w:cs="Arial" w:eastAsia="Arial" w:hAnsi="Arial"/>
          <w:sz w:val="22"/>
          <w:szCs w:val="22"/>
          <w:color w:val="auto"/>
        </w:rPr>
      </w:pPr>
      <w:r>
        <w:rPr>
          <w:rFonts w:ascii="Arial" w:cs="Arial" w:eastAsia="Arial" w:hAnsi="Arial"/>
          <w:sz w:val="22"/>
          <w:szCs w:val="22"/>
          <w:color w:val="auto"/>
        </w:rPr>
        <w:t>promptly upon receipt thereof copies of all significant reports submitted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spacing w:after="0" w:line="184" w:lineRule="exact"/>
        <w:rPr>
          <w:rFonts w:ascii="Arial" w:cs="Arial" w:eastAsia="Arial" w:hAnsi="Arial"/>
          <w:sz w:val="22"/>
          <w:szCs w:val="22"/>
          <w:color w:val="auto"/>
        </w:rPr>
      </w:pPr>
    </w:p>
    <w:p>
      <w:pPr>
        <w:ind w:right="60" w:firstLine="8"/>
        <w:spacing w:after="0" w:line="238" w:lineRule="auto"/>
        <w:tabs>
          <w:tab w:leader="none" w:pos="306" w:val="left"/>
        </w:tabs>
        <w:numPr>
          <w:ilvl w:val="0"/>
          <w:numId w:val="95"/>
        </w:numPr>
        <w:rPr>
          <w:rFonts w:ascii="Arial" w:cs="Arial" w:eastAsia="Arial" w:hAnsi="Arial"/>
          <w:sz w:val="22"/>
          <w:szCs w:val="22"/>
          <w:color w:val="auto"/>
        </w:rPr>
      </w:pPr>
      <w:r>
        <w:rPr>
          <w:rFonts w:ascii="Arial" w:cs="Arial" w:eastAsia="Arial" w:hAnsi="Arial"/>
          <w:sz w:val="22"/>
          <w:szCs w:val="22"/>
          <w:color w:val="auto"/>
        </w:rPr>
        <w:t>promptly after the same become publicly available, copies of all periodic and other reports, proxy statements and other materials filed by the Borrower or any of its Subsidiaries with the Securities and Exchange Commission, or any Governmental Authority succeeding to any or all of the functions of said Commission, or with any national securities exchange, as the case may be; and</w:t>
      </w:r>
    </w:p>
    <w:p>
      <w:pPr>
        <w:spacing w:after="0" w:line="184" w:lineRule="exact"/>
        <w:rPr>
          <w:rFonts w:ascii="Arial" w:cs="Arial" w:eastAsia="Arial" w:hAnsi="Arial"/>
          <w:sz w:val="22"/>
          <w:szCs w:val="22"/>
          <w:color w:val="auto"/>
        </w:rPr>
      </w:pPr>
    </w:p>
    <w:p>
      <w:pPr>
        <w:ind w:right="620" w:firstLine="8"/>
        <w:spacing w:after="0" w:line="257" w:lineRule="auto"/>
        <w:tabs>
          <w:tab w:leader="none" w:pos="306" w:val="left"/>
        </w:tabs>
        <w:numPr>
          <w:ilvl w:val="0"/>
          <w:numId w:val="95"/>
        </w:numPr>
        <w:rPr>
          <w:rFonts w:ascii="Arial" w:cs="Arial" w:eastAsia="Arial" w:hAnsi="Arial"/>
          <w:sz w:val="21"/>
          <w:szCs w:val="21"/>
          <w:color w:val="auto"/>
        </w:rPr>
      </w:pPr>
      <w:r>
        <w:rPr>
          <w:rFonts w:ascii="Arial" w:cs="Arial" w:eastAsia="Arial" w:hAnsi="Arial"/>
          <w:sz w:val="21"/>
          <w:szCs w:val="21"/>
          <w:color w:val="auto"/>
        </w:rPr>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may reasonably request.</w:t>
      </w:r>
    </w:p>
    <w:p>
      <w:pPr>
        <w:sectPr>
          <w:pgSz w:w="11900" w:h="16838" w:orient="portrait"/>
          <w:cols w:equalWidth="0" w:num="1">
            <w:col w:w="11240"/>
          </w:cols>
          <w:pgMar w:left="320" w:top="118" w:right="339" w:bottom="179" w:gutter="0" w:footer="0" w:header="0"/>
        </w:sectPr>
      </w:pPr>
    </w:p>
    <w:bookmarkStart w:id="35" w:name="page36"/>
    <w:bookmarkEnd w:id="35"/>
    <w:p>
      <w:pPr>
        <w:ind w:right="440"/>
        <w:spacing w:after="0" w:line="251"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Notices of Material Events</w:t>
      </w:r>
      <w:r>
        <w:rPr>
          <w:rFonts w:ascii="Arial" w:cs="Arial" w:eastAsia="Arial" w:hAnsi="Arial"/>
          <w:sz w:val="22"/>
          <w:szCs w:val="22"/>
          <w:color w:val="auto"/>
        </w:rPr>
        <w:t>. The Borrower will furnish to the Administrative Agent and each Lender prompt written notice of the following:</w:t>
      </w:r>
    </w:p>
    <w:p>
      <w:pPr>
        <w:spacing w:after="0" w:line="173" w:lineRule="exact"/>
        <w:rPr>
          <w:sz w:val="20"/>
          <w:szCs w:val="20"/>
          <w:color w:val="auto"/>
        </w:rPr>
      </w:pPr>
    </w:p>
    <w:p>
      <w:pPr>
        <w:ind w:left="300" w:hanging="292"/>
        <w:spacing w:after="0"/>
        <w:tabs>
          <w:tab w:leader="none" w:pos="3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occurrence of any Default;</w:t>
      </w:r>
    </w:p>
    <w:p>
      <w:pPr>
        <w:spacing w:after="0" w:line="206" w:lineRule="exact"/>
        <w:rPr>
          <w:rFonts w:ascii="Arial" w:cs="Arial" w:eastAsia="Arial" w:hAnsi="Arial"/>
          <w:sz w:val="22"/>
          <w:szCs w:val="22"/>
          <w:color w:val="auto"/>
        </w:rPr>
      </w:pPr>
    </w:p>
    <w:p>
      <w:pPr>
        <w:ind w:right="220" w:firstLine="8"/>
        <w:spacing w:after="0"/>
        <w:tabs>
          <w:tab w:leader="none" w:pos="306"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spacing w:after="0" w:line="186" w:lineRule="exact"/>
        <w:rPr>
          <w:rFonts w:ascii="Arial" w:cs="Arial" w:eastAsia="Arial" w:hAnsi="Arial"/>
          <w:sz w:val="22"/>
          <w:szCs w:val="22"/>
          <w:color w:val="auto"/>
        </w:rPr>
      </w:pPr>
    </w:p>
    <w:p>
      <w:pPr>
        <w:ind w:right="40" w:firstLine="8"/>
        <w:spacing w:after="0" w:line="328" w:lineRule="auto"/>
        <w:tabs>
          <w:tab w:leader="none" w:pos="294"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occurrence of any ERISA Event that, alone or together with any other ERISA Events that have occurred, could reasonably be expected to result in liability of the Borrower and its Subsidiaries in an aggregate amount exceeding $5,000,000; and</w:t>
      </w:r>
    </w:p>
    <w:p>
      <w:pPr>
        <w:spacing w:after="0" w:line="104" w:lineRule="exact"/>
        <w:rPr>
          <w:rFonts w:ascii="Arial" w:cs="Arial" w:eastAsia="Arial" w:hAnsi="Arial"/>
          <w:sz w:val="19"/>
          <w:szCs w:val="19"/>
          <w:color w:val="auto"/>
        </w:rPr>
      </w:pPr>
    </w:p>
    <w:p>
      <w:pPr>
        <w:ind w:left="320" w:hanging="312"/>
        <w:spacing w:after="0"/>
        <w:tabs>
          <w:tab w:leader="none" w:pos="320" w:val="left"/>
        </w:tabs>
        <w:numPr>
          <w:ilvl w:val="0"/>
          <w:numId w:val="96"/>
        </w:numPr>
        <w:rPr>
          <w:rFonts w:ascii="Arial" w:cs="Arial" w:eastAsia="Arial" w:hAnsi="Arial"/>
          <w:sz w:val="22"/>
          <w:szCs w:val="22"/>
          <w:color w:val="auto"/>
        </w:rPr>
      </w:pPr>
      <w:r>
        <w:rPr>
          <w:rFonts w:ascii="Arial" w:cs="Arial" w:eastAsia="Arial" w:hAnsi="Arial"/>
          <w:sz w:val="22"/>
          <w:szCs w:val="22"/>
          <w:color w:val="auto"/>
        </w:rPr>
        <w:t>any other development that results in, or could reasonably be expected to result in, a Material Adverse Effect.</w:t>
      </w:r>
    </w:p>
    <w:p>
      <w:pPr>
        <w:spacing w:after="0" w:line="206"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86"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u w:val="single" w:color="auto"/>
          <w:color w:val="auto"/>
        </w:rPr>
        <w:t>Existence: Conduct of Business</w:t>
      </w:r>
      <w:r>
        <w:rPr>
          <w:rFonts w:ascii="Arial" w:cs="Arial" w:eastAsia="Arial" w:hAnsi="Arial"/>
          <w:sz w:val="22"/>
          <w:szCs w:val="22"/>
          <w:color w:val="auto"/>
        </w:rPr>
        <w:t>. The Borrower will, and will cause each of its Subsidiaries to, do or cause to be done all things necessary to preserve, renew and keep in full force and effect its legal existence and the rights, licenses, permits, privileges and franchises material to the conduct of its business; provided that the foregoing shall not prohibit any merger, consolidation, liquidation or dissolution permitted under Section 6.03.</w:t>
      </w:r>
    </w:p>
    <w:p>
      <w:pPr>
        <w:spacing w:after="0" w:line="185"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 xml:space="preserve">SECTION 5.04. </w:t>
      </w:r>
      <w:r>
        <w:rPr>
          <w:rFonts w:ascii="Arial" w:cs="Arial" w:eastAsia="Arial" w:hAnsi="Arial"/>
          <w:sz w:val="21"/>
          <w:szCs w:val="21"/>
          <w:u w:val="single" w:color="auto"/>
          <w:color w:val="auto"/>
        </w:rPr>
        <w:t>Payment of Obligations</w:t>
      </w:r>
      <w:r>
        <w:rPr>
          <w:rFonts w:ascii="Arial" w:cs="Arial" w:eastAsia="Arial" w:hAnsi="Arial"/>
          <w:sz w:val="21"/>
          <w:szCs w:val="21"/>
          <w:color w:val="auto"/>
        </w:rPr>
        <w:t>. The Borrower will, and will cause each of its Subsidiaries to, pay its obligations, including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77"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Maintenance of Properties; Insurance</w:t>
      </w:r>
      <w:r>
        <w:rPr>
          <w:rFonts w:ascii="Arial" w:cs="Arial" w:eastAsia="Arial" w:hAnsi="Arial"/>
          <w:sz w:val="22"/>
          <w:szCs w:val="22"/>
          <w:color w:val="auto"/>
        </w:rPr>
        <w:t>. The Borrower will, and will cause each of its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5.06. </w:t>
      </w:r>
      <w:r>
        <w:rPr>
          <w:rFonts w:ascii="Arial" w:cs="Arial" w:eastAsia="Arial" w:hAnsi="Arial"/>
          <w:sz w:val="22"/>
          <w:szCs w:val="22"/>
          <w:u w:val="single" w:color="auto"/>
          <w:color w:val="auto"/>
        </w:rPr>
        <w:t>Books and Records; Inspection and Audit Rights</w:t>
      </w:r>
      <w:r>
        <w:rPr>
          <w:rFonts w:ascii="Arial" w:cs="Arial" w:eastAsia="Arial" w:hAnsi="Arial"/>
          <w:sz w:val="22"/>
          <w:szCs w:val="22"/>
          <w:color w:val="auto"/>
        </w:rPr>
        <w:t>.</w:t>
      </w:r>
    </w:p>
    <w:p>
      <w:pPr>
        <w:spacing w:after="0" w:line="206" w:lineRule="exact"/>
        <w:rPr>
          <w:sz w:val="20"/>
          <w:szCs w:val="20"/>
          <w:color w:val="auto"/>
        </w:rPr>
      </w:pPr>
    </w:p>
    <w:p>
      <w:pPr>
        <w:ind w:firstLine="8"/>
        <w:spacing w:after="0" w:line="279" w:lineRule="auto"/>
        <w:tabs>
          <w:tab w:leader="none" w:pos="294"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Books and Records; Inspection Rights</w:t>
      </w:r>
      <w:r>
        <w:rPr>
          <w:rFonts w:ascii="Arial" w:cs="Arial" w:eastAsia="Arial" w:hAnsi="Arial"/>
          <w:sz w:val="19"/>
          <w:szCs w:val="19"/>
          <w:color w:val="auto"/>
        </w:rPr>
        <w:t>. The Borrower will, and will cause each of its Subsidiaries to, keep books of record and account in accordance with GAAP. The Borrower will, and will cause each of its Subsidiaries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provided that the Borrower or such Subsidiary shall be entitled to have its representatives and advisors present during any inspection of its books and records.</w:t>
      </w:r>
    </w:p>
    <w:p>
      <w:pPr>
        <w:spacing w:after="0" w:line="150" w:lineRule="exact"/>
        <w:rPr>
          <w:rFonts w:ascii="Arial" w:cs="Arial" w:eastAsia="Arial" w:hAnsi="Arial"/>
          <w:sz w:val="19"/>
          <w:szCs w:val="19"/>
          <w:color w:val="auto"/>
        </w:rPr>
      </w:pPr>
    </w:p>
    <w:p>
      <w:pPr>
        <w:ind w:right="60" w:firstLine="8"/>
        <w:spacing w:after="0" w:line="244" w:lineRule="auto"/>
        <w:tabs>
          <w:tab w:leader="none" w:pos="306"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Audit Rights</w:t>
      </w:r>
      <w:r>
        <w:rPr>
          <w:rFonts w:ascii="Arial" w:cs="Arial" w:eastAsia="Arial" w:hAnsi="Arial"/>
          <w:sz w:val="21"/>
          <w:szCs w:val="21"/>
          <w:color w:val="auto"/>
        </w:rPr>
        <w:t>. The Borrower will, and will cause each of its Subsidiaries to, permit any representatives designated by Administrative Agent (including any consultants, accountants, lawyers and appraisers retained by the Administrative Agent) to conduct evaluations and appraisals of the Borrower's computation of the Borrowing Base and the assets included in the Borrowing Base, all at such reasonable times and as often as reasonably requested. The Borrower shall pay the reasonable fees and expenses of any representatives retained by the Administrative Agent to conduct any such evaluation or appraisal; provided that the Borrower shall not be required to pay such fees and expenses for more than one such evaluation or appraisal during any calendar year unless an Event of Default has occurred and is continuing at the time of any subsequent evaluation or appraisal during such calendar year. The Borrower also agrees to modify or adjust the computation of the Borrowing Base to the extent req uired by the Administrative Agent or the Required Lenders as a result of any such evaluation or appraisal, provided that if the Borrower demonstrates that such evaluation or appraisal is incorrect, the Borrower shall be permitted to re-adjust its computation of the Borrowing Base.</w:t>
      </w:r>
    </w:p>
    <w:p>
      <w:pPr>
        <w:spacing w:after="0" w:line="188" w:lineRule="exact"/>
        <w:rPr>
          <w:sz w:val="20"/>
          <w:szCs w:val="20"/>
          <w:color w:val="auto"/>
        </w:rPr>
      </w:pPr>
    </w:p>
    <w:p>
      <w:pPr>
        <w:ind w:right="300"/>
        <w:spacing w:after="0" w:line="279"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u w:val="single" w:color="auto"/>
          <w:color w:val="auto"/>
        </w:rPr>
        <w:t>Certain Obligations Respecting Subsidiaries; Further Assurances</w:t>
      </w:r>
      <w:r>
        <w:rPr>
          <w:rFonts w:ascii="Arial" w:cs="Arial" w:eastAsia="Arial" w:hAnsi="Arial"/>
          <w:sz w:val="22"/>
          <w:szCs w:val="22"/>
          <w:color w:val="auto"/>
        </w:rPr>
        <w:t>.</w:t>
      </w:r>
    </w:p>
    <w:p>
      <w:pPr>
        <w:spacing w:after="0" w:line="206" w:lineRule="exact"/>
        <w:rPr>
          <w:sz w:val="20"/>
          <w:szCs w:val="20"/>
          <w:color w:val="auto"/>
        </w:rPr>
      </w:pPr>
    </w:p>
    <w:p>
      <w:pPr>
        <w:jc w:val="both"/>
        <w:ind w:right="480" w:firstLine="8"/>
        <w:spacing w:after="0" w:line="297" w:lineRule="auto"/>
        <w:tabs>
          <w:tab w:leader="none" w:pos="294"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Subsidiary Guarantors</w:t>
      </w:r>
      <w:r>
        <w:rPr>
          <w:rFonts w:ascii="Arial" w:cs="Arial" w:eastAsia="Arial" w:hAnsi="Arial"/>
          <w:sz w:val="19"/>
          <w:szCs w:val="19"/>
          <w:color w:val="auto"/>
        </w:rPr>
        <w:t>. In the event that the Borrower or any of its Subsidiaries shall form or acquire any new Subsidiary (other than a Financing Subsidiary) the Borrower will cause such new Subsidiary to become a "Subsidiary Guarantor" (and, thereby, an "Obligor") under the Guarantee and Security Agreement pursuant to a Guarantee Assumption Agreement and to</w:t>
      </w:r>
    </w:p>
    <w:p>
      <w:pPr>
        <w:sectPr>
          <w:pgSz w:w="11900" w:h="16838" w:orient="portrait"/>
          <w:cols w:equalWidth="0" w:num="1">
            <w:col w:w="11240"/>
          </w:cols>
          <w:pgMar w:left="320" w:top="118" w:right="339" w:bottom="0" w:gutter="0" w:footer="0" w:header="0"/>
        </w:sectPr>
      </w:pPr>
    </w:p>
    <w:bookmarkStart w:id="36" w:name="page37"/>
    <w:bookmarkEnd w:id="36"/>
    <w:p>
      <w:pPr>
        <w:jc w:val="both"/>
        <w:ind w:right="100"/>
        <w:spacing w:after="0"/>
        <w:rPr>
          <w:sz w:val="20"/>
          <w:szCs w:val="20"/>
          <w:color w:val="auto"/>
        </w:rPr>
      </w:pPr>
      <w:r>
        <w:rPr>
          <w:rFonts w:ascii="Arial" w:cs="Arial" w:eastAsia="Arial" w:hAnsi="Arial"/>
          <w:sz w:val="22"/>
          <w:szCs w:val="22"/>
          <w:color w:val="auto"/>
        </w:rPr>
        <w:t>deliver such proof of corporate or other action, incumbency of officers, opinions of counsel and other documents as is consistent with those delivered by the Borrower pursuant to Section 4.01 upon the Effective Date or as the Administrative Agent shall have requested.</w:t>
      </w:r>
    </w:p>
    <w:p>
      <w:pPr>
        <w:spacing w:after="0" w:line="187" w:lineRule="exact"/>
        <w:rPr>
          <w:sz w:val="20"/>
          <w:szCs w:val="20"/>
          <w:color w:val="auto"/>
        </w:rPr>
      </w:pPr>
    </w:p>
    <w:p>
      <w:pPr>
        <w:ind w:right="220" w:firstLine="8"/>
        <w:spacing w:after="0" w:line="250" w:lineRule="auto"/>
        <w:tabs>
          <w:tab w:leader="none" w:pos="306"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Ownership of Subsidiaries</w:t>
      </w:r>
      <w:r>
        <w:rPr>
          <w:rFonts w:ascii="Arial" w:cs="Arial" w:eastAsia="Arial" w:hAnsi="Arial"/>
          <w:sz w:val="22"/>
          <w:szCs w:val="22"/>
          <w:color w:val="auto"/>
        </w:rPr>
        <w:t>. The Borrower will, and will cause each of its Subsidiaries to, take such action from time to time as shall be necessary to ensure that each of its Subsidiaries is a wholly owned Subsidiary.</w:t>
      </w:r>
    </w:p>
    <w:p>
      <w:pPr>
        <w:spacing w:after="0" w:line="174" w:lineRule="exact"/>
        <w:rPr>
          <w:rFonts w:ascii="Arial" w:cs="Arial" w:eastAsia="Arial" w:hAnsi="Arial"/>
          <w:sz w:val="22"/>
          <w:szCs w:val="22"/>
          <w:color w:val="auto"/>
        </w:rPr>
      </w:pPr>
    </w:p>
    <w:p>
      <w:pPr>
        <w:ind w:right="20" w:firstLine="8"/>
        <w:spacing w:after="0" w:line="271" w:lineRule="auto"/>
        <w:tabs>
          <w:tab w:leader="none" w:pos="294"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Lenders (and any affiliate thereof that is a party to any Hedging Agreement entered into with the Borrower) and the holders of any Secured Longer-Term Indebtedness, perfected security interests and Liens in the Collateral; provided that any such security interest or Lien shall be sub ject to the relevant requirements of the Security Documents and (ii) to cause any bank or securities intermediary (within the meaning of the Uniform Commercial Code) to enter into such arrangements with the Collateral Agent as shall be appropriate in order that the Collateral Agent has "control" (within the meaning of the Uniform Commercial Code) over each bank account or securities account of the Obligors, and in that connection, the Borrower agrees to cause all cash and other proceeds of Portfolio Investments received by any Obligor to be promptly deposited into such an account (or otherwise delivered to, or registered in the name of, the Collateral Agent) and, until such deposit, delivery or registration such cash and other proceeds shall be held in trust by the Borrower for and as the property of the Collateral Agent and shall not be commingled with any other finds or property of such Obligor.</w:t>
      </w:r>
    </w:p>
    <w:p>
      <w:pPr>
        <w:spacing w:after="0" w:line="160"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 xml:space="preserve">SECTION 5.09. </w:t>
      </w:r>
      <w:r>
        <w:rPr>
          <w:rFonts w:ascii="Arial" w:cs="Arial" w:eastAsia="Arial" w:hAnsi="Arial"/>
          <w:sz w:val="21"/>
          <w:szCs w:val="21"/>
          <w:u w:val="single" w:color="auto"/>
          <w:color w:val="auto"/>
        </w:rPr>
        <w:t>Use of Proceeds</w:t>
      </w:r>
      <w:r>
        <w:rPr>
          <w:rFonts w:ascii="Arial" w:cs="Arial" w:eastAsia="Arial" w:hAnsi="Arial"/>
          <w:sz w:val="21"/>
          <w:szCs w:val="21"/>
          <w:color w:val="auto"/>
        </w:rPr>
        <w:t>. The Borrower will use the proceeds of the Loans only for general corporate purposes of the Borrower in the ordinary course of business, including the acquisition and funding (either directly or through one or more wholly-owned Subsidiaries) of leveraged loans, mezzanine loans, high-yield securities, convertible securities, preferred stock, common stock and other Portfolio Investments; provided that neither the Administrative Agent nor any Lender shall have any responsibility as to the use of any of such proceeds. No part of the proceeds of any Loan will be used in violation of applicable law or, directly or indirectly, for the purpose, whether immediate, incidental or ultimate, of buying or carrying any Margin Stock. Margin Stock shall be purchased by the Obligors only with the proceeds of Indebtedness not directly or indirectly secured by Margin Stock, or with the proceeds of equity capital of the Borrower.</w:t>
      </w:r>
    </w:p>
    <w:p>
      <w:pPr>
        <w:spacing w:after="0" w:line="180"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Status of RIC and BDC</w:t>
      </w:r>
      <w:r>
        <w:rPr>
          <w:rFonts w:ascii="Arial" w:cs="Arial" w:eastAsia="Arial" w:hAnsi="Arial"/>
          <w:sz w:val="22"/>
          <w:szCs w:val="22"/>
          <w:color w:val="auto"/>
        </w:rPr>
        <w:t>. The Borrower shall at all times maintain its status as a RIC under the Code, and as a "business development company" under the Investment Company Act.</w:t>
      </w:r>
    </w:p>
    <w:p>
      <w:pPr>
        <w:spacing w:after="0" w:line="175"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Investment Policies</w:t>
      </w:r>
      <w:r>
        <w:rPr>
          <w:rFonts w:ascii="Arial" w:cs="Arial" w:eastAsia="Arial" w:hAnsi="Arial"/>
          <w:sz w:val="19"/>
          <w:szCs w:val="19"/>
          <w:color w:val="auto"/>
        </w:rPr>
        <w:t>. The Borrower shall at all times be in compliance in all material respects with its Investment Policies; provided that it shall not be deemed a material change in the Investment Policies if (i) investment size (which as of the Effective Date is to normally range from between $5,000,000 and $50,000,000) proportionately increases as the size of the Borrower's capital base changes or (ii) the Borrower and its Subsidiaries invest up to 30% of their assets in non-U.S. companies.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Portfolio Valuation and Diversification Etc</w:t>
      </w:r>
      <w:r>
        <w:rPr>
          <w:rFonts w:ascii="Arial" w:cs="Arial" w:eastAsia="Arial" w:hAnsi="Arial"/>
          <w:sz w:val="22"/>
          <w:szCs w:val="22"/>
          <w:color w:val="auto"/>
        </w:rPr>
        <w:t>.</w:t>
      </w:r>
    </w:p>
    <w:p>
      <w:pPr>
        <w:spacing w:after="0" w:line="206" w:lineRule="exact"/>
        <w:rPr>
          <w:sz w:val="20"/>
          <w:szCs w:val="20"/>
          <w:color w:val="auto"/>
        </w:rPr>
      </w:pPr>
    </w:p>
    <w:p>
      <w:pPr>
        <w:ind w:right="80" w:firstLine="8"/>
        <w:spacing w:after="0" w:line="248" w:lineRule="auto"/>
        <w:tabs>
          <w:tab w:leader="none" w:pos="294"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Industry Classification Groups</w:t>
      </w:r>
      <w:r>
        <w:rPr>
          <w:rFonts w:ascii="Arial" w:cs="Arial" w:eastAsia="Arial" w:hAnsi="Arial"/>
          <w:sz w:val="21"/>
          <w:szCs w:val="21"/>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notice to the Administrative Agent and each Lender to create up to three additional industry classification groups for purposes of this Agreement.</w:t>
      </w:r>
    </w:p>
    <w:p>
      <w:pPr>
        <w:spacing w:after="0" w:line="176" w:lineRule="exact"/>
        <w:rPr>
          <w:rFonts w:ascii="Arial" w:cs="Arial" w:eastAsia="Arial" w:hAnsi="Arial"/>
          <w:sz w:val="21"/>
          <w:szCs w:val="21"/>
          <w:color w:val="auto"/>
        </w:rPr>
      </w:pPr>
    </w:p>
    <w:p>
      <w:pPr>
        <w:ind w:left="320" w:hanging="312"/>
        <w:spacing w:after="0"/>
        <w:tabs>
          <w:tab w:leader="none" w:pos="32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Portfolio Valuation Etc</w:t>
      </w:r>
      <w:r>
        <w:rPr>
          <w:rFonts w:ascii="Arial" w:cs="Arial" w:eastAsia="Arial" w:hAnsi="Arial"/>
          <w:sz w:val="22"/>
          <w:szCs w:val="22"/>
          <w:color w:val="auto"/>
        </w:rPr>
        <w:t>.</w:t>
      </w:r>
    </w:p>
    <w:p>
      <w:pPr>
        <w:spacing w:after="0" w:line="206" w:lineRule="exact"/>
        <w:rPr>
          <w:sz w:val="20"/>
          <w:szCs w:val="20"/>
          <w:color w:val="auto"/>
        </w:rPr>
      </w:pPr>
    </w:p>
    <w:p>
      <w:pPr>
        <w:ind w:right="20" w:firstLine="8"/>
        <w:spacing w:after="0" w:line="249" w:lineRule="auto"/>
        <w:tabs>
          <w:tab w:leader="none" w:pos="258"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Settlement Date Basis</w:t>
      </w:r>
      <w:r>
        <w:rPr>
          <w:rFonts w:ascii="Arial" w:cs="Arial" w:eastAsia="Arial" w:hAnsi="Arial"/>
          <w:sz w:val="21"/>
          <w:szCs w:val="21"/>
          <w:color w:val="auto"/>
        </w:rPr>
        <w:t>.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provided that no such investment shall be included as a Portfolio Investment to the extent it has not been paid for in full.</w:t>
      </w:r>
    </w:p>
    <w:p>
      <w:pPr>
        <w:spacing w:after="0" w:line="178" w:lineRule="exact"/>
        <w:rPr>
          <w:rFonts w:ascii="Arial" w:cs="Arial" w:eastAsia="Arial" w:hAnsi="Arial"/>
          <w:sz w:val="21"/>
          <w:szCs w:val="21"/>
          <w:color w:val="auto"/>
        </w:rPr>
      </w:pPr>
    </w:p>
    <w:p>
      <w:pPr>
        <w:ind w:right="40" w:firstLine="8"/>
        <w:spacing w:after="0" w:line="250" w:lineRule="auto"/>
        <w:tabs>
          <w:tab w:leader="none" w:pos="318"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Determination of Values</w:t>
      </w:r>
      <w:r>
        <w:rPr>
          <w:rFonts w:ascii="Arial" w:cs="Arial" w:eastAsia="Arial" w:hAnsi="Arial"/>
          <w:sz w:val="22"/>
          <w:szCs w:val="22"/>
          <w:color w:val="auto"/>
        </w:rPr>
        <w:t>. The Borrower will conduct reviews of the value to be assigned to each of its Portfolio Investment as follows:</w:t>
      </w:r>
    </w:p>
    <w:p>
      <w:pPr>
        <w:spacing w:after="0" w:line="175" w:lineRule="exact"/>
        <w:rPr>
          <w:sz w:val="20"/>
          <w:szCs w:val="20"/>
          <w:color w:val="auto"/>
        </w:rPr>
      </w:pPr>
    </w:p>
    <w:p>
      <w:pPr>
        <w:ind w:firstLine="8"/>
        <w:spacing w:after="0" w:line="238" w:lineRule="auto"/>
        <w:tabs>
          <w:tab w:leader="none" w:pos="354"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Quoted Investments External Review</w:t>
      </w:r>
      <w:r>
        <w:rPr>
          <w:rFonts w:ascii="Arial" w:cs="Arial" w:eastAsia="Arial" w:hAnsi="Arial"/>
          <w:sz w:val="22"/>
          <w:szCs w:val="22"/>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185" w:lineRule="exact"/>
        <w:rPr>
          <w:sz w:val="20"/>
          <w:szCs w:val="20"/>
          <w:color w:val="auto"/>
        </w:rPr>
      </w:pPr>
    </w:p>
    <w:p>
      <w:pPr>
        <w:ind w:right="260" w:firstLine="8"/>
        <w:spacing w:after="0" w:line="250" w:lineRule="auto"/>
        <w:tabs>
          <w:tab w:leader="none" w:pos="35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in the case of public and 144A securities, the average of the bid prices as determined by two Approved Dealers selected by the Borrower,</w:t>
      </w:r>
    </w:p>
    <w:p>
      <w:pPr>
        <w:spacing w:after="0" w:line="174" w:lineRule="exact"/>
        <w:rPr>
          <w:rFonts w:ascii="Arial" w:cs="Arial" w:eastAsia="Arial" w:hAnsi="Arial"/>
          <w:sz w:val="22"/>
          <w:szCs w:val="22"/>
          <w:color w:val="auto"/>
        </w:rPr>
      </w:pPr>
    </w:p>
    <w:p>
      <w:pPr>
        <w:ind w:left="320" w:hanging="312"/>
        <w:spacing w:after="0"/>
        <w:tabs>
          <w:tab w:leader="none" w:pos="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in the case of bank loans, the bid price as determined by one Approved Dealer selected by the Borrower,</w:t>
      </w:r>
    </w:p>
    <w:p>
      <w:pPr>
        <w:sectPr>
          <w:pgSz w:w="11900" w:h="16838" w:orient="portrait"/>
          <w:cols w:equalWidth="0" w:num="1">
            <w:col w:w="11240"/>
          </w:cols>
          <w:pgMar w:left="320" w:top="118" w:right="339" w:bottom="0" w:gutter="0" w:footer="0" w:header="0"/>
        </w:sectPr>
      </w:pPr>
    </w:p>
    <w:bookmarkStart w:id="37" w:name="page38"/>
    <w:bookmarkEnd w:id="37"/>
    <w:p>
      <w:pPr>
        <w:ind w:right="220" w:firstLine="8"/>
        <w:spacing w:after="0" w:line="251" w:lineRule="auto"/>
        <w:tabs>
          <w:tab w:leader="none" w:pos="30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in the case of any Portfolio Investment traded on an exchange, the closing price for such Portfolio Investment most recently posted on such exchange, and</w:t>
      </w:r>
    </w:p>
    <w:p>
      <w:pPr>
        <w:spacing w:after="0" w:line="173" w:lineRule="exact"/>
        <w:rPr>
          <w:rFonts w:ascii="Arial" w:cs="Arial" w:eastAsia="Arial" w:hAnsi="Arial"/>
          <w:sz w:val="22"/>
          <w:szCs w:val="22"/>
          <w:color w:val="auto"/>
        </w:rPr>
      </w:pPr>
    </w:p>
    <w:p>
      <w:pPr>
        <w:ind w:left="300" w:hanging="292"/>
        <w:spacing w:after="0"/>
        <w:tabs>
          <w:tab w:leader="none" w:pos="30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in the case of any other Portfolio Investment, the fair market value thereof as determined by an Approved Pricing Service; and</w:t>
      </w:r>
    </w:p>
    <w:p>
      <w:pPr>
        <w:spacing w:after="0" w:line="241" w:lineRule="exact"/>
        <w:rPr>
          <w:sz w:val="20"/>
          <w:szCs w:val="20"/>
          <w:color w:val="auto"/>
        </w:rPr>
      </w:pPr>
    </w:p>
    <w:p>
      <w:pPr>
        <w:ind w:right="280" w:firstLine="8"/>
        <w:spacing w:after="0" w:line="297" w:lineRule="auto"/>
        <w:tabs>
          <w:tab w:leader="none" w:pos="342"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Unquoted Investments External Review</w:t>
      </w:r>
      <w:r>
        <w:rPr>
          <w:rFonts w:ascii="Arial" w:cs="Arial" w:eastAsia="Arial" w:hAnsi="Arial"/>
          <w:sz w:val="19"/>
          <w:szCs w:val="19"/>
          <w:color w:val="auto"/>
        </w:rPr>
        <w:t>. With respect to Portfolio Investments for which market quotations are not readily available, the Borrower shall request an Approved Third-Party Appraiser to assist the Board of Directors of the Borrower in determining the fair market value of such Portfolio Investments, as at the last day of each fiscal quarter, provided that</w:t>
      </w:r>
    </w:p>
    <w:p>
      <w:pPr>
        <w:spacing w:after="0" w:line="134" w:lineRule="exact"/>
        <w:rPr>
          <w:sz w:val="20"/>
          <w:szCs w:val="20"/>
          <w:color w:val="auto"/>
        </w:rPr>
      </w:pPr>
    </w:p>
    <w:p>
      <w:pPr>
        <w:ind w:right="120" w:firstLine="8"/>
        <w:spacing w:after="0" w:line="273" w:lineRule="auto"/>
        <w:tabs>
          <w:tab w:leader="none" w:pos="30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Value of any such Portfolio Investment (i.e. a Portfolio Investment for which market quotations are not readily available) acquired during a fiscal quarter shall be deemed to be equal to the cost of such Portfolio Investment until such time as the fair market value of such Portfolio Investment is determined in accordance with the foregoing provisions of this sub-clause</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 as at the last day of such fiscal quarter and</w:t>
      </w:r>
    </w:p>
    <w:p>
      <w:pPr>
        <w:spacing w:after="0" w:line="188" w:lineRule="exact"/>
        <w:rPr>
          <w:rFonts w:ascii="Arial" w:cs="Arial" w:eastAsia="Arial" w:hAnsi="Arial"/>
          <w:sz w:val="19"/>
          <w:szCs w:val="19"/>
          <w:color w:val="auto"/>
        </w:rPr>
      </w:pPr>
    </w:p>
    <w:p>
      <w:pPr>
        <w:ind w:firstLine="8"/>
        <w:spacing w:after="0" w:line="246" w:lineRule="auto"/>
        <w:tabs>
          <w:tab w:leader="none" w:pos="306" w:val="left"/>
        </w:tabs>
        <w:numPr>
          <w:ilvl w:val="0"/>
          <w:numId w:val="106"/>
        </w:numPr>
        <w:rPr>
          <w:rFonts w:ascii="Arial" w:cs="Arial" w:eastAsia="Arial" w:hAnsi="Arial"/>
          <w:sz w:val="21"/>
          <w:szCs w:val="21"/>
          <w:color w:val="auto"/>
        </w:rPr>
      </w:pPr>
      <w:r>
        <w:rPr>
          <w:rFonts w:ascii="Arial" w:cs="Arial" w:eastAsia="Arial" w:hAnsi="Arial"/>
          <w:sz w:val="21"/>
          <w:szCs w:val="21"/>
          <w:color w:val="auto"/>
        </w:rPr>
        <w:t>notwithstanding the foregoing, the Board of Directors of the Borrower may, without the assistance of an Approved Third-Party Appraiser, determine the fair market value of such unquoted Portfolio Investments so long as the aggregate Value thereof so determined does not at any time exceed 10% of the aggregate Borrowing Base, except that the fair market value of any Portfolio Investment that has been determined without the assistance of an Approved Third-Party Appraiser as at the last day of any fiscal quarter shall be deemed to be zero as at the last day of the immediately succeeding fiscal quarter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w:t>
      </w:r>
    </w:p>
    <w:p>
      <w:pPr>
        <w:spacing w:after="0" w:line="180" w:lineRule="exact"/>
        <w:rPr>
          <w:sz w:val="20"/>
          <w:szCs w:val="20"/>
          <w:color w:val="auto"/>
        </w:rPr>
      </w:pPr>
    </w:p>
    <w:p>
      <w:pPr>
        <w:ind w:right="220" w:firstLine="8"/>
        <w:spacing w:after="0" w:line="273" w:lineRule="auto"/>
        <w:tabs>
          <w:tab w:leader="none" w:pos="342"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Internal Review</w:t>
      </w:r>
      <w:r>
        <w:rPr>
          <w:rFonts w:ascii="Arial" w:cs="Arial" w:eastAsia="Arial" w:hAnsi="Arial"/>
          <w:sz w:val="19"/>
          <w:szCs w:val="19"/>
          <w:color w:val="auto"/>
        </w:rPr>
        <w:t>. The Borrower shall conduct internal reviews of all Portfolio Investments at least once each calendar week which shall take into account any events of which the Borrower has knowledge that adversely affect the value of the Portfolio Investments. If the value of any Portfolio Investment as most recently determined by the Borrower pursuant to this</w:t>
      </w:r>
    </w:p>
    <w:p>
      <w:pPr>
        <w:spacing w:after="0" w:line="1" w:lineRule="exact"/>
        <w:rPr>
          <w:rFonts w:ascii="Arial" w:cs="Arial" w:eastAsia="Arial" w:hAnsi="Arial"/>
          <w:sz w:val="19"/>
          <w:szCs w:val="19"/>
          <w:color w:val="auto"/>
        </w:rPr>
      </w:pPr>
    </w:p>
    <w:p>
      <w:pPr>
        <w:spacing w:after="0" w:line="230" w:lineRule="auto"/>
        <w:rPr>
          <w:rFonts w:ascii="Arial" w:cs="Arial" w:eastAsia="Arial" w:hAnsi="Arial"/>
          <w:sz w:val="19"/>
          <w:szCs w:val="19"/>
          <w:color w:val="auto"/>
        </w:rPr>
      </w:pPr>
      <w:r>
        <w:rPr>
          <w:rFonts w:ascii="Arial" w:cs="Arial" w:eastAsia="Arial" w:hAnsi="Arial"/>
          <w:sz w:val="22"/>
          <w:szCs w:val="22"/>
          <w:color w:val="auto"/>
        </w:rPr>
        <w:t>Section 5.12(b)(ii)(C) is lower than the value of such Portfolio Investment as most recently determined pursuant to</w:t>
      </w:r>
    </w:p>
    <w:p>
      <w:pPr>
        <w:ind w:right="340"/>
        <w:spacing w:after="0" w:line="275" w:lineRule="auto"/>
        <w:rPr>
          <w:rFonts w:ascii="Arial" w:cs="Arial" w:eastAsia="Arial" w:hAnsi="Arial"/>
          <w:sz w:val="19"/>
          <w:szCs w:val="19"/>
          <w:color w:val="auto"/>
        </w:rPr>
      </w:pPr>
      <w:r>
        <w:rPr>
          <w:rFonts w:ascii="Arial" w:cs="Arial" w:eastAsia="Arial" w:hAnsi="Arial"/>
          <w:sz w:val="19"/>
          <w:szCs w:val="19"/>
          <w:color w:val="auto"/>
        </w:rPr>
        <w:t xml:space="preserve">Section 5.12(b)(ii)(A) and (B), such lower value shall be deemed to be the "Value" of such Portfolio Investment for purposes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 realized gain or net unrealized loss, on any date, to be equal to the aggregate amount receivable or payable under the related Hedging Agreement if the same were terminated on such date).</w:t>
      </w:r>
    </w:p>
    <w:p>
      <w:pPr>
        <w:spacing w:after="0" w:line="153" w:lineRule="exact"/>
        <w:rPr>
          <w:rFonts w:ascii="Arial" w:cs="Arial" w:eastAsia="Arial" w:hAnsi="Arial"/>
          <w:sz w:val="19"/>
          <w:szCs w:val="19"/>
          <w:color w:val="auto"/>
        </w:rPr>
      </w:pPr>
    </w:p>
    <w:p>
      <w:pPr>
        <w:ind w:firstLine="8"/>
        <w:spacing w:after="0"/>
        <w:tabs>
          <w:tab w:leader="none" w:pos="354"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Failure to Determine Values</w:t>
      </w:r>
      <w:r>
        <w:rPr>
          <w:rFonts w:ascii="Arial" w:cs="Arial" w:eastAsia="Arial" w:hAnsi="Arial"/>
          <w:sz w:val="22"/>
          <w:szCs w:val="22"/>
          <w:color w:val="auto"/>
        </w:rPr>
        <w:t>. If the Borrower shall fail to determine the value of any Portfolio Investment as at any date pursuant to the requirements of the foregoing sub-clauses (A), (B) or (C), then the "Value" of such Portfolio Investment as at such date shall be deemed to be zero.</w:t>
      </w:r>
    </w:p>
    <w:p>
      <w:pPr>
        <w:spacing w:after="0" w:line="186" w:lineRule="exact"/>
        <w:rPr>
          <w:sz w:val="20"/>
          <w:szCs w:val="20"/>
          <w:color w:val="auto"/>
        </w:rPr>
      </w:pPr>
    </w:p>
    <w:p>
      <w:pPr>
        <w:ind w:right="100" w:firstLine="8"/>
        <w:spacing w:after="0" w:line="236" w:lineRule="auto"/>
        <w:tabs>
          <w:tab w:leader="none" w:pos="294"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Investment Company Diversification Requirements</w:t>
      </w:r>
      <w:r>
        <w:rPr>
          <w:rFonts w:ascii="Arial" w:cs="Arial" w:eastAsia="Arial" w:hAnsi="Arial"/>
          <w:sz w:val="22"/>
          <w:szCs w:val="22"/>
          <w:color w:val="auto"/>
        </w:rPr>
        <w:t>. The Borrower will, and will cause its Subsidiaries (other than Financing Subsidiaries that are exempt from the Investment Company Act) at all times to (i) comply in all material respects with the portfolio diversification and similar requirements set forth in the Investment Company Act applicable to business development companies and (ii) subject to applicable grace periods set forth in the Code, comply with the portfolio diversification and similar requirements set forth in the Code applicable to RIC's.</w:t>
      </w:r>
    </w:p>
    <w:p>
      <w:pPr>
        <w:spacing w:after="0" w:line="187" w:lineRule="exact"/>
        <w:rPr>
          <w:sz w:val="20"/>
          <w:szCs w:val="20"/>
          <w:color w:val="auto"/>
        </w:rPr>
      </w:pPr>
    </w:p>
    <w:p>
      <w:pPr>
        <w:ind w:right="40"/>
        <w:spacing w:after="0"/>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u w:val="single" w:color="auto"/>
          <w:color w:val="auto"/>
        </w:rPr>
        <w:t>Calculation of Borrowing Base</w:t>
      </w:r>
      <w:r>
        <w:rPr>
          <w:rFonts w:ascii="Arial" w:cs="Arial" w:eastAsia="Arial" w:hAnsi="Arial"/>
          <w:sz w:val="22"/>
          <w:szCs w:val="22"/>
          <w:color w:val="auto"/>
        </w:rPr>
        <w:t>. For purposes of this Agreement, the "Borrowing Base" shall be determined, as at any date of determination, as the sum of the Advance Rates of the Value of each Portfolio Investment (excluding any cash held by the Administrative Agent pursuant to Section 2.05(k)), provided that:</w:t>
      </w:r>
    </w:p>
    <w:p>
      <w:pPr>
        <w:spacing w:after="0" w:line="186" w:lineRule="exact"/>
        <w:rPr>
          <w:sz w:val="20"/>
          <w:szCs w:val="20"/>
          <w:color w:val="auto"/>
        </w:rPr>
      </w:pPr>
    </w:p>
    <w:p>
      <w:pPr>
        <w:ind w:right="120" w:firstLine="8"/>
        <w:spacing w:after="0" w:line="248" w:lineRule="auto"/>
        <w:tabs>
          <w:tab w:leader="none" w:pos="294"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Advance Rate applicable to that portion of the aggregate Value of the Portfolio Investments in a consolidated group of corporations or other entities (collectively, a "</w:t>
      </w:r>
      <w:r>
        <w:rPr>
          <w:rFonts w:ascii="Arial" w:cs="Arial" w:eastAsia="Arial" w:hAnsi="Arial"/>
          <w:sz w:val="21"/>
          <w:szCs w:val="21"/>
          <w:u w:val="single" w:color="auto"/>
          <w:color w:val="auto"/>
        </w:rPr>
        <w:t>Consolidated Group</w:t>
      </w:r>
      <w:r>
        <w:rPr>
          <w:rFonts w:ascii="Arial" w:cs="Arial" w:eastAsia="Arial" w:hAnsi="Arial"/>
          <w:sz w:val="21"/>
          <w:szCs w:val="21"/>
          <w:color w:val="auto"/>
        </w:rPr>
        <w:t xml:space="preserve">"), in accordance with GAAP, that exceeds 10% of Shareholders' Equity of the Borrower (which, for purposes of this calculation shall exclude the aggregate amount of investments in, and advances to, Financing Subsidiaries) shall be 50% of the Advance Rate otherwise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the Portfolio Investments in a single Consolidated Group designated by the Borrower to the Administrative Agent such 10% figure shall be increased to 12.5%;</w:t>
      </w:r>
    </w:p>
    <w:p>
      <w:pPr>
        <w:spacing w:after="0" w:line="176" w:lineRule="exact"/>
        <w:rPr>
          <w:rFonts w:ascii="Arial" w:cs="Arial" w:eastAsia="Arial" w:hAnsi="Arial"/>
          <w:sz w:val="21"/>
          <w:szCs w:val="21"/>
          <w:color w:val="auto"/>
        </w:rPr>
      </w:pPr>
    </w:p>
    <w:p>
      <w:pPr>
        <w:ind w:right="20" w:firstLine="8"/>
        <w:spacing w:after="0" w:line="297" w:lineRule="auto"/>
        <w:tabs>
          <w:tab w:leader="none" w:pos="30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Advance Rate applicable to that portion of the aggregate Value of the Portfolio Investments of all issuers in a consolidated group of corporations or other entities, exceeding 20% of Shareholders' Equity of the Borrower (which, for purposes of this calculation shall exclude the aggregate amount of investments in, and advances to, Financing Subsidiaries) shall be 0%;</w:t>
      </w:r>
    </w:p>
    <w:p>
      <w:pPr>
        <w:spacing w:after="0" w:line="133" w:lineRule="exact"/>
        <w:rPr>
          <w:rFonts w:ascii="Arial" w:cs="Arial" w:eastAsia="Arial" w:hAnsi="Arial"/>
          <w:sz w:val="19"/>
          <w:szCs w:val="19"/>
          <w:color w:val="auto"/>
        </w:rPr>
      </w:pPr>
    </w:p>
    <w:p>
      <w:pPr>
        <w:ind w:right="240" w:firstLine="8"/>
        <w:spacing w:after="0"/>
        <w:tabs>
          <w:tab w:leader="none" w:pos="29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portion of the Borrowing Base attributable to common equity and warrants shall not exceed 25% of the Covered Debt Amount and the Borrowing Base shall be reduced to the extent such portion would otherwise exceed 25% of the Covered Debt Amount;</w:t>
      </w:r>
    </w:p>
    <w:p>
      <w:pPr>
        <w:spacing w:after="0" w:line="186" w:lineRule="exact"/>
        <w:rPr>
          <w:rFonts w:ascii="Arial" w:cs="Arial" w:eastAsia="Arial" w:hAnsi="Arial"/>
          <w:sz w:val="22"/>
          <w:szCs w:val="22"/>
          <w:color w:val="auto"/>
        </w:rPr>
      </w:pPr>
    </w:p>
    <w:p>
      <w:pPr>
        <w:ind w:right="20" w:firstLine="8"/>
        <w:spacing w:after="0" w:line="282" w:lineRule="auto"/>
        <w:tabs>
          <w:tab w:leader="none" w:pos="30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Advance Rate applicable to that portion of the aggregate Value of the Portfolio Investments in any single Industry Classification Group that exceeds 20% of Shareholders' Equity of the Borrower (which for purposes of this calculation shall exclude the aggregate amount of investments in, and advances to, Financing Subsidiaries) shall be 0%, provided that, with respect to the Portfolio Investments in a single Industry Classification Group from time to time designated by the Borrower to the Administrative Agent such 20% figure shall be increased to 30% and, accordingly, only to the extent that the Value for such</w:t>
      </w:r>
    </w:p>
    <w:p>
      <w:pPr>
        <w:sectPr>
          <w:pgSz w:w="11900" w:h="16838" w:orient="portrait"/>
          <w:cols w:equalWidth="0" w:num="1">
            <w:col w:w="11220"/>
          </w:cols>
          <w:pgMar w:left="320" w:top="118" w:right="359" w:bottom="0" w:gutter="0" w:footer="0" w:header="0"/>
        </w:sectPr>
      </w:pPr>
    </w:p>
    <w:bookmarkStart w:id="38" w:name="page39"/>
    <w:bookmarkEnd w:id="38"/>
    <w:p>
      <w:pPr>
        <w:spacing w:after="0" w:line="115"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single Industry Classification Group exceeds 30% of the Shareholders' Equity shall the Advance Rate applicable to such excess Value be 0%; and</w:t>
      </w:r>
    </w:p>
    <w:p>
      <w:pPr>
        <w:spacing w:after="0" w:line="173" w:lineRule="exact"/>
        <w:rPr>
          <w:sz w:val="20"/>
          <w:szCs w:val="20"/>
          <w:color w:val="auto"/>
        </w:rPr>
      </w:pPr>
    </w:p>
    <w:p>
      <w:pPr>
        <w:ind w:right="100" w:firstLine="8"/>
        <w:spacing w:after="0" w:line="238" w:lineRule="auto"/>
        <w:tabs>
          <w:tab w:leader="none" w:pos="29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no Portfolio Investment may be included in the Borrowing Base unless the Collateral Agent maintains a first priority, perfected Lien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As used herein, the following terms have the following meanings:</w:t>
      </w:r>
    </w:p>
    <w:p>
      <w:pPr>
        <w:spacing w:after="0" w:line="206"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 Rate</w:t>
      </w:r>
      <w:r>
        <w:rPr>
          <w:rFonts w:ascii="Arial" w:cs="Arial" w:eastAsia="Arial" w:hAnsi="Arial"/>
          <w:sz w:val="22"/>
          <w:szCs w:val="22"/>
          <w:color w:val="auto"/>
        </w:rPr>
        <w:t>" means, as to any Portfolio Investment and subject to adjustment as provided in Section 5.13(a), (b) and (c), the following percentages with respect to such Portfolio Investment:</w:t>
      </w:r>
    </w:p>
    <w:p>
      <w:pPr>
        <w:spacing w:after="0" w:line="146" w:lineRule="exact"/>
        <w:rPr>
          <w:sz w:val="20"/>
          <w:szCs w:val="20"/>
          <w:color w:val="auto"/>
        </w:rPr>
      </w:pPr>
    </w:p>
    <w:tbl>
      <w:tblPr>
        <w:tblLayout w:type="fixed"/>
        <w:tblInd w:w="1800" w:type="dxa"/>
        <w:tblCellMar>
          <w:top w:w="0" w:type="dxa"/>
          <w:left w:w="0" w:type="dxa"/>
          <w:bottom w:w="0" w:type="dxa"/>
          <w:right w:w="0" w:type="dxa"/>
        </w:tblCellMar>
      </w:tblPr>
      <w:tr>
        <w:trPr>
          <w:trHeight w:val="253"/>
        </w:trPr>
        <w:tc>
          <w:tcPr>
            <w:tcW w:w="1480" w:type="dxa"/>
            <w:vAlign w:val="bottom"/>
          </w:tcPr>
          <w:p>
            <w:pPr>
              <w:spacing w:after="0"/>
              <w:rPr>
                <w:sz w:val="21"/>
                <w:szCs w:val="21"/>
                <w:color w:val="auto"/>
              </w:rPr>
            </w:pPr>
          </w:p>
        </w:tc>
        <w:tc>
          <w:tcPr>
            <w:tcW w:w="3560" w:type="dxa"/>
            <w:vAlign w:val="bottom"/>
            <w:gridSpan w:val="2"/>
          </w:tcPr>
          <w:p>
            <w:pPr>
              <w:spacing w:after="0"/>
              <w:rPr>
                <w:sz w:val="20"/>
                <w:szCs w:val="20"/>
                <w:color w:val="auto"/>
              </w:rPr>
            </w:pPr>
            <w:r>
              <w:rPr>
                <w:rFonts w:ascii="Arial" w:cs="Arial" w:eastAsia="Arial" w:hAnsi="Arial"/>
                <w:sz w:val="22"/>
                <w:szCs w:val="22"/>
                <w:color w:val="auto"/>
              </w:rPr>
              <w:t>Portfolio Investment</w:t>
            </w:r>
          </w:p>
        </w:tc>
        <w:tc>
          <w:tcPr>
            <w:tcW w:w="1340" w:type="dxa"/>
            <w:vAlign w:val="bottom"/>
            <w:gridSpan w:val="2"/>
          </w:tcPr>
          <w:p>
            <w:pPr>
              <w:spacing w:after="0"/>
              <w:rPr>
                <w:sz w:val="20"/>
                <w:szCs w:val="20"/>
                <w:color w:val="auto"/>
              </w:rPr>
            </w:pPr>
            <w:r>
              <w:rPr>
                <w:rFonts w:ascii="Arial" w:cs="Arial" w:eastAsia="Arial" w:hAnsi="Arial"/>
                <w:sz w:val="22"/>
                <w:szCs w:val="22"/>
                <w:color w:val="auto"/>
              </w:rPr>
              <w:t>Quoted</w:t>
            </w:r>
          </w:p>
        </w:tc>
        <w:tc>
          <w:tcPr>
            <w:tcW w:w="860" w:type="dxa"/>
            <w:vAlign w:val="bottom"/>
          </w:tcPr>
          <w:p>
            <w:pPr>
              <w:jc w:val="center"/>
              <w:spacing w:after="0"/>
              <w:rPr>
                <w:sz w:val="20"/>
                <w:szCs w:val="20"/>
                <w:color w:val="auto"/>
              </w:rPr>
            </w:pPr>
            <w:r>
              <w:rPr>
                <w:rFonts w:ascii="Arial" w:cs="Arial" w:eastAsia="Arial" w:hAnsi="Arial"/>
                <w:sz w:val="22"/>
                <w:szCs w:val="22"/>
                <w:color w:val="auto"/>
                <w:w w:val="90"/>
              </w:rPr>
              <w:t>Unquoted</w:t>
            </w:r>
          </w:p>
        </w:tc>
      </w:tr>
      <w:tr>
        <w:trPr>
          <w:trHeight w:val="20"/>
        </w:trPr>
        <w:tc>
          <w:tcPr>
            <w:tcW w:w="148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42"/>
        </w:trPr>
        <w:tc>
          <w:tcPr>
            <w:tcW w:w="5040" w:type="dxa"/>
            <w:vAlign w:val="bottom"/>
            <w:gridSpan w:val="3"/>
          </w:tcPr>
          <w:p>
            <w:pPr>
              <w:spacing w:after="0" w:line="242" w:lineRule="exact"/>
              <w:rPr>
                <w:sz w:val="20"/>
                <w:szCs w:val="20"/>
                <w:color w:val="auto"/>
              </w:rPr>
            </w:pPr>
            <w:r>
              <w:rPr>
                <w:rFonts w:ascii="Arial" w:cs="Arial" w:eastAsia="Arial" w:hAnsi="Arial"/>
                <w:sz w:val="22"/>
                <w:szCs w:val="22"/>
                <w:color w:val="auto"/>
              </w:rPr>
              <w:t>Cash, Cash Equivalents and</w:t>
            </w:r>
          </w:p>
        </w:tc>
        <w:tc>
          <w:tcPr>
            <w:tcW w:w="640" w:type="dxa"/>
            <w:vAlign w:val="bottom"/>
          </w:tcPr>
          <w:p>
            <w:pPr>
              <w:jc w:val="center"/>
              <w:spacing w:after="0" w:line="242" w:lineRule="exact"/>
              <w:rPr>
                <w:sz w:val="20"/>
                <w:szCs w:val="20"/>
                <w:color w:val="auto"/>
              </w:rPr>
            </w:pPr>
            <w:r>
              <w:rPr>
                <w:rFonts w:ascii="Arial" w:cs="Arial" w:eastAsia="Arial" w:hAnsi="Arial"/>
                <w:sz w:val="22"/>
                <w:szCs w:val="22"/>
                <w:color w:val="auto"/>
                <w:w w:val="88"/>
              </w:rPr>
              <w:t>100%</w:t>
            </w:r>
          </w:p>
        </w:tc>
        <w:tc>
          <w:tcPr>
            <w:tcW w:w="700" w:type="dxa"/>
            <w:vAlign w:val="bottom"/>
          </w:tcPr>
          <w:p>
            <w:pPr>
              <w:spacing w:after="0"/>
              <w:rPr>
                <w:sz w:val="21"/>
                <w:szCs w:val="21"/>
                <w:color w:val="auto"/>
              </w:rPr>
            </w:pPr>
          </w:p>
        </w:tc>
        <w:tc>
          <w:tcPr>
            <w:tcW w:w="860" w:type="dxa"/>
            <w:vAlign w:val="bottom"/>
          </w:tcPr>
          <w:p>
            <w:pPr>
              <w:jc w:val="center"/>
              <w:spacing w:after="0" w:line="242" w:lineRule="exact"/>
              <w:rPr>
                <w:sz w:val="20"/>
                <w:szCs w:val="20"/>
                <w:color w:val="auto"/>
              </w:rPr>
            </w:pPr>
            <w:r>
              <w:rPr>
                <w:rFonts w:ascii="Arial" w:cs="Arial" w:eastAsia="Arial" w:hAnsi="Arial"/>
                <w:sz w:val="22"/>
                <w:szCs w:val="22"/>
                <w:color w:val="auto"/>
                <w:w w:val="87"/>
              </w:rPr>
              <w:t>n.a.</w:t>
            </w:r>
          </w:p>
        </w:tc>
      </w:tr>
      <w:tr>
        <w:trPr>
          <w:trHeight w:val="243"/>
        </w:trPr>
        <w:tc>
          <w:tcPr>
            <w:tcW w:w="5040" w:type="dxa"/>
            <w:vAlign w:val="bottom"/>
            <w:gridSpan w:val="3"/>
          </w:tcPr>
          <w:p>
            <w:pPr>
              <w:spacing w:after="0" w:line="243" w:lineRule="exact"/>
              <w:rPr>
                <w:sz w:val="20"/>
                <w:szCs w:val="20"/>
                <w:color w:val="auto"/>
              </w:rPr>
            </w:pPr>
            <w:r>
              <w:rPr>
                <w:rFonts w:ascii="Arial" w:cs="Arial" w:eastAsia="Arial" w:hAnsi="Arial"/>
                <w:sz w:val="22"/>
                <w:szCs w:val="22"/>
                <w:color w:val="auto"/>
              </w:rPr>
              <w:t>Short-Term U.S. Government Securities</w:t>
            </w: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5040" w:type="dxa"/>
            <w:vAlign w:val="bottom"/>
            <w:gridSpan w:val="3"/>
          </w:tcPr>
          <w:p>
            <w:pPr>
              <w:spacing w:after="0" w:line="243" w:lineRule="exact"/>
              <w:rPr>
                <w:sz w:val="20"/>
                <w:szCs w:val="20"/>
                <w:color w:val="auto"/>
              </w:rPr>
            </w:pPr>
            <w:r>
              <w:rPr>
                <w:rFonts w:ascii="Arial" w:cs="Arial" w:eastAsia="Arial" w:hAnsi="Arial"/>
                <w:sz w:val="22"/>
                <w:szCs w:val="22"/>
                <w:color w:val="auto"/>
              </w:rPr>
              <w:t>Long-Term U.S. Government Securities</w:t>
            </w:r>
          </w:p>
        </w:tc>
        <w:tc>
          <w:tcPr>
            <w:tcW w:w="640" w:type="dxa"/>
            <w:vAlign w:val="bottom"/>
          </w:tcPr>
          <w:p>
            <w:pPr>
              <w:jc w:val="center"/>
              <w:spacing w:after="0" w:line="243" w:lineRule="exact"/>
              <w:rPr>
                <w:sz w:val="20"/>
                <w:szCs w:val="20"/>
                <w:color w:val="auto"/>
              </w:rPr>
            </w:pPr>
            <w:r>
              <w:rPr>
                <w:rFonts w:ascii="Arial" w:cs="Arial" w:eastAsia="Arial" w:hAnsi="Arial"/>
                <w:sz w:val="22"/>
                <w:szCs w:val="22"/>
                <w:color w:val="auto"/>
                <w:w w:val="90"/>
              </w:rPr>
              <w:t>95%</w:t>
            </w:r>
          </w:p>
        </w:tc>
        <w:tc>
          <w:tcPr>
            <w:tcW w:w="7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Arial" w:cs="Arial" w:eastAsia="Arial" w:hAnsi="Arial"/>
                <w:sz w:val="22"/>
                <w:szCs w:val="22"/>
                <w:color w:val="auto"/>
                <w:w w:val="87"/>
              </w:rPr>
              <w:t>n.a.</w:t>
            </w:r>
          </w:p>
        </w:tc>
      </w:tr>
      <w:tr>
        <w:trPr>
          <w:trHeight w:val="243"/>
        </w:trPr>
        <w:tc>
          <w:tcPr>
            <w:tcW w:w="5040" w:type="dxa"/>
            <w:vAlign w:val="bottom"/>
            <w:gridSpan w:val="3"/>
          </w:tcPr>
          <w:p>
            <w:pPr>
              <w:spacing w:after="0" w:line="243" w:lineRule="exact"/>
              <w:rPr>
                <w:sz w:val="20"/>
                <w:szCs w:val="20"/>
                <w:color w:val="auto"/>
              </w:rPr>
            </w:pPr>
            <w:r>
              <w:rPr>
                <w:rFonts w:ascii="Arial" w:cs="Arial" w:eastAsia="Arial" w:hAnsi="Arial"/>
                <w:sz w:val="22"/>
                <w:szCs w:val="22"/>
                <w:color w:val="auto"/>
              </w:rPr>
              <w:t>Performing First Lien Bank Loans</w:t>
            </w:r>
          </w:p>
        </w:tc>
        <w:tc>
          <w:tcPr>
            <w:tcW w:w="640" w:type="dxa"/>
            <w:vAlign w:val="bottom"/>
          </w:tcPr>
          <w:p>
            <w:pPr>
              <w:jc w:val="center"/>
              <w:spacing w:after="0" w:line="243" w:lineRule="exact"/>
              <w:rPr>
                <w:sz w:val="20"/>
                <w:szCs w:val="20"/>
                <w:color w:val="auto"/>
              </w:rPr>
            </w:pPr>
            <w:r>
              <w:rPr>
                <w:rFonts w:ascii="Arial" w:cs="Arial" w:eastAsia="Arial" w:hAnsi="Arial"/>
                <w:sz w:val="22"/>
                <w:szCs w:val="22"/>
                <w:color w:val="auto"/>
                <w:w w:val="90"/>
              </w:rPr>
              <w:t>90%</w:t>
            </w:r>
          </w:p>
        </w:tc>
        <w:tc>
          <w:tcPr>
            <w:tcW w:w="7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Arial" w:cs="Arial" w:eastAsia="Arial" w:hAnsi="Arial"/>
                <w:sz w:val="22"/>
                <w:szCs w:val="22"/>
                <w:color w:val="auto"/>
                <w:w w:val="90"/>
              </w:rPr>
              <w:t>80%</w:t>
            </w:r>
          </w:p>
        </w:tc>
      </w:tr>
      <w:tr>
        <w:trPr>
          <w:trHeight w:val="243"/>
        </w:trPr>
        <w:tc>
          <w:tcPr>
            <w:tcW w:w="5040" w:type="dxa"/>
            <w:vAlign w:val="bottom"/>
            <w:gridSpan w:val="3"/>
          </w:tcPr>
          <w:p>
            <w:pPr>
              <w:spacing w:after="0" w:line="243" w:lineRule="exact"/>
              <w:rPr>
                <w:sz w:val="20"/>
                <w:szCs w:val="20"/>
                <w:color w:val="auto"/>
              </w:rPr>
            </w:pPr>
            <w:r>
              <w:rPr>
                <w:rFonts w:ascii="Arial" w:cs="Arial" w:eastAsia="Arial" w:hAnsi="Arial"/>
                <w:sz w:val="22"/>
                <w:szCs w:val="22"/>
                <w:color w:val="auto"/>
              </w:rPr>
              <w:t>Performing Second Lien Bank Loans</w:t>
            </w:r>
          </w:p>
        </w:tc>
        <w:tc>
          <w:tcPr>
            <w:tcW w:w="640" w:type="dxa"/>
            <w:vAlign w:val="bottom"/>
          </w:tcPr>
          <w:p>
            <w:pPr>
              <w:jc w:val="center"/>
              <w:spacing w:after="0" w:line="243" w:lineRule="exact"/>
              <w:rPr>
                <w:sz w:val="20"/>
                <w:szCs w:val="20"/>
                <w:color w:val="auto"/>
              </w:rPr>
            </w:pPr>
            <w:r>
              <w:rPr>
                <w:rFonts w:ascii="Arial" w:cs="Arial" w:eastAsia="Arial" w:hAnsi="Arial"/>
                <w:sz w:val="22"/>
                <w:szCs w:val="22"/>
                <w:color w:val="auto"/>
                <w:w w:val="90"/>
              </w:rPr>
              <w:t>80%</w:t>
            </w:r>
          </w:p>
        </w:tc>
        <w:tc>
          <w:tcPr>
            <w:tcW w:w="7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Arial" w:cs="Arial" w:eastAsia="Arial" w:hAnsi="Arial"/>
                <w:sz w:val="22"/>
                <w:szCs w:val="22"/>
                <w:color w:val="auto"/>
                <w:w w:val="90"/>
              </w:rPr>
              <w:t>70%</w:t>
            </w:r>
          </w:p>
        </w:tc>
      </w:tr>
      <w:tr>
        <w:trPr>
          <w:trHeight w:val="243"/>
        </w:trPr>
        <w:tc>
          <w:tcPr>
            <w:tcW w:w="5040" w:type="dxa"/>
            <w:vAlign w:val="bottom"/>
            <w:gridSpan w:val="3"/>
          </w:tcPr>
          <w:p>
            <w:pPr>
              <w:spacing w:after="0" w:line="243" w:lineRule="exact"/>
              <w:rPr>
                <w:sz w:val="20"/>
                <w:szCs w:val="20"/>
                <w:color w:val="auto"/>
              </w:rPr>
            </w:pPr>
            <w:r>
              <w:rPr>
                <w:rFonts w:ascii="Arial" w:cs="Arial" w:eastAsia="Arial" w:hAnsi="Arial"/>
                <w:sz w:val="22"/>
                <w:szCs w:val="22"/>
                <w:color w:val="auto"/>
              </w:rPr>
              <w:t>Performing Cash Pay High Yield Securities</w:t>
            </w:r>
          </w:p>
        </w:tc>
        <w:tc>
          <w:tcPr>
            <w:tcW w:w="640" w:type="dxa"/>
            <w:vAlign w:val="bottom"/>
          </w:tcPr>
          <w:p>
            <w:pPr>
              <w:jc w:val="center"/>
              <w:spacing w:after="0" w:line="243" w:lineRule="exact"/>
              <w:rPr>
                <w:sz w:val="20"/>
                <w:szCs w:val="20"/>
                <w:color w:val="auto"/>
              </w:rPr>
            </w:pPr>
            <w:r>
              <w:rPr>
                <w:rFonts w:ascii="Arial" w:cs="Arial" w:eastAsia="Arial" w:hAnsi="Arial"/>
                <w:sz w:val="22"/>
                <w:szCs w:val="22"/>
                <w:color w:val="auto"/>
                <w:w w:val="90"/>
              </w:rPr>
              <w:t>70%</w:t>
            </w:r>
          </w:p>
        </w:tc>
        <w:tc>
          <w:tcPr>
            <w:tcW w:w="7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Arial" w:cs="Arial" w:eastAsia="Arial" w:hAnsi="Arial"/>
                <w:sz w:val="22"/>
                <w:szCs w:val="22"/>
                <w:color w:val="auto"/>
                <w:w w:val="90"/>
              </w:rPr>
              <w:t>60%</w:t>
            </w:r>
          </w:p>
        </w:tc>
      </w:tr>
      <w:tr>
        <w:trPr>
          <w:trHeight w:val="243"/>
        </w:trPr>
        <w:tc>
          <w:tcPr>
            <w:tcW w:w="5040" w:type="dxa"/>
            <w:vAlign w:val="bottom"/>
            <w:gridSpan w:val="3"/>
          </w:tcPr>
          <w:p>
            <w:pPr>
              <w:spacing w:after="0" w:line="243" w:lineRule="exact"/>
              <w:rPr>
                <w:sz w:val="20"/>
                <w:szCs w:val="20"/>
                <w:color w:val="auto"/>
              </w:rPr>
            </w:pPr>
            <w:r>
              <w:rPr>
                <w:rFonts w:ascii="Arial" w:cs="Arial" w:eastAsia="Arial" w:hAnsi="Arial"/>
                <w:sz w:val="22"/>
                <w:szCs w:val="22"/>
                <w:color w:val="auto"/>
              </w:rPr>
              <w:t>Performing Cash Pay Mezzanine Investments</w:t>
            </w:r>
          </w:p>
        </w:tc>
        <w:tc>
          <w:tcPr>
            <w:tcW w:w="640" w:type="dxa"/>
            <w:vAlign w:val="bottom"/>
          </w:tcPr>
          <w:p>
            <w:pPr>
              <w:jc w:val="center"/>
              <w:spacing w:after="0" w:line="243" w:lineRule="exact"/>
              <w:rPr>
                <w:sz w:val="20"/>
                <w:szCs w:val="20"/>
                <w:color w:val="auto"/>
              </w:rPr>
            </w:pPr>
            <w:r>
              <w:rPr>
                <w:rFonts w:ascii="Arial" w:cs="Arial" w:eastAsia="Arial" w:hAnsi="Arial"/>
                <w:sz w:val="22"/>
                <w:szCs w:val="22"/>
                <w:color w:val="auto"/>
                <w:w w:val="90"/>
              </w:rPr>
              <w:t>65%</w:t>
            </w:r>
          </w:p>
        </w:tc>
        <w:tc>
          <w:tcPr>
            <w:tcW w:w="7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Arial" w:cs="Arial" w:eastAsia="Arial" w:hAnsi="Arial"/>
                <w:sz w:val="22"/>
                <w:szCs w:val="22"/>
                <w:color w:val="auto"/>
                <w:w w:val="90"/>
              </w:rPr>
              <w:t>55%</w:t>
            </w:r>
          </w:p>
        </w:tc>
      </w:tr>
      <w:tr>
        <w:trPr>
          <w:trHeight w:val="243"/>
        </w:trPr>
        <w:tc>
          <w:tcPr>
            <w:tcW w:w="5040" w:type="dxa"/>
            <w:vAlign w:val="bottom"/>
            <w:gridSpan w:val="3"/>
          </w:tcPr>
          <w:p>
            <w:pPr>
              <w:spacing w:after="0" w:line="243" w:lineRule="exact"/>
              <w:rPr>
                <w:sz w:val="20"/>
                <w:szCs w:val="20"/>
                <w:color w:val="auto"/>
              </w:rPr>
            </w:pPr>
            <w:r>
              <w:rPr>
                <w:rFonts w:ascii="Arial" w:cs="Arial" w:eastAsia="Arial" w:hAnsi="Arial"/>
                <w:sz w:val="22"/>
                <w:szCs w:val="22"/>
                <w:color w:val="auto"/>
              </w:rPr>
              <w:t>Performing Non-Cash Pay High Yield Securities</w:t>
            </w:r>
          </w:p>
        </w:tc>
        <w:tc>
          <w:tcPr>
            <w:tcW w:w="640" w:type="dxa"/>
            <w:vAlign w:val="bottom"/>
          </w:tcPr>
          <w:p>
            <w:pPr>
              <w:jc w:val="center"/>
              <w:spacing w:after="0" w:line="243" w:lineRule="exact"/>
              <w:rPr>
                <w:sz w:val="20"/>
                <w:szCs w:val="20"/>
                <w:color w:val="auto"/>
              </w:rPr>
            </w:pPr>
            <w:r>
              <w:rPr>
                <w:rFonts w:ascii="Arial" w:cs="Arial" w:eastAsia="Arial" w:hAnsi="Arial"/>
                <w:sz w:val="22"/>
                <w:szCs w:val="22"/>
                <w:color w:val="auto"/>
                <w:w w:val="90"/>
              </w:rPr>
              <w:t>60%</w:t>
            </w:r>
          </w:p>
        </w:tc>
        <w:tc>
          <w:tcPr>
            <w:tcW w:w="7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Arial" w:cs="Arial" w:eastAsia="Arial" w:hAnsi="Arial"/>
                <w:sz w:val="22"/>
                <w:szCs w:val="22"/>
                <w:color w:val="auto"/>
                <w:w w:val="90"/>
              </w:rPr>
              <w:t>50%</w:t>
            </w:r>
          </w:p>
        </w:tc>
      </w:tr>
      <w:tr>
        <w:trPr>
          <w:trHeight w:val="243"/>
        </w:trPr>
        <w:tc>
          <w:tcPr>
            <w:tcW w:w="5040" w:type="dxa"/>
            <w:vAlign w:val="bottom"/>
            <w:gridSpan w:val="3"/>
          </w:tcPr>
          <w:p>
            <w:pPr>
              <w:spacing w:after="0" w:line="243" w:lineRule="exact"/>
              <w:rPr>
                <w:sz w:val="20"/>
                <w:szCs w:val="20"/>
                <w:color w:val="auto"/>
              </w:rPr>
            </w:pPr>
            <w:r>
              <w:rPr>
                <w:rFonts w:ascii="Arial" w:cs="Arial" w:eastAsia="Arial" w:hAnsi="Arial"/>
                <w:sz w:val="22"/>
                <w:szCs w:val="22"/>
                <w:color w:val="auto"/>
              </w:rPr>
              <w:t>Performing Non-Cash Pay Mezzanine Investments</w:t>
            </w:r>
          </w:p>
        </w:tc>
        <w:tc>
          <w:tcPr>
            <w:tcW w:w="640" w:type="dxa"/>
            <w:vAlign w:val="bottom"/>
          </w:tcPr>
          <w:p>
            <w:pPr>
              <w:jc w:val="center"/>
              <w:spacing w:after="0" w:line="243" w:lineRule="exact"/>
              <w:rPr>
                <w:sz w:val="20"/>
                <w:szCs w:val="20"/>
                <w:color w:val="auto"/>
              </w:rPr>
            </w:pPr>
            <w:r>
              <w:rPr>
                <w:rFonts w:ascii="Arial" w:cs="Arial" w:eastAsia="Arial" w:hAnsi="Arial"/>
                <w:sz w:val="22"/>
                <w:szCs w:val="22"/>
                <w:color w:val="auto"/>
                <w:w w:val="90"/>
              </w:rPr>
              <w:t>55%</w:t>
            </w:r>
          </w:p>
        </w:tc>
        <w:tc>
          <w:tcPr>
            <w:tcW w:w="7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Arial" w:cs="Arial" w:eastAsia="Arial" w:hAnsi="Arial"/>
                <w:sz w:val="22"/>
                <w:szCs w:val="22"/>
                <w:color w:val="auto"/>
                <w:w w:val="90"/>
              </w:rPr>
              <w:t>45%</w:t>
            </w:r>
          </w:p>
        </w:tc>
      </w:tr>
      <w:tr>
        <w:trPr>
          <w:trHeight w:val="243"/>
        </w:trPr>
        <w:tc>
          <w:tcPr>
            <w:tcW w:w="5040" w:type="dxa"/>
            <w:vAlign w:val="bottom"/>
            <w:gridSpan w:val="3"/>
          </w:tcPr>
          <w:p>
            <w:pPr>
              <w:spacing w:after="0" w:line="243" w:lineRule="exact"/>
              <w:rPr>
                <w:sz w:val="20"/>
                <w:szCs w:val="20"/>
                <w:color w:val="auto"/>
              </w:rPr>
            </w:pPr>
            <w:r>
              <w:rPr>
                <w:rFonts w:ascii="Arial" w:cs="Arial" w:eastAsia="Arial" w:hAnsi="Arial"/>
                <w:sz w:val="22"/>
                <w:szCs w:val="22"/>
                <w:color w:val="auto"/>
              </w:rPr>
              <w:t>Non-Performing First Lien Bank Loans</w:t>
            </w:r>
          </w:p>
        </w:tc>
        <w:tc>
          <w:tcPr>
            <w:tcW w:w="640" w:type="dxa"/>
            <w:vAlign w:val="bottom"/>
          </w:tcPr>
          <w:p>
            <w:pPr>
              <w:jc w:val="center"/>
              <w:spacing w:after="0" w:line="243" w:lineRule="exact"/>
              <w:rPr>
                <w:sz w:val="20"/>
                <w:szCs w:val="20"/>
                <w:color w:val="auto"/>
              </w:rPr>
            </w:pPr>
            <w:r>
              <w:rPr>
                <w:rFonts w:ascii="Arial" w:cs="Arial" w:eastAsia="Arial" w:hAnsi="Arial"/>
                <w:sz w:val="22"/>
                <w:szCs w:val="22"/>
                <w:color w:val="auto"/>
                <w:w w:val="90"/>
              </w:rPr>
              <w:t>65%</w:t>
            </w:r>
          </w:p>
        </w:tc>
        <w:tc>
          <w:tcPr>
            <w:tcW w:w="7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Arial" w:cs="Arial" w:eastAsia="Arial" w:hAnsi="Arial"/>
                <w:sz w:val="22"/>
                <w:szCs w:val="22"/>
                <w:color w:val="auto"/>
                <w:w w:val="90"/>
              </w:rPr>
              <w:t>55%</w:t>
            </w:r>
          </w:p>
        </w:tc>
      </w:tr>
      <w:tr>
        <w:trPr>
          <w:trHeight w:val="243"/>
        </w:trPr>
        <w:tc>
          <w:tcPr>
            <w:tcW w:w="5040" w:type="dxa"/>
            <w:vAlign w:val="bottom"/>
            <w:gridSpan w:val="3"/>
          </w:tcPr>
          <w:p>
            <w:pPr>
              <w:spacing w:after="0" w:line="243" w:lineRule="exact"/>
              <w:rPr>
                <w:sz w:val="20"/>
                <w:szCs w:val="20"/>
                <w:color w:val="auto"/>
              </w:rPr>
            </w:pPr>
            <w:r>
              <w:rPr>
                <w:rFonts w:ascii="Arial" w:cs="Arial" w:eastAsia="Arial" w:hAnsi="Arial"/>
                <w:sz w:val="22"/>
                <w:szCs w:val="22"/>
                <w:color w:val="auto"/>
              </w:rPr>
              <w:t>Non-Performing Second Lien Bank Loans</w:t>
            </w:r>
          </w:p>
        </w:tc>
        <w:tc>
          <w:tcPr>
            <w:tcW w:w="640" w:type="dxa"/>
            <w:vAlign w:val="bottom"/>
          </w:tcPr>
          <w:p>
            <w:pPr>
              <w:jc w:val="center"/>
              <w:spacing w:after="0" w:line="243" w:lineRule="exact"/>
              <w:rPr>
                <w:sz w:val="20"/>
                <w:szCs w:val="20"/>
                <w:color w:val="auto"/>
              </w:rPr>
            </w:pPr>
            <w:r>
              <w:rPr>
                <w:rFonts w:ascii="Arial" w:cs="Arial" w:eastAsia="Arial" w:hAnsi="Arial"/>
                <w:sz w:val="22"/>
                <w:szCs w:val="22"/>
                <w:color w:val="auto"/>
                <w:w w:val="90"/>
              </w:rPr>
              <w:t>55%</w:t>
            </w:r>
          </w:p>
        </w:tc>
        <w:tc>
          <w:tcPr>
            <w:tcW w:w="7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Arial" w:cs="Arial" w:eastAsia="Arial" w:hAnsi="Arial"/>
                <w:sz w:val="22"/>
                <w:szCs w:val="22"/>
                <w:color w:val="auto"/>
                <w:w w:val="90"/>
              </w:rPr>
              <w:t>45%</w:t>
            </w:r>
          </w:p>
        </w:tc>
      </w:tr>
      <w:tr>
        <w:trPr>
          <w:trHeight w:val="243"/>
        </w:trPr>
        <w:tc>
          <w:tcPr>
            <w:tcW w:w="5040" w:type="dxa"/>
            <w:vAlign w:val="bottom"/>
            <w:gridSpan w:val="3"/>
          </w:tcPr>
          <w:p>
            <w:pPr>
              <w:spacing w:after="0" w:line="243" w:lineRule="exact"/>
              <w:rPr>
                <w:sz w:val="20"/>
                <w:szCs w:val="20"/>
                <w:color w:val="auto"/>
              </w:rPr>
            </w:pPr>
            <w:r>
              <w:rPr>
                <w:rFonts w:ascii="Arial" w:cs="Arial" w:eastAsia="Arial" w:hAnsi="Arial"/>
                <w:sz w:val="22"/>
                <w:szCs w:val="22"/>
                <w:color w:val="auto"/>
              </w:rPr>
              <w:t>Non-Performing High Yield Securities</w:t>
            </w:r>
          </w:p>
        </w:tc>
        <w:tc>
          <w:tcPr>
            <w:tcW w:w="640" w:type="dxa"/>
            <w:vAlign w:val="bottom"/>
          </w:tcPr>
          <w:p>
            <w:pPr>
              <w:jc w:val="center"/>
              <w:spacing w:after="0" w:line="243" w:lineRule="exact"/>
              <w:rPr>
                <w:sz w:val="20"/>
                <w:szCs w:val="20"/>
                <w:color w:val="auto"/>
              </w:rPr>
            </w:pPr>
            <w:r>
              <w:rPr>
                <w:rFonts w:ascii="Arial" w:cs="Arial" w:eastAsia="Arial" w:hAnsi="Arial"/>
                <w:sz w:val="22"/>
                <w:szCs w:val="22"/>
                <w:color w:val="auto"/>
                <w:w w:val="90"/>
              </w:rPr>
              <w:t>50%</w:t>
            </w:r>
          </w:p>
        </w:tc>
        <w:tc>
          <w:tcPr>
            <w:tcW w:w="7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Arial" w:cs="Arial" w:eastAsia="Arial" w:hAnsi="Arial"/>
                <w:sz w:val="22"/>
                <w:szCs w:val="22"/>
                <w:color w:val="auto"/>
                <w:w w:val="90"/>
              </w:rPr>
              <w:t>40%</w:t>
            </w:r>
          </w:p>
        </w:tc>
      </w:tr>
      <w:tr>
        <w:trPr>
          <w:trHeight w:val="243"/>
        </w:trPr>
        <w:tc>
          <w:tcPr>
            <w:tcW w:w="5040" w:type="dxa"/>
            <w:vAlign w:val="bottom"/>
            <w:gridSpan w:val="3"/>
          </w:tcPr>
          <w:p>
            <w:pPr>
              <w:spacing w:after="0" w:line="243" w:lineRule="exact"/>
              <w:rPr>
                <w:sz w:val="20"/>
                <w:szCs w:val="20"/>
                <w:color w:val="auto"/>
              </w:rPr>
            </w:pPr>
            <w:r>
              <w:rPr>
                <w:rFonts w:ascii="Arial" w:cs="Arial" w:eastAsia="Arial" w:hAnsi="Arial"/>
                <w:sz w:val="22"/>
                <w:szCs w:val="22"/>
                <w:color w:val="auto"/>
              </w:rPr>
              <w:t>Non-Performing Mezzanine Investments</w:t>
            </w:r>
          </w:p>
        </w:tc>
        <w:tc>
          <w:tcPr>
            <w:tcW w:w="640" w:type="dxa"/>
            <w:vAlign w:val="bottom"/>
          </w:tcPr>
          <w:p>
            <w:pPr>
              <w:jc w:val="center"/>
              <w:spacing w:after="0" w:line="243" w:lineRule="exact"/>
              <w:rPr>
                <w:sz w:val="20"/>
                <w:szCs w:val="20"/>
                <w:color w:val="auto"/>
              </w:rPr>
            </w:pPr>
            <w:r>
              <w:rPr>
                <w:rFonts w:ascii="Arial" w:cs="Arial" w:eastAsia="Arial" w:hAnsi="Arial"/>
                <w:sz w:val="22"/>
                <w:szCs w:val="22"/>
                <w:color w:val="auto"/>
                <w:w w:val="90"/>
              </w:rPr>
              <w:t>50%</w:t>
            </w:r>
          </w:p>
        </w:tc>
        <w:tc>
          <w:tcPr>
            <w:tcW w:w="7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Arial" w:cs="Arial" w:eastAsia="Arial" w:hAnsi="Arial"/>
                <w:sz w:val="22"/>
                <w:szCs w:val="22"/>
                <w:color w:val="auto"/>
                <w:w w:val="90"/>
              </w:rPr>
              <w:t>40%</w:t>
            </w:r>
          </w:p>
        </w:tc>
      </w:tr>
      <w:tr>
        <w:trPr>
          <w:trHeight w:val="243"/>
        </w:trPr>
        <w:tc>
          <w:tcPr>
            <w:tcW w:w="5040" w:type="dxa"/>
            <w:vAlign w:val="bottom"/>
            <w:gridSpan w:val="3"/>
          </w:tcPr>
          <w:p>
            <w:pPr>
              <w:spacing w:after="0" w:line="243" w:lineRule="exact"/>
              <w:rPr>
                <w:sz w:val="20"/>
                <w:szCs w:val="20"/>
                <w:color w:val="auto"/>
              </w:rPr>
            </w:pPr>
            <w:r>
              <w:rPr>
                <w:rFonts w:ascii="Arial" w:cs="Arial" w:eastAsia="Arial" w:hAnsi="Arial"/>
                <w:sz w:val="22"/>
                <w:szCs w:val="22"/>
                <w:color w:val="auto"/>
              </w:rPr>
              <w:t>Performing Common Equity</w:t>
            </w:r>
          </w:p>
        </w:tc>
        <w:tc>
          <w:tcPr>
            <w:tcW w:w="640" w:type="dxa"/>
            <w:vAlign w:val="bottom"/>
          </w:tcPr>
          <w:p>
            <w:pPr>
              <w:jc w:val="center"/>
              <w:spacing w:after="0" w:line="243" w:lineRule="exact"/>
              <w:rPr>
                <w:sz w:val="20"/>
                <w:szCs w:val="20"/>
                <w:color w:val="auto"/>
              </w:rPr>
            </w:pPr>
            <w:r>
              <w:rPr>
                <w:rFonts w:ascii="Arial" w:cs="Arial" w:eastAsia="Arial" w:hAnsi="Arial"/>
                <w:sz w:val="22"/>
                <w:szCs w:val="22"/>
                <w:color w:val="auto"/>
                <w:w w:val="90"/>
              </w:rPr>
              <w:t>50%</w:t>
            </w:r>
          </w:p>
        </w:tc>
        <w:tc>
          <w:tcPr>
            <w:tcW w:w="70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Arial" w:cs="Arial" w:eastAsia="Arial" w:hAnsi="Arial"/>
                <w:sz w:val="22"/>
                <w:szCs w:val="22"/>
                <w:color w:val="auto"/>
                <w:w w:val="90"/>
              </w:rPr>
              <w:t>40%</w:t>
            </w:r>
          </w:p>
        </w:tc>
      </w:tr>
      <w:tr>
        <w:trPr>
          <w:trHeight w:val="274"/>
        </w:trPr>
        <w:tc>
          <w:tcPr>
            <w:tcW w:w="5040" w:type="dxa"/>
            <w:vAlign w:val="bottom"/>
            <w:gridSpan w:val="3"/>
          </w:tcPr>
          <w:p>
            <w:pPr>
              <w:spacing w:after="0"/>
              <w:rPr>
                <w:sz w:val="20"/>
                <w:szCs w:val="20"/>
                <w:color w:val="auto"/>
              </w:rPr>
            </w:pPr>
            <w:r>
              <w:rPr>
                <w:rFonts w:ascii="Arial" w:cs="Arial" w:eastAsia="Arial" w:hAnsi="Arial"/>
                <w:sz w:val="22"/>
                <w:szCs w:val="22"/>
                <w:color w:val="auto"/>
              </w:rPr>
              <w:t>Non-Performing Common Equity</w:t>
            </w:r>
          </w:p>
        </w:tc>
        <w:tc>
          <w:tcPr>
            <w:tcW w:w="640" w:type="dxa"/>
            <w:vAlign w:val="bottom"/>
          </w:tcPr>
          <w:p>
            <w:pPr>
              <w:jc w:val="center"/>
              <w:spacing w:after="0"/>
              <w:rPr>
                <w:sz w:val="20"/>
                <w:szCs w:val="20"/>
                <w:color w:val="auto"/>
              </w:rPr>
            </w:pPr>
            <w:r>
              <w:rPr>
                <w:rFonts w:ascii="Arial" w:cs="Arial" w:eastAsia="Arial" w:hAnsi="Arial"/>
                <w:sz w:val="22"/>
                <w:szCs w:val="22"/>
                <w:color w:val="auto"/>
                <w:w w:val="90"/>
              </w:rPr>
              <w:t>25%</w:t>
            </w:r>
          </w:p>
        </w:tc>
        <w:tc>
          <w:tcPr>
            <w:tcW w:w="70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22"/>
                <w:szCs w:val="22"/>
                <w:color w:val="auto"/>
                <w:w w:val="87"/>
              </w:rPr>
              <w:t>0%</w:t>
            </w:r>
          </w:p>
        </w:tc>
      </w:tr>
    </w:tbl>
    <w:p>
      <w:pPr>
        <w:spacing w:after="0" w:line="185"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Loans</w:t>
      </w:r>
      <w:r>
        <w:rPr>
          <w:rFonts w:ascii="Arial" w:cs="Arial" w:eastAsia="Arial" w:hAnsi="Arial"/>
          <w:sz w:val="19"/>
          <w:szCs w:val="19"/>
          <w:color w:val="auto"/>
        </w:rPr>
        <w:t>" means debt obligations (including, without limitation, term loans, revolving loans, debtor-in-possession financings, the funded and unfunded portion of revolving credit lines and letter of credit facilities and other similar loans and investments including interim loans and senior subordinated loans) which are generally under a syndicated loan or credit facility.</w:t>
      </w:r>
    </w:p>
    <w:p>
      <w:pPr>
        <w:spacing w:after="0" w:line="134"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w:t>
      </w:r>
      <w:r>
        <w:rPr>
          <w:rFonts w:ascii="Arial" w:cs="Arial" w:eastAsia="Arial" w:hAnsi="Arial"/>
          <w:sz w:val="22"/>
          <w:szCs w:val="22"/>
          <w:color w:val="auto"/>
        </w:rPr>
        <w:t>" has the meaning assigned to such term in Section 1.01 of the Credit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has the meaning assigned to such term in Section 1.01 of the Credit Agreement.</w:t>
      </w:r>
    </w:p>
    <w:p>
      <w:pPr>
        <w:spacing w:after="0" w:line="206" w:lineRule="exact"/>
        <w:rPr>
          <w:sz w:val="20"/>
          <w:szCs w:val="20"/>
          <w:color w:val="auto"/>
        </w:rPr>
      </w:pPr>
    </w:p>
    <w:p>
      <w:pPr>
        <w:ind w:right="4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First Lien Bank Loan</w:t>
      </w:r>
      <w:r>
        <w:rPr>
          <w:rFonts w:ascii="Arial" w:cs="Arial" w:eastAsia="Arial" w:hAnsi="Arial"/>
          <w:sz w:val="21"/>
          <w:szCs w:val="21"/>
          <w:color w:val="auto"/>
        </w:rPr>
        <w:t>" means a Bank Loan that is entitled to the benefit of a first lien and first priority perfected security interest on a substantial portion of the assets of the respective borrower and guarantors obligated in respect thereof.</w:t>
      </w:r>
    </w:p>
    <w:p>
      <w:pPr>
        <w:spacing w:after="0" w:line="151" w:lineRule="exact"/>
        <w:rPr>
          <w:sz w:val="20"/>
          <w:szCs w:val="20"/>
          <w:color w:val="auto"/>
        </w:rPr>
      </w:pPr>
    </w:p>
    <w:p>
      <w:pPr>
        <w:ind w:right="10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High Yield Securities</w:t>
      </w:r>
      <w:r>
        <w:rPr>
          <w:rFonts w:ascii="Arial" w:cs="Arial" w:eastAsia="Arial" w:hAnsi="Arial"/>
          <w:sz w:val="21"/>
          <w:szCs w:val="21"/>
          <w:color w:val="auto"/>
        </w:rPr>
        <w:t>" means debt Securities and Preferred Stock, in each case (a) issued by public or private issuers, (b) issued pursuant to an effective registration statement or pursuant to Rule 144A under the Securities Act (or any successor provision thereunder) and (c) that are not Cash Equivalents, Mezzanine Investments or Bank Loans.</w:t>
      </w:r>
    </w:p>
    <w:p>
      <w:pPr>
        <w:spacing w:after="0" w:line="169"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Long-Term U.S. Government Securities</w:t>
      </w:r>
      <w:r>
        <w:rPr>
          <w:rFonts w:ascii="Arial" w:cs="Arial" w:eastAsia="Arial" w:hAnsi="Arial"/>
          <w:sz w:val="22"/>
          <w:szCs w:val="22"/>
          <w:color w:val="auto"/>
        </w:rPr>
        <w:t>" means U.S. Government Securities maturing more than one year from the applicable date of determination.</w:t>
      </w:r>
    </w:p>
    <w:p>
      <w:pPr>
        <w:spacing w:after="0" w:line="175"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Mezzanine Investments</w:t>
      </w:r>
      <w:r>
        <w:rPr>
          <w:rFonts w:ascii="Arial" w:cs="Arial" w:eastAsia="Arial" w:hAnsi="Arial"/>
          <w:sz w:val="19"/>
          <w:szCs w:val="19"/>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43"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Non-Performing Common Equity</w:t>
      </w:r>
      <w:r>
        <w:rPr>
          <w:rFonts w:ascii="Arial" w:cs="Arial" w:eastAsia="Arial" w:hAnsi="Arial"/>
          <w:sz w:val="22"/>
          <w:szCs w:val="22"/>
          <w:color w:val="auto"/>
        </w:rPr>
        <w:t>" means Capital Stock (other than Preferred Stock) and warrants of an issuer having any debt outstanding that is non-Performing.</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Non-Performing First Lien Bank Loans</w:t>
      </w:r>
      <w:r>
        <w:rPr>
          <w:rFonts w:ascii="Arial" w:cs="Arial" w:eastAsia="Arial" w:hAnsi="Arial"/>
          <w:sz w:val="21"/>
          <w:szCs w:val="21"/>
          <w:color w:val="auto"/>
        </w:rPr>
        <w:t>" means First Lien Bank Loans other than Performing First Lien Bank Loans.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Non-Performing High Yield Securities</w:t>
      </w:r>
      <w:r>
        <w:rPr>
          <w:rFonts w:ascii="Arial" w:cs="Arial" w:eastAsia="Arial" w:hAnsi="Arial"/>
          <w:sz w:val="22"/>
          <w:szCs w:val="22"/>
          <w:color w:val="auto"/>
        </w:rPr>
        <w:t>" means High Yield Securities other than Performing High Yield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Non-Performing Mezzanine Investments</w:t>
      </w:r>
      <w:r>
        <w:rPr>
          <w:rFonts w:ascii="Arial" w:cs="Arial" w:eastAsia="Arial" w:hAnsi="Arial"/>
          <w:sz w:val="19"/>
          <w:szCs w:val="19"/>
          <w:color w:val="auto"/>
        </w:rPr>
        <w:t>" means Mezzanine Investments other than Performing Mezzanine Investments.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Non-Performing Second Lien Bank Loans</w:t>
      </w:r>
      <w:r>
        <w:rPr>
          <w:rFonts w:ascii="Arial" w:cs="Arial" w:eastAsia="Arial" w:hAnsi="Arial"/>
          <w:sz w:val="19"/>
          <w:szCs w:val="19"/>
          <w:color w:val="auto"/>
        </w:rPr>
        <w:t>" means Second Lien Bank Loans other than Performing Second Lien Bank Loans.</w:t>
      </w:r>
    </w:p>
    <w:p>
      <w:pPr>
        <w:spacing w:after="0" w:line="241" w:lineRule="exact"/>
        <w:rPr>
          <w:sz w:val="20"/>
          <w:szCs w:val="20"/>
          <w:color w:val="auto"/>
        </w:rPr>
      </w:pPr>
    </w:p>
    <w:p>
      <w:pPr>
        <w:ind w:right="36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Performing</w:t>
      </w:r>
      <w:r>
        <w:rPr>
          <w:rFonts w:ascii="Arial" w:cs="Arial" w:eastAsia="Arial" w:hAnsi="Arial"/>
          <w:sz w:val="19"/>
          <w:szCs w:val="19"/>
          <w:color w:val="auto"/>
        </w:rPr>
        <w:t>" means (a) with respect to any Portfolio Investment that is debt (or any other debt), the issuer of such Portfolio Investment (or other debt) is not in default of any payment obligations in respect thereof after the expiration of any applicable</w:t>
      </w:r>
    </w:p>
    <w:p>
      <w:pPr>
        <w:sectPr>
          <w:pgSz w:w="11900" w:h="16954" w:orient="portrait"/>
          <w:cols w:equalWidth="0" w:num="1">
            <w:col w:w="11240"/>
          </w:cols>
          <w:pgMar w:left="320" w:top="118" w:right="339" w:bottom="0" w:gutter="0" w:footer="0" w:header="0"/>
        </w:sectPr>
      </w:pPr>
    </w:p>
    <w:bookmarkStart w:id="39" w:name="page40"/>
    <w:bookmarkEnd w:id="39"/>
    <w:p>
      <w:pPr>
        <w:ind w:right="140"/>
        <w:spacing w:after="0" w:line="241" w:lineRule="auto"/>
        <w:rPr>
          <w:sz w:val="20"/>
          <w:szCs w:val="20"/>
          <w:color w:val="auto"/>
        </w:rPr>
      </w:pPr>
      <w:r>
        <w:rPr>
          <w:rFonts w:ascii="Arial" w:cs="Arial" w:eastAsia="Arial" w:hAnsi="Arial"/>
          <w:sz w:val="22"/>
          <w:szCs w:val="22"/>
          <w:color w:val="auto"/>
        </w:rPr>
        <w:t>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84"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Cash Pay High Yield Securities</w:t>
      </w:r>
      <w:r>
        <w:rPr>
          <w:rFonts w:ascii="Arial" w:cs="Arial" w:eastAsia="Arial" w:hAnsi="Arial"/>
          <w:sz w:val="22"/>
          <w:szCs w:val="22"/>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86"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Cash Pay Mezzanine Investments</w:t>
      </w:r>
      <w:r>
        <w:rPr>
          <w:rFonts w:ascii="Arial" w:cs="Arial" w:eastAsia="Arial" w:hAnsi="Arial"/>
          <w:sz w:val="22"/>
          <w:szCs w:val="22"/>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86" w:lineRule="exact"/>
        <w:rPr>
          <w:sz w:val="20"/>
          <w:szCs w:val="20"/>
          <w:color w:val="auto"/>
        </w:rPr>
      </w:pPr>
    </w:p>
    <w:p>
      <w:pPr>
        <w:ind w:right="9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Common Equity</w:t>
      </w:r>
      <w:r>
        <w:rPr>
          <w:rFonts w:ascii="Arial" w:cs="Arial" w:eastAsia="Arial" w:hAnsi="Arial"/>
          <w:sz w:val="22"/>
          <w:szCs w:val="22"/>
          <w:color w:val="auto"/>
        </w:rPr>
        <w:t>" means Capital Stock (other than Preferred Stock) and warrants of an issuer all of whose outstanding debt is Performing.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First Lien Bank Loans</w:t>
      </w:r>
      <w:r>
        <w:rPr>
          <w:rFonts w:ascii="Arial" w:cs="Arial" w:eastAsia="Arial" w:hAnsi="Arial"/>
          <w:sz w:val="22"/>
          <w:szCs w:val="22"/>
          <w:color w:val="auto"/>
        </w:rPr>
        <w:t>" means First Lien Bank Loans which are Performing.</w:t>
      </w:r>
    </w:p>
    <w:p>
      <w:pPr>
        <w:spacing w:after="0" w:line="206"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Non-Cash Pay High Yield Securities</w:t>
      </w:r>
      <w:r>
        <w:rPr>
          <w:rFonts w:ascii="Arial" w:cs="Arial" w:eastAsia="Arial" w:hAnsi="Arial"/>
          <w:sz w:val="22"/>
          <w:szCs w:val="22"/>
          <w:color w:val="auto"/>
        </w:rPr>
        <w:t>" means Performing High Yield Securities other than Performing Cash Pay High Yield Securities.</w:t>
      </w:r>
    </w:p>
    <w:p>
      <w:pPr>
        <w:spacing w:after="0" w:line="175"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Non-Cash Pay Mezzanine Investments</w:t>
      </w:r>
      <w:r>
        <w:rPr>
          <w:rFonts w:ascii="Arial" w:cs="Arial" w:eastAsia="Arial" w:hAnsi="Arial"/>
          <w:sz w:val="22"/>
          <w:szCs w:val="22"/>
          <w:color w:val="auto"/>
        </w:rPr>
        <w:t>" means Performing Mezzanine Investments other than Performing Cash Pay Mezzanine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Second Lien Bank Loans</w:t>
      </w:r>
      <w:r>
        <w:rPr>
          <w:rFonts w:ascii="Arial" w:cs="Arial" w:eastAsia="Arial" w:hAnsi="Arial"/>
          <w:sz w:val="22"/>
          <w:szCs w:val="22"/>
          <w:color w:val="auto"/>
        </w:rPr>
        <w:t>" means Second Lien Bank Loans which are Performing.</w:t>
      </w:r>
    </w:p>
    <w:p>
      <w:pPr>
        <w:spacing w:after="0" w:line="206"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Stock</w:t>
      </w:r>
      <w:r>
        <w:rPr>
          <w:rFonts w:ascii="Arial" w:cs="Arial" w:eastAsia="Arial" w:hAnsi="Arial"/>
          <w:sz w:val="22"/>
          <w:szCs w:val="22"/>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87" w:lineRule="exact"/>
        <w:rPr>
          <w:sz w:val="20"/>
          <w:szCs w:val="20"/>
          <w:color w:val="auto"/>
        </w:rPr>
      </w:pPr>
    </w:p>
    <w:p>
      <w:pPr>
        <w:ind w:right="48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Lien Bank Loan</w:t>
      </w:r>
      <w:r>
        <w:rPr>
          <w:rFonts w:ascii="Arial" w:cs="Arial" w:eastAsia="Arial" w:hAnsi="Arial"/>
          <w:sz w:val="19"/>
          <w:szCs w:val="19"/>
          <w:color w:val="auto"/>
        </w:rPr>
        <w:t>" means a Bank Loan that is entitled to the benefit of a second lien and second priority perfected security interest on a substantial portion of the assets of the respective Borrower and guarantors obligated in respect thereof.</w:t>
      </w:r>
    </w:p>
    <w:p>
      <w:pPr>
        <w:spacing w:after="0" w:line="105"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w:t>
      </w:r>
      <w:r>
        <w:rPr>
          <w:rFonts w:ascii="Arial" w:cs="Arial" w:eastAsia="Arial" w:hAnsi="Arial"/>
          <w:sz w:val="19"/>
          <w:szCs w:val="19"/>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United States Securities Act of 1933, as amended.</w:t>
      </w:r>
    </w:p>
    <w:p>
      <w:pPr>
        <w:spacing w:after="0" w:line="206"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Short-Term U.S. Government Securities</w:t>
      </w:r>
      <w:r>
        <w:rPr>
          <w:rFonts w:ascii="Arial" w:cs="Arial" w:eastAsia="Arial" w:hAnsi="Arial"/>
          <w:sz w:val="22"/>
          <w:szCs w:val="22"/>
          <w:color w:val="auto"/>
        </w:rPr>
        <w:t>" means U.S. Government Securities maturing within one year of the applicable date of determination.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Government Securities</w:t>
      </w:r>
      <w:r>
        <w:rPr>
          <w:rFonts w:ascii="Arial" w:cs="Arial" w:eastAsia="Arial" w:hAnsi="Arial"/>
          <w:sz w:val="22"/>
          <w:szCs w:val="22"/>
          <w:color w:val="auto"/>
        </w:rPr>
        <w:t>" has the meaning assigned to such term in Section 1.01 of the Credit Agreement.</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Value</w:t>
      </w:r>
      <w:r>
        <w:rPr>
          <w:rFonts w:ascii="Arial" w:cs="Arial" w:eastAsia="Arial" w:hAnsi="Arial"/>
          <w:sz w:val="22"/>
          <w:szCs w:val="22"/>
          <w:color w:val="auto"/>
        </w:rPr>
        <w:t>" means, with respect to any Portfolio Investment, the lower of the most recent internal market value as determined pursuant to Section 5.12(b)(ii)(C) and the most recent external market value as determined pursuant to Section 5.12(b)(ii)(A) and (B).</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VI</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NEGATIVE COVENANTS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Until the Commitments have expired or terminated and the principal of and interest on each Loan and all fees payable hereunder have been paid in full and all Letters of Credit have expired or terminated and all LC Disbursements shall have been reimbursed, the Borrower covenants and agrees with the Lenders that:</w:t>
      </w:r>
    </w:p>
    <w:p>
      <w:pPr>
        <w:spacing w:after="0" w:line="18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Indebtedness</w:t>
      </w:r>
      <w:r>
        <w:rPr>
          <w:rFonts w:ascii="Arial" w:cs="Arial" w:eastAsia="Arial" w:hAnsi="Arial"/>
          <w:sz w:val="22"/>
          <w:szCs w:val="22"/>
          <w:color w:val="auto"/>
        </w:rPr>
        <w:t>. The Borrower will not nor will it permit any of its Subsidiaries to, create, incur, assume or permit to exist any Indebtedness, except:</w:t>
      </w:r>
    </w:p>
    <w:p>
      <w:pPr>
        <w:spacing w:after="0" w:line="175" w:lineRule="exact"/>
        <w:rPr>
          <w:sz w:val="20"/>
          <w:szCs w:val="20"/>
          <w:color w:val="auto"/>
        </w:rPr>
      </w:pPr>
    </w:p>
    <w:p>
      <w:pPr>
        <w:ind w:left="300" w:hanging="292"/>
        <w:spacing w:after="0"/>
        <w:tabs>
          <w:tab w:leader="none" w:pos="3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Indebtedness created hereunder;</w:t>
      </w:r>
    </w:p>
    <w:p>
      <w:pPr>
        <w:spacing w:after="0" w:line="206" w:lineRule="exact"/>
        <w:rPr>
          <w:rFonts w:ascii="Arial" w:cs="Arial" w:eastAsia="Arial" w:hAnsi="Arial"/>
          <w:sz w:val="22"/>
          <w:szCs w:val="22"/>
          <w:color w:val="auto"/>
        </w:rPr>
      </w:pPr>
    </w:p>
    <w:p>
      <w:pPr>
        <w:ind w:right="100" w:firstLine="8"/>
        <w:spacing w:after="0" w:line="282" w:lineRule="auto"/>
        <w:tabs>
          <w:tab w:leader="none" w:pos="30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Secured Longer-Term Indebtedness and Unsecured Longer-Term Indebtedness so long as (i) no Default or Event of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Section 6.07(b), and (iii) prior to and immediately after giving effect to the incurrence of any Secured Longer-Term Indebtedness, the Covered Debt Amount does not or would not exceed the Borrowing Base then in effect;</w:t>
      </w:r>
    </w:p>
    <w:p>
      <w:pPr>
        <w:sectPr>
          <w:pgSz w:w="11900" w:h="16838" w:orient="portrait"/>
          <w:cols w:equalWidth="0" w:num="1">
            <w:col w:w="11200"/>
          </w:cols>
          <w:pgMar w:left="320" w:top="118" w:right="379" w:bottom="0" w:gutter="0" w:footer="0" w:header="0"/>
        </w:sectPr>
      </w:pPr>
    </w:p>
    <w:bookmarkStart w:id="40" w:name="page41"/>
    <w:bookmarkEnd w:id="40"/>
    <w:p>
      <w:pPr>
        <w:ind w:left="300" w:hanging="292"/>
        <w:spacing w:after="0"/>
        <w:tabs>
          <w:tab w:leader="none" w:pos="30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Other Permitted Indebtedness;</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Indebtedness of Financing Subsidiaries;</w:t>
      </w:r>
    </w:p>
    <w:p>
      <w:pPr>
        <w:spacing w:after="0" w:line="206" w:lineRule="exact"/>
        <w:rPr>
          <w:rFonts w:ascii="Arial" w:cs="Arial" w:eastAsia="Arial" w:hAnsi="Arial"/>
          <w:sz w:val="22"/>
          <w:szCs w:val="22"/>
          <w:color w:val="auto"/>
        </w:rPr>
      </w:pPr>
    </w:p>
    <w:p>
      <w:pPr>
        <w:ind w:left="300" w:hanging="292"/>
        <w:spacing w:after="0"/>
        <w:tabs>
          <w:tab w:leader="none" w:pos="30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repurchase obligations arising in the ordinary course of business with respect to U.S. Government Securities;</w:t>
      </w:r>
    </w:p>
    <w:p>
      <w:pPr>
        <w:spacing w:after="0" w:line="206" w:lineRule="exact"/>
        <w:rPr>
          <w:rFonts w:ascii="Arial" w:cs="Arial" w:eastAsia="Arial" w:hAnsi="Arial"/>
          <w:sz w:val="22"/>
          <w:szCs w:val="22"/>
          <w:color w:val="auto"/>
        </w:rPr>
      </w:pPr>
    </w:p>
    <w:p>
      <w:pPr>
        <w:ind w:right="760" w:firstLine="8"/>
        <w:spacing w:after="0" w:line="250" w:lineRule="auto"/>
        <w:tabs>
          <w:tab w:leader="none" w:pos="27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obligations payable to clearing agencies, brokers or dealers in connection with the purchase or sale of securities in the ordinary course of business;</w:t>
      </w:r>
    </w:p>
    <w:p>
      <w:pPr>
        <w:spacing w:after="0" w:line="174" w:lineRule="exact"/>
        <w:rPr>
          <w:rFonts w:ascii="Arial" w:cs="Arial" w:eastAsia="Arial" w:hAnsi="Arial"/>
          <w:sz w:val="22"/>
          <w:szCs w:val="22"/>
          <w:color w:val="auto"/>
        </w:rPr>
      </w:pPr>
    </w:p>
    <w:p>
      <w:pPr>
        <w:ind w:firstLine="8"/>
        <w:spacing w:after="0" w:line="279" w:lineRule="auto"/>
        <w:tabs>
          <w:tab w:leader="none" w:pos="30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Secured Shorter-Term Indebtedness and Unsecured Shorter-Term Indebtedness so long as (i) so long as no Default or Event of Default exists at the time of the incurrence thereof, (ii) the aggregate amount (determined at the time of the incurrence of such Indebtedness) of such Indebtedness does not exceed 5% of Shareholders' Equity, (iii) the aggregate amount of such Indebtedness, taken together with other then-outstanding Indebtedness, does not exceed the amount required to comply with the provisions of Section 6.07(b), and (iv) prior to and immediately after giving effect to the incurrence of any such Indebtedness, the Covered Debt Amount does not or would not exceed the Borrowing Base then in effect;</w:t>
      </w:r>
    </w:p>
    <w:p>
      <w:pPr>
        <w:spacing w:after="0" w:line="150" w:lineRule="exact"/>
        <w:rPr>
          <w:rFonts w:ascii="Arial" w:cs="Arial" w:eastAsia="Arial" w:hAnsi="Arial"/>
          <w:sz w:val="19"/>
          <w:szCs w:val="19"/>
          <w:color w:val="auto"/>
        </w:rPr>
      </w:pPr>
    </w:p>
    <w:p>
      <w:pPr>
        <w:ind w:left="320" w:hanging="312"/>
        <w:spacing w:after="0"/>
        <w:tabs>
          <w:tab w:leader="none" w:pos="3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obligations (including Guarantees) in respect of Standard Securitization Undertakings.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Liens</w:t>
      </w:r>
      <w:r>
        <w:rPr>
          <w:rFonts w:ascii="Arial" w:cs="Arial" w:eastAsia="Arial" w:hAnsi="Arial"/>
          <w:sz w:val="22"/>
          <w:szCs w:val="22"/>
          <w:color w:val="auto"/>
        </w:rPr>
        <w:t>. The Borrower will not, nor will it permit any of its Subsidiaries to, create, incur, assume or permit to exist any Lien on any property or asset now owned or hereafter acquired by it, or assign or sell any income or revenues (including accounts receivable) or rights in respect of any thereof except:</w:t>
      </w:r>
    </w:p>
    <w:p>
      <w:pPr>
        <w:spacing w:after="0" w:line="186" w:lineRule="exact"/>
        <w:rPr>
          <w:sz w:val="20"/>
          <w:szCs w:val="20"/>
          <w:color w:val="auto"/>
        </w:rPr>
      </w:pPr>
    </w:p>
    <w:p>
      <w:pPr>
        <w:ind w:right="220" w:firstLine="8"/>
        <w:spacing w:after="0" w:line="252" w:lineRule="auto"/>
        <w:tabs>
          <w:tab w:leader="none" w:pos="294" w:val="left"/>
        </w:tabs>
        <w:numPr>
          <w:ilvl w:val="0"/>
          <w:numId w:val="113"/>
        </w:numPr>
        <w:rPr>
          <w:rFonts w:ascii="Arial" w:cs="Arial" w:eastAsia="Arial" w:hAnsi="Arial"/>
          <w:sz w:val="21"/>
          <w:szCs w:val="21"/>
          <w:color w:val="auto"/>
        </w:rPr>
      </w:pPr>
      <w:r>
        <w:rPr>
          <w:rFonts w:ascii="Arial" w:cs="Arial" w:eastAsia="Arial" w:hAnsi="Arial"/>
          <w:sz w:val="21"/>
          <w:szCs w:val="21"/>
          <w:color w:val="auto"/>
        </w:rPr>
        <w:t>any Lien on any property or asset of the Borrower existing on the date hereof and set forth in Part B of Schedule 3.11, provided that (i) no such Lien shall extend to any other property or asset of the Borrower or any of its Subsidiaries, and (ii) any such Lien shall secure only those obligations which it secures on the date hereof and extensions, renewals and replacements thereof that do not increase the outstanding principal amount thereof;</w:t>
      </w:r>
    </w:p>
    <w:p>
      <w:pPr>
        <w:spacing w:after="0" w:line="173" w:lineRule="exact"/>
        <w:rPr>
          <w:rFonts w:ascii="Arial" w:cs="Arial" w:eastAsia="Arial" w:hAnsi="Arial"/>
          <w:sz w:val="21"/>
          <w:szCs w:val="21"/>
          <w:color w:val="auto"/>
        </w:rPr>
      </w:pPr>
    </w:p>
    <w:p>
      <w:pPr>
        <w:ind w:left="320" w:hanging="312"/>
        <w:spacing w:after="0"/>
        <w:tabs>
          <w:tab w:leader="none" w:pos="32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Liens created pursuant to the Security Documents;</w:t>
      </w:r>
    </w:p>
    <w:p>
      <w:pPr>
        <w:spacing w:after="0" w:line="206" w:lineRule="exact"/>
        <w:rPr>
          <w:rFonts w:ascii="Arial" w:cs="Arial" w:eastAsia="Arial" w:hAnsi="Arial"/>
          <w:sz w:val="22"/>
          <w:szCs w:val="22"/>
          <w:color w:val="auto"/>
        </w:rPr>
      </w:pPr>
    </w:p>
    <w:p>
      <w:pPr>
        <w:ind w:left="300" w:hanging="292"/>
        <w:spacing w:after="0"/>
        <w:tabs>
          <w:tab w:leader="none" w:pos="30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Liens securing obligations of Financing Subsidiaries;</w:t>
      </w:r>
    </w:p>
    <w:p>
      <w:pPr>
        <w:spacing w:after="0" w:line="206" w:lineRule="exact"/>
        <w:rPr>
          <w:rFonts w:ascii="Arial" w:cs="Arial" w:eastAsia="Arial" w:hAnsi="Arial"/>
          <w:sz w:val="22"/>
          <w:szCs w:val="22"/>
          <w:color w:val="auto"/>
        </w:rPr>
      </w:pPr>
    </w:p>
    <w:p>
      <w:pPr>
        <w:ind w:right="680" w:firstLine="8"/>
        <w:spacing w:after="0" w:line="274" w:lineRule="auto"/>
        <w:tabs>
          <w:tab w:leader="none" w:pos="306" w:val="left"/>
        </w:tabs>
        <w:numPr>
          <w:ilvl w:val="0"/>
          <w:numId w:val="113"/>
        </w:numPr>
        <w:rPr>
          <w:rFonts w:ascii="Arial" w:cs="Arial" w:eastAsia="Arial" w:hAnsi="Arial"/>
          <w:sz w:val="21"/>
          <w:szCs w:val="21"/>
          <w:color w:val="auto"/>
        </w:rPr>
      </w:pPr>
      <w:r>
        <w:rPr>
          <w:rFonts w:ascii="Arial" w:cs="Arial" w:eastAsia="Arial" w:hAnsi="Arial"/>
          <w:sz w:val="21"/>
          <w:szCs w:val="21"/>
          <w:color w:val="auto"/>
        </w:rPr>
        <w:t>Liens on Special Equity Interests included in the Portfolio Investments of the Borrower but only to the extent securing obligations in the manner provided in the definition of "Special Equity Interests" in Section 1.01;</w:t>
      </w:r>
    </w:p>
    <w:p>
      <w:pPr>
        <w:spacing w:after="0" w:line="150" w:lineRule="exact"/>
        <w:rPr>
          <w:rFonts w:ascii="Arial" w:cs="Arial" w:eastAsia="Arial" w:hAnsi="Arial"/>
          <w:sz w:val="21"/>
          <w:szCs w:val="21"/>
          <w:color w:val="auto"/>
        </w:rPr>
      </w:pPr>
    </w:p>
    <w:p>
      <w:pPr>
        <w:ind w:right="60" w:firstLine="8"/>
        <w:spacing w:after="0" w:line="282" w:lineRule="auto"/>
        <w:tabs>
          <w:tab w:leader="none" w:pos="29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Liens securing Indebtedness or other obligations in an aggregate principal amount not exceeding $10,000,000 at any one time outstanding (which may cover Portfolio Investments, but only to the extent released from the Lien in favor of the Collateral Agent in accordance with the requirements of Section 10.03 of the Guarantee and Security Agreement), so long as at the time thereof the aggregate amount of Indebtedness permitted under clauses (a), (b) and (g) of Section 6.01, does not exceed the lesser of (i) the Borrowing Base and (ii) the amount required to comply with the provisions of Section 6.07(b); and</w:t>
      </w:r>
    </w:p>
    <w:p>
      <w:pPr>
        <w:spacing w:after="0" w:line="147" w:lineRule="exact"/>
        <w:rPr>
          <w:rFonts w:ascii="Arial" w:cs="Arial" w:eastAsia="Arial" w:hAnsi="Arial"/>
          <w:sz w:val="19"/>
          <w:szCs w:val="19"/>
          <w:color w:val="auto"/>
        </w:rPr>
      </w:pPr>
    </w:p>
    <w:p>
      <w:pPr>
        <w:ind w:left="280" w:hanging="272"/>
        <w:spacing w:after="0"/>
        <w:tabs>
          <w:tab w:leader="none" w:pos="28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Permitted Liens.</w:t>
      </w: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u w:val="single" w:color="auto"/>
          <w:color w:val="auto"/>
        </w:rPr>
        <w:t>Fundamental Changes</w:t>
      </w:r>
      <w:r>
        <w:rPr>
          <w:rFonts w:ascii="Arial" w:cs="Arial" w:eastAsia="Arial" w:hAnsi="Arial"/>
          <w:sz w:val="19"/>
          <w:szCs w:val="19"/>
          <w:color w:val="auto"/>
        </w:rPr>
        <w:t>. The Borrower will not, nor will it permit any of its Subsidiaries (other than Financing Subsidiaries) to, enter into any transaction of merger or consolidation or amalgamation, or liquidate, wind up or dissolve itself (or suffer any liquidation or dissolution). The Borrower will not, nor will it permit any of its Subsidiaries (other than Financing Subsidiaries)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its Subsidiaries (other than Financing Subsidiaries)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clauses (d) and (e) below, Portfolio Investments.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Notwithstanding the foregoing provisions of this Section:</w:t>
      </w:r>
    </w:p>
    <w:p>
      <w:pPr>
        <w:spacing w:after="0" w:line="206" w:lineRule="exact"/>
        <w:rPr>
          <w:sz w:val="20"/>
          <w:szCs w:val="20"/>
          <w:color w:val="auto"/>
        </w:rPr>
      </w:pPr>
    </w:p>
    <w:p>
      <w:pPr>
        <w:ind w:right="160" w:firstLine="8"/>
        <w:spacing w:after="0" w:line="257" w:lineRule="auto"/>
        <w:tabs>
          <w:tab w:leader="none" w:pos="294" w:val="left"/>
        </w:tabs>
        <w:numPr>
          <w:ilvl w:val="0"/>
          <w:numId w:val="114"/>
        </w:numPr>
        <w:rPr>
          <w:rFonts w:ascii="Arial" w:cs="Arial" w:eastAsia="Arial" w:hAnsi="Arial"/>
          <w:sz w:val="21"/>
          <w:szCs w:val="21"/>
          <w:color w:val="auto"/>
        </w:rPr>
      </w:pPr>
      <w:r>
        <w:rPr>
          <w:rFonts w:ascii="Arial" w:cs="Arial" w:eastAsia="Arial" w:hAnsi="Arial"/>
          <w:sz w:val="21"/>
          <w:szCs w:val="21"/>
          <w:color w:val="auto"/>
        </w:rPr>
        <w:t>any Subsidiary Guarantor of the Borrower may be merged or consolidated with or into the Borrower or any other Subsidiary Guarantor; provided that if any such transaction shall be between a Subsidiary Guarantor and a wholly owned Subsidiary Guarantor, the wholly owned Subsidiary Guarantor shall be the continuing or surviving corporation;</w:t>
      </w:r>
    </w:p>
    <w:p>
      <w:pPr>
        <w:spacing w:after="0" w:line="169" w:lineRule="exact"/>
        <w:rPr>
          <w:rFonts w:ascii="Arial" w:cs="Arial" w:eastAsia="Arial" w:hAnsi="Arial"/>
          <w:sz w:val="21"/>
          <w:szCs w:val="21"/>
          <w:color w:val="auto"/>
        </w:rPr>
      </w:pPr>
    </w:p>
    <w:p>
      <w:pPr>
        <w:ind w:right="680" w:firstLine="8"/>
        <w:spacing w:after="0" w:line="274" w:lineRule="auto"/>
        <w:tabs>
          <w:tab w:leader="none" w:pos="306" w:val="left"/>
        </w:tabs>
        <w:numPr>
          <w:ilvl w:val="0"/>
          <w:numId w:val="114"/>
        </w:numPr>
        <w:rPr>
          <w:rFonts w:ascii="Arial" w:cs="Arial" w:eastAsia="Arial" w:hAnsi="Arial"/>
          <w:sz w:val="21"/>
          <w:szCs w:val="21"/>
          <w:color w:val="auto"/>
        </w:rPr>
      </w:pPr>
      <w:r>
        <w:rPr>
          <w:rFonts w:ascii="Arial" w:cs="Arial" w:eastAsia="Arial" w:hAnsi="Arial"/>
          <w:sz w:val="21"/>
          <w:szCs w:val="21"/>
          <w:color w:val="auto"/>
        </w:rPr>
        <w:t>any Subsidiary of the Borrower may sell, lease, transfer or otherwise dispose of any or all of its assets (upon voluntary liquidation or otherwise) to the Borrower or any wholly owned Subsidiary Guarantor of the Borrower;</w:t>
      </w:r>
    </w:p>
    <w:p>
      <w:pPr>
        <w:spacing w:after="0" w:line="150" w:lineRule="exact"/>
        <w:rPr>
          <w:rFonts w:ascii="Arial" w:cs="Arial" w:eastAsia="Arial" w:hAnsi="Arial"/>
          <w:sz w:val="21"/>
          <w:szCs w:val="21"/>
          <w:color w:val="auto"/>
        </w:rPr>
      </w:pPr>
    </w:p>
    <w:p>
      <w:pPr>
        <w:ind w:right="160" w:firstLine="8"/>
        <w:spacing w:after="0" w:line="250" w:lineRule="auto"/>
        <w:tabs>
          <w:tab w:leader="none" w:pos="29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capital stock of any Subsidiary of the Borrower may be sold, transferred or otherwise disposed of to the Borrower or any wholly owned Subsidiary Guarantor of the Borrower;</w:t>
      </w:r>
    </w:p>
    <w:p>
      <w:pPr>
        <w:spacing w:after="0" w:line="174" w:lineRule="exact"/>
        <w:rPr>
          <w:rFonts w:ascii="Arial" w:cs="Arial" w:eastAsia="Arial" w:hAnsi="Arial"/>
          <w:sz w:val="22"/>
          <w:szCs w:val="22"/>
          <w:color w:val="auto"/>
        </w:rPr>
      </w:pPr>
    </w:p>
    <w:p>
      <w:pPr>
        <w:jc w:val="both"/>
        <w:ind w:right="40" w:firstLine="8"/>
        <w:spacing w:after="0" w:line="297" w:lineRule="auto"/>
        <w:tabs>
          <w:tab w:leader="none" w:pos="30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Obligors may sell, transfer or otherwise dispose of Portfolio Investments (other than to a Financing Subsidiary) so long as after giving effect to such sale, transfer or other disposition (and any concurrent acquisitions of Portfolio Investments or payment of outstanding Loans or Other Covered Indebtedness) the Covered Debt Amount does not exceed the Borrowing Base;</w:t>
      </w:r>
    </w:p>
    <w:p>
      <w:pPr>
        <w:sectPr>
          <w:pgSz w:w="11900" w:h="16838" w:orient="portrait"/>
          <w:cols w:equalWidth="0" w:num="1">
            <w:col w:w="11220"/>
          </w:cols>
          <w:pgMar w:left="320" w:top="118" w:right="359" w:bottom="0" w:gutter="0" w:footer="0" w:header="0"/>
        </w:sectPr>
      </w:pPr>
    </w:p>
    <w:bookmarkStart w:id="41" w:name="page42"/>
    <w:bookmarkEnd w:id="41"/>
    <w:p>
      <w:pPr>
        <w:spacing w:after="0" w:line="104" w:lineRule="exact"/>
        <w:rPr>
          <w:sz w:val="20"/>
          <w:szCs w:val="20"/>
          <w:color w:val="auto"/>
        </w:rPr>
      </w:pPr>
    </w:p>
    <w:p>
      <w:pPr>
        <w:ind w:right="180" w:firstLine="8"/>
        <w:spacing w:after="0" w:line="234" w:lineRule="auto"/>
        <w:tabs>
          <w:tab w:leader="none" w:pos="29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Obligors may sell, transfer or otherwise dispose of Portfolio Investments to a Financing Subsidiary so long as (i) after giving effect to such sale, transfer or other disposition (and any concurrent acquisitions of Portfolio Investments or payment of outstanding Loans or Other Covered Indebtedness)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91" w:lineRule="exact"/>
        <w:rPr>
          <w:rFonts w:ascii="Arial" w:cs="Arial" w:eastAsia="Arial" w:hAnsi="Arial"/>
          <w:sz w:val="22"/>
          <w:szCs w:val="22"/>
          <w:color w:val="auto"/>
        </w:rPr>
      </w:pPr>
    </w:p>
    <w:p>
      <w:pPr>
        <w:jc w:val="both"/>
        <w:ind w:right="20" w:firstLine="8"/>
        <w:spacing w:after="0" w:line="328" w:lineRule="auto"/>
        <w:tabs>
          <w:tab w:leader="none" w:pos="27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Borrower may merge or consolidate with any other Person so long as (i) the Borrower is the continuing or surviving entity in such transaction and (ii) at the time thereof and after giving effect thereto, no Default shall have occurred or be continuing; and</w:t>
      </w:r>
    </w:p>
    <w:p>
      <w:pPr>
        <w:spacing w:after="0" w:line="104" w:lineRule="exact"/>
        <w:rPr>
          <w:rFonts w:ascii="Arial" w:cs="Arial" w:eastAsia="Arial" w:hAnsi="Arial"/>
          <w:sz w:val="19"/>
          <w:szCs w:val="19"/>
          <w:color w:val="auto"/>
        </w:rPr>
      </w:pPr>
    </w:p>
    <w:p>
      <w:pPr>
        <w:ind w:right="240" w:firstLine="8"/>
        <w:spacing w:after="0"/>
        <w:tabs>
          <w:tab w:leader="none" w:pos="30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Borrower and its Subsidiaries may sell, lease, transfer or otherwise dispose of equipment or other property or assets that do not consist of Portfolio Investments so long as the aggregate amount of all such sales, leases, transfer and dispositions does not exceed $5,000,000 in any fiscal year.</w:t>
      </w:r>
    </w:p>
    <w:p>
      <w:pPr>
        <w:spacing w:after="0" w:line="186"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Investments</w:t>
      </w:r>
      <w:r>
        <w:rPr>
          <w:rFonts w:ascii="Arial" w:cs="Arial" w:eastAsia="Arial" w:hAnsi="Arial"/>
          <w:sz w:val="22"/>
          <w:szCs w:val="22"/>
          <w:color w:val="auto"/>
        </w:rPr>
        <w:t>. The Borrower will not, nor will it permit any of its Subsidiaries to, acquire, make or enter into, or hold, any Investments except:</w:t>
      </w:r>
    </w:p>
    <w:p>
      <w:pPr>
        <w:spacing w:after="0" w:line="175" w:lineRule="exact"/>
        <w:rPr>
          <w:sz w:val="20"/>
          <w:szCs w:val="20"/>
          <w:color w:val="auto"/>
        </w:rPr>
      </w:pPr>
    </w:p>
    <w:p>
      <w:pPr>
        <w:ind w:left="300" w:hanging="292"/>
        <w:spacing w:after="0"/>
        <w:tabs>
          <w:tab w:leader="none" w:pos="3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operating deposit accounts with banks;</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Investments by the Borrower and the Subsidiary Guarantors in the Borrower and the Subsidiary Guarantors;</w:t>
      </w:r>
    </w:p>
    <w:p>
      <w:pPr>
        <w:spacing w:after="0" w:line="206" w:lineRule="exact"/>
        <w:rPr>
          <w:rFonts w:ascii="Arial" w:cs="Arial" w:eastAsia="Arial" w:hAnsi="Arial"/>
          <w:sz w:val="22"/>
          <w:szCs w:val="22"/>
          <w:color w:val="auto"/>
        </w:rPr>
      </w:pPr>
    </w:p>
    <w:p>
      <w:pPr>
        <w:ind w:right="860" w:firstLine="8"/>
        <w:spacing w:after="0" w:line="250" w:lineRule="auto"/>
        <w:tabs>
          <w:tab w:leader="none" w:pos="29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Hedging Agreements entered into in the ordinary course of the Borrower's financial planning and not for speculative purposes;</w:t>
      </w:r>
    </w:p>
    <w:p>
      <w:pPr>
        <w:spacing w:after="0" w:line="174" w:lineRule="exact"/>
        <w:rPr>
          <w:rFonts w:ascii="Arial" w:cs="Arial" w:eastAsia="Arial" w:hAnsi="Arial"/>
          <w:sz w:val="22"/>
          <w:szCs w:val="22"/>
          <w:color w:val="auto"/>
        </w:rPr>
      </w:pPr>
    </w:p>
    <w:p>
      <w:pPr>
        <w:ind w:right="300" w:firstLine="8"/>
        <w:spacing w:after="0" w:line="250" w:lineRule="auto"/>
        <w:tabs>
          <w:tab w:leader="none" w:pos="30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Portfolio Investments by the Borrower and its Subsidiaries to the extent such Portfolio Investments are permitted under the Investment Company Act and the Borrower's Investment Policies;</w:t>
      </w:r>
    </w:p>
    <w:p>
      <w:pPr>
        <w:spacing w:after="0" w:line="174" w:lineRule="exact"/>
        <w:rPr>
          <w:rFonts w:ascii="Arial" w:cs="Arial" w:eastAsia="Arial" w:hAnsi="Arial"/>
          <w:sz w:val="22"/>
          <w:szCs w:val="22"/>
          <w:color w:val="auto"/>
        </w:rPr>
      </w:pPr>
    </w:p>
    <w:p>
      <w:pPr>
        <w:ind w:left="300" w:hanging="292"/>
        <w:spacing w:after="0"/>
        <w:tabs>
          <w:tab w:leader="none" w:pos="3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Investments in Financing Subsidiaries; and</w:t>
      </w:r>
    </w:p>
    <w:p>
      <w:pPr>
        <w:spacing w:after="0" w:line="206" w:lineRule="exact"/>
        <w:rPr>
          <w:rFonts w:ascii="Arial" w:cs="Arial" w:eastAsia="Arial" w:hAnsi="Arial"/>
          <w:sz w:val="22"/>
          <w:szCs w:val="22"/>
          <w:color w:val="auto"/>
        </w:rPr>
      </w:pPr>
    </w:p>
    <w:p>
      <w:pPr>
        <w:ind w:left="280" w:hanging="272"/>
        <w:spacing w:after="0"/>
        <w:tabs>
          <w:tab w:leader="none" w:pos="2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additional Investments up to but not exceeding $50,000,000 in the aggregate.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clause (f) of this Section, the aggregate amount of an Investment at any time shall be deemed to be equal to</w:t>
      </w:r>
    </w:p>
    <w:p>
      <w:pPr>
        <w:spacing w:after="0" w:line="43" w:lineRule="exact"/>
        <w:rPr>
          <w:sz w:val="20"/>
          <w:szCs w:val="20"/>
          <w:color w:val="auto"/>
        </w:rPr>
      </w:pPr>
    </w:p>
    <w:p>
      <w:pPr>
        <w:ind w:right="20" w:firstLine="8"/>
        <w:spacing w:after="0" w:line="275" w:lineRule="auto"/>
        <w:tabs>
          <w:tab w:leader="none" w:pos="354"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the aggregate amount of cash, together with the aggregate fair market value of property, loaned, advanced, contributed, transferred or otherwise invested that gives rise to such Investment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aggregate amount of dividends, distributions or other payments received in cash in respect of such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54" w:lineRule="exact"/>
        <w:rPr>
          <w:sz w:val="20"/>
          <w:szCs w:val="20"/>
          <w:color w:val="auto"/>
        </w:rPr>
      </w:pPr>
    </w:p>
    <w:p>
      <w:pPr>
        <w:ind w:right="420"/>
        <w:spacing w:after="0" w:line="328"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u w:val="single" w:color="auto"/>
          <w:color w:val="auto"/>
        </w:rPr>
        <w:t>Restricted Payments</w:t>
      </w:r>
      <w:r>
        <w:rPr>
          <w:rFonts w:ascii="Arial" w:cs="Arial" w:eastAsia="Arial" w:hAnsi="Arial"/>
          <w:sz w:val="19"/>
          <w:szCs w:val="19"/>
          <w:color w:val="auto"/>
        </w:rPr>
        <w:t>. The Borrower will not, nor will it permit any of its Subsidiaries to, declare or make, or agree to pay or make, directly or indirectly, any Restricted Payment, except that the Borrower may declare and pay:</w:t>
      </w:r>
    </w:p>
    <w:p>
      <w:pPr>
        <w:spacing w:after="0" w:line="105" w:lineRule="exact"/>
        <w:rPr>
          <w:sz w:val="20"/>
          <w:szCs w:val="20"/>
          <w:color w:val="auto"/>
        </w:rPr>
      </w:pPr>
    </w:p>
    <w:p>
      <w:pPr>
        <w:ind w:right="480" w:firstLine="8"/>
        <w:spacing w:after="0" w:line="250" w:lineRule="auto"/>
        <w:tabs>
          <w:tab w:leader="none" w:pos="29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dividends with respect to the capital stock of the Borrower payable solely in additional shares of the Borrower's common stock;</w:t>
      </w:r>
    </w:p>
    <w:p>
      <w:pPr>
        <w:spacing w:after="0" w:line="174" w:lineRule="exact"/>
        <w:rPr>
          <w:rFonts w:ascii="Arial" w:cs="Arial" w:eastAsia="Arial" w:hAnsi="Arial"/>
          <w:sz w:val="22"/>
          <w:szCs w:val="22"/>
          <w:color w:val="auto"/>
        </w:rPr>
      </w:pPr>
    </w:p>
    <w:p>
      <w:pPr>
        <w:ind w:left="320" w:hanging="312"/>
        <w:spacing w:after="0"/>
        <w:tabs>
          <w:tab w:leader="none" w:pos="32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dividends and distributions in either case in cash or other property (excluding for this purpose the Borrower's common</w:t>
      </w:r>
    </w:p>
    <w:p>
      <w:pPr>
        <w:spacing w:after="0" w:line="20" w:lineRule="exact"/>
        <w:rPr>
          <w:sz w:val="20"/>
          <w:szCs w:val="20"/>
          <w:color w:val="auto"/>
        </w:rPr>
      </w:pPr>
    </w:p>
    <w:p>
      <w:pPr>
        <w:ind w:right="40"/>
        <w:spacing w:after="0" w:line="280" w:lineRule="auto"/>
        <w:rPr>
          <w:sz w:val="20"/>
          <w:szCs w:val="20"/>
          <w:color w:val="auto"/>
        </w:rPr>
      </w:pPr>
      <w:r>
        <w:rPr>
          <w:rFonts w:ascii="Arial" w:cs="Arial" w:eastAsia="Arial" w:hAnsi="Arial"/>
          <w:sz w:val="19"/>
          <w:szCs w:val="19"/>
          <w:color w:val="auto"/>
        </w:rPr>
        <w:t>stock) in any taxable year of the Borrower in amounts not to exceed the amount that is estimated in good faith by the Borrower to be required to (i) reduce to zero for such taxable year or for the previous taxable year, its investment company taxable income (within the meaning of Section 852(b)(2) of the Code) and reduce to zero the tax imposed by Section 852(b)(3) of the Code, and (ii) avoid federal excise taxes for such taxable year imposed by Section 4982 of the Code;</w:t>
      </w:r>
    </w:p>
    <w:p>
      <w:pPr>
        <w:spacing w:after="0" w:line="150" w:lineRule="exact"/>
        <w:rPr>
          <w:sz w:val="20"/>
          <w:szCs w:val="20"/>
          <w:color w:val="auto"/>
        </w:rPr>
      </w:pPr>
    </w:p>
    <w:p>
      <w:pPr>
        <w:ind w:firstLine="8"/>
        <w:spacing w:after="0"/>
        <w:tabs>
          <w:tab w:leader="none" w:pos="29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dividends and distributions in each case in cash or other property (excluding for this purpose the Borrower's common stock) in addition to the dividends and distributions permitted under the foregoing clauses (a) and (b), so long as on the date of such Restricted Payment and after giving effect thereto:</w:t>
      </w:r>
    </w:p>
    <w:p>
      <w:pPr>
        <w:spacing w:after="0" w:line="186" w:lineRule="exact"/>
        <w:rPr>
          <w:sz w:val="20"/>
          <w:szCs w:val="20"/>
          <w:color w:val="auto"/>
        </w:rPr>
      </w:pPr>
    </w:p>
    <w:p>
      <w:pPr>
        <w:ind w:left="260" w:hanging="252"/>
        <w:spacing w:after="0"/>
        <w:tabs>
          <w:tab w:leader="none" w:pos="2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no Default shall have occurred and be continuing; and</w:t>
      </w:r>
    </w:p>
    <w:p>
      <w:pPr>
        <w:spacing w:after="0" w:line="206" w:lineRule="exact"/>
        <w:rPr>
          <w:rFonts w:ascii="Arial" w:cs="Arial" w:eastAsia="Arial" w:hAnsi="Arial"/>
          <w:sz w:val="22"/>
          <w:szCs w:val="22"/>
          <w:color w:val="auto"/>
        </w:rPr>
      </w:pPr>
    </w:p>
    <w:p>
      <w:pPr>
        <w:ind w:right="40" w:firstLine="8"/>
        <w:spacing w:after="0" w:line="279" w:lineRule="auto"/>
        <w:tabs>
          <w:tab w:leader="none" w:pos="318"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aggregate amount of Restricted Payments made during any taxable year of the Borrower after the date hereof under this clause (c) shall not exceed the sum of (x) an amount equal to 10% of the taxable income of the Borrower for such taxable year determined under section 852(b)(2) of the Code, but without regard to subparagraphs (A), (B) or (D) thereof, minus (y) the amount, if any, by which dividends and distributions made during such taxable year pursuant to the foregoing clause (b) (whether in respect of such taxable year or the previous taxable year) based upon the Borrower's estimate of taxable income exceeded the actual amounts specified in subclauses (i) and (ii) of such foregoing clause (b) for such taxable year.</w:t>
      </w:r>
    </w:p>
    <w:p>
      <w:pPr>
        <w:spacing w:after="0" w:line="150" w:lineRule="exact"/>
        <w:rPr>
          <w:sz w:val="20"/>
          <w:szCs w:val="20"/>
          <w:color w:val="auto"/>
        </w:rPr>
      </w:pPr>
    </w:p>
    <w:p>
      <w:pPr>
        <w:ind w:left="320" w:hanging="312"/>
        <w:spacing w:after="0"/>
        <w:tabs>
          <w:tab w:leader="none" w:pos="32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other Restricted Payments so long as (i) on the date of such other Restricted Payment and after giving effect thereto (x)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Covered Debt Amount does not exceed 90% of the Borrowing Base and (y) no Default shall have occurred and be continuing and</w:t>
      </w:r>
    </w:p>
    <w:p>
      <w:pPr>
        <w:spacing w:after="0" w:line="24" w:lineRule="exact"/>
        <w:rPr>
          <w:rFonts w:ascii="Arial" w:cs="Arial" w:eastAsia="Arial" w:hAnsi="Arial"/>
          <w:sz w:val="19"/>
          <w:szCs w:val="19"/>
          <w:color w:val="auto"/>
        </w:rPr>
      </w:pPr>
    </w:p>
    <w:p>
      <w:pPr>
        <w:ind w:right="20" w:firstLine="8"/>
        <w:spacing w:after="0" w:line="287" w:lineRule="auto"/>
        <w:tabs>
          <w:tab w:leader="none" w:pos="318" w:val="left"/>
        </w:tabs>
        <w:numPr>
          <w:ilvl w:val="0"/>
          <w:numId w:val="122"/>
        </w:numPr>
        <w:rPr>
          <w:rFonts w:ascii="Arial" w:cs="Arial" w:eastAsia="Arial" w:hAnsi="Arial"/>
          <w:sz w:val="19"/>
          <w:szCs w:val="19"/>
          <w:color w:val="auto"/>
        </w:rPr>
      </w:pPr>
      <w:r>
        <w:rPr>
          <w:rFonts w:ascii="Arial" w:cs="Arial" w:eastAsia="Arial" w:hAnsi="Arial"/>
          <w:sz w:val="19"/>
          <w:szCs w:val="19"/>
          <w:color w:val="auto"/>
        </w:rPr>
        <w:t>on the date of such other Restricted Payment the Borrower delivers to the Administrative Agent and each Lender a Borrowing Base Certificate as at such date demonstrating compliance with subclause (x) after giving effect to such Restricted Payment. For purposes of preparing such Borrowing Base Certificate, (A) the fair market value of Portfolio Investments for which market</w:t>
      </w:r>
    </w:p>
    <w:p>
      <w:pPr>
        <w:sectPr>
          <w:pgSz w:w="11900" w:h="16942" w:orient="portrait"/>
          <w:cols w:equalWidth="0" w:num="1">
            <w:col w:w="11240"/>
          </w:cols>
          <w:pgMar w:left="320" w:top="118" w:right="339" w:bottom="0" w:gutter="0" w:footer="0" w:header="0"/>
        </w:sectPr>
      </w:pPr>
    </w:p>
    <w:bookmarkStart w:id="42" w:name="page43"/>
    <w:bookmarkEnd w:id="42"/>
    <w:p>
      <w:pPr>
        <w:spacing w:after="0" w:line="34" w:lineRule="exact"/>
        <w:rPr>
          <w:sz w:val="20"/>
          <w:szCs w:val="20"/>
          <w:color w:val="auto"/>
        </w:rPr>
      </w:pPr>
    </w:p>
    <w:p>
      <w:pPr>
        <w:jc w:val="both"/>
        <w:ind w:right="100"/>
        <w:spacing w:after="0" w:line="273" w:lineRule="auto"/>
        <w:rPr>
          <w:sz w:val="20"/>
          <w:szCs w:val="20"/>
          <w:color w:val="auto"/>
        </w:rPr>
      </w:pPr>
      <w:r>
        <w:rPr>
          <w:rFonts w:ascii="Arial" w:cs="Arial" w:eastAsia="Arial" w:hAnsi="Arial"/>
          <w:sz w:val="19"/>
          <w:szCs w:val="19"/>
          <w:color w:val="auto"/>
        </w:rPr>
        <w:t>quotations are readily available shall be the most recent quotation available for such Portfolio Investment and (B) the fair market value of Portfolio Investments for which market quotations are not readily available shall be the Value set forth in the Borrowing Base Certificate most recently delivered by the Borrower to the Administrative Agen t and the Lenders pursuant to</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Section 5.01(d); </w:t>
      </w:r>
      <w:r>
        <w:rPr>
          <w:rFonts w:ascii="Arial" w:cs="Arial" w:eastAsia="Arial" w:hAnsi="Arial"/>
          <w:sz w:val="19"/>
          <w:szCs w:val="19"/>
          <w:u w:val="single" w:color="auto"/>
          <w:color w:val="auto"/>
        </w:rPr>
        <w:t>provided</w:t>
      </w:r>
      <w:r>
        <w:rPr>
          <w:rFonts w:ascii="Arial" w:cs="Arial" w:eastAsia="Arial" w:hAnsi="Arial"/>
          <w:sz w:val="19"/>
          <w:szCs w:val="19"/>
          <w:color w:val="auto"/>
        </w:rPr>
        <w:t>, that the Borrower shall reduce the Value of any Portfolio Investment referred to in this sub-clause</w:t>
      </w:r>
    </w:p>
    <w:p>
      <w:pPr>
        <w:spacing w:after="0" w:line="25" w:lineRule="exact"/>
        <w:rPr>
          <w:sz w:val="20"/>
          <w:szCs w:val="20"/>
          <w:color w:val="auto"/>
        </w:rPr>
      </w:pPr>
    </w:p>
    <w:p>
      <w:pPr>
        <w:ind w:right="200" w:firstLine="8"/>
        <w:spacing w:after="0" w:line="236" w:lineRule="auto"/>
        <w:tabs>
          <w:tab w:leader="none" w:pos="34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to the extent necessary to take into account any events of which the Borrower has knowledge that adversely affect the value of such Portfolio Investment.</w:t>
      </w:r>
    </w:p>
    <w:p>
      <w:pPr>
        <w:spacing w:after="0" w:line="187" w:lineRule="exact"/>
        <w:rPr>
          <w:sz w:val="20"/>
          <w:szCs w:val="20"/>
          <w:color w:val="auto"/>
        </w:rPr>
      </w:pPr>
    </w:p>
    <w:p>
      <w:pPr>
        <w:ind w:right="760"/>
        <w:spacing w:after="0" w:line="250" w:lineRule="auto"/>
        <w:rPr>
          <w:sz w:val="20"/>
          <w:szCs w:val="20"/>
          <w:color w:val="auto"/>
        </w:rPr>
      </w:pPr>
      <w:r>
        <w:rPr>
          <w:rFonts w:ascii="Arial" w:cs="Arial" w:eastAsia="Arial" w:hAnsi="Arial"/>
          <w:sz w:val="22"/>
          <w:szCs w:val="22"/>
          <w:color w:val="auto"/>
        </w:rPr>
        <w:t>Nothing herein shall be deemed to prohibit the payment of Restricted Payments by any Subsidiary of the Borrower to the Borrower or to any other Subsidiary Guarantor.</w:t>
      </w:r>
    </w:p>
    <w:p>
      <w:pPr>
        <w:spacing w:after="0" w:line="175"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 xml:space="preserve">SECTION 6.06. </w:t>
      </w:r>
      <w:r>
        <w:rPr>
          <w:rFonts w:ascii="Arial" w:cs="Arial" w:eastAsia="Arial" w:hAnsi="Arial"/>
          <w:sz w:val="21"/>
          <w:szCs w:val="21"/>
          <w:u w:val="single" w:color="auto"/>
          <w:color w:val="auto"/>
        </w:rPr>
        <w:t>Certain Restrictions on Subsidiaries</w:t>
      </w:r>
      <w:r>
        <w:rPr>
          <w:rFonts w:ascii="Arial" w:cs="Arial" w:eastAsia="Arial" w:hAnsi="Arial"/>
          <w:sz w:val="21"/>
          <w:szCs w:val="21"/>
          <w:color w:val="auto"/>
        </w:rPr>
        <w:t>. The Borrower will not permit any of its Subsidiaries (other than Financing Subsidiaries) to enter into or suffer to exist any indenture, agreement, instrument or other arrangement that prohibits or restrains, in each case in any material respect, or imposes materially adverse conditions upon, the incurrence or payment of Indebtedness, the granting of Liens, the declaration or payment of dividends, the making of loans, advances, guarantees or Investments or the sale, assignment, transfer or other disposition of property.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u w:val="single" w:color="auto"/>
          <w:color w:val="auto"/>
        </w:rPr>
        <w:t>Certain Financial Covenants</w:t>
      </w:r>
      <w:r>
        <w:rPr>
          <w:rFonts w:ascii="Arial" w:cs="Arial" w:eastAsia="Arial" w:hAnsi="Arial"/>
          <w:sz w:val="22"/>
          <w:szCs w:val="22"/>
          <w:color w:val="auto"/>
        </w:rPr>
        <w:t>.</w:t>
      </w:r>
    </w:p>
    <w:p>
      <w:pPr>
        <w:spacing w:after="0" w:line="206" w:lineRule="exact"/>
        <w:rPr>
          <w:sz w:val="20"/>
          <w:szCs w:val="20"/>
          <w:color w:val="auto"/>
        </w:rPr>
      </w:pPr>
    </w:p>
    <w:p>
      <w:pPr>
        <w:ind w:right="120" w:firstLine="8"/>
        <w:spacing w:after="0" w:line="287" w:lineRule="auto"/>
        <w:tabs>
          <w:tab w:leader="none" w:pos="294"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Minimum Shareholders' Equity</w:t>
      </w:r>
      <w:r>
        <w:rPr>
          <w:rFonts w:ascii="Arial" w:cs="Arial" w:eastAsia="Arial" w:hAnsi="Arial"/>
          <w:sz w:val="19"/>
          <w:szCs w:val="19"/>
          <w:color w:val="auto"/>
        </w:rPr>
        <w:t>. The Borrower will not permit Shareholders' Equity at the last day of any fiscal quarter of the Borrower to be less than the greater of (i) 40% of the total assets of the Borrower and its Subsidiaries as at the last day of such fiscal quarter (determined on a consolidated basis, without duplication, in accordance with GAAP) and (ii) $120,000,000 plus 25% of the net proceeds of the sale of Equity Interests by the Borrower and its Subsidiaries after the Effective Date.</w:t>
      </w:r>
    </w:p>
    <w:p>
      <w:pPr>
        <w:spacing w:after="0" w:line="142" w:lineRule="exact"/>
        <w:rPr>
          <w:rFonts w:ascii="Arial" w:cs="Arial" w:eastAsia="Arial" w:hAnsi="Arial"/>
          <w:sz w:val="19"/>
          <w:szCs w:val="19"/>
          <w:color w:val="auto"/>
        </w:rPr>
      </w:pPr>
    </w:p>
    <w:p>
      <w:pPr>
        <w:ind w:left="320" w:hanging="312"/>
        <w:spacing w:after="0"/>
        <w:tabs>
          <w:tab w:leader="none" w:pos="320"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Asset Coverage Ratio</w:t>
      </w:r>
      <w:r>
        <w:rPr>
          <w:rFonts w:ascii="Arial" w:cs="Arial" w:eastAsia="Arial" w:hAnsi="Arial"/>
          <w:sz w:val="21"/>
          <w:szCs w:val="21"/>
          <w:color w:val="auto"/>
        </w:rPr>
        <w:t>. The Borrower will not permit the Asset Coverage Ratio to be less than 2.00 to 1 at any time.</w:t>
      </w:r>
    </w:p>
    <w:p>
      <w:pPr>
        <w:spacing w:after="0" w:line="217" w:lineRule="exact"/>
        <w:rPr>
          <w:rFonts w:ascii="Arial" w:cs="Arial" w:eastAsia="Arial" w:hAnsi="Arial"/>
          <w:sz w:val="21"/>
          <w:szCs w:val="21"/>
          <w:color w:val="auto"/>
        </w:rPr>
      </w:pPr>
    </w:p>
    <w:p>
      <w:pPr>
        <w:ind w:firstLine="8"/>
        <w:spacing w:after="0" w:line="238" w:lineRule="auto"/>
        <w:tabs>
          <w:tab w:leader="none" w:pos="294"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Liquidity Test</w:t>
      </w:r>
      <w:r>
        <w:rPr>
          <w:rFonts w:ascii="Arial" w:cs="Arial" w:eastAsia="Arial" w:hAnsi="Arial"/>
          <w:sz w:val="22"/>
          <w:szCs w:val="22"/>
          <w:color w:val="auto"/>
        </w:rPr>
        <w:t>. The Borrower will not permit the aggregate Value of the Portfolio Investments that can be converted to Cash in fewer than 10 Business Days without more than a 5% change in price to be less than 10% of the Covered Debt Amount for more than 30 Business Days during any period when the Adjusted Covered Debt Balance is greater than 90% of the Adjusted Borrowing Base.</w:t>
      </w:r>
    </w:p>
    <w:p>
      <w:pPr>
        <w:spacing w:after="0" w:line="185"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u w:val="single" w:color="auto"/>
          <w:color w:val="auto"/>
        </w:rPr>
        <w:t>Transactions with Affiliates</w:t>
      </w:r>
      <w:r>
        <w:rPr>
          <w:rFonts w:ascii="Arial" w:cs="Arial" w:eastAsia="Arial" w:hAnsi="Arial"/>
          <w:sz w:val="22"/>
          <w:szCs w:val="22"/>
          <w:color w:val="auto"/>
        </w:rPr>
        <w:t>. The Borrower will not, and will not permit any of its Subsidiaries to enter into any transactions with any of its Affiliates, even if otherwise permitted under this Agreement, except (a) transactions in the ordinary course of business at prices and on terms and conditions not less favorable to the Borrower or such Subsidiary than could be obtained on an arm's-length basis from unrelated third parties, (b) transactions between or among the Borrower and its Subsidiaries not involving any other Affiliate, (c) Restricted Payments permitted by Section 6.05, (d) the transactions provided in the Affiliate Agreements, (e) transactions described on Schedule 6.08 or (f) any Investment that results in the creation of an Affiliate.</w:t>
      </w:r>
    </w:p>
    <w:p>
      <w:pPr>
        <w:spacing w:after="0" w:line="191"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 xml:space="preserve">SECTION 6.09. </w:t>
      </w:r>
      <w:r>
        <w:rPr>
          <w:rFonts w:ascii="Arial" w:cs="Arial" w:eastAsia="Arial" w:hAnsi="Arial"/>
          <w:sz w:val="22"/>
          <w:szCs w:val="22"/>
          <w:u w:val="single" w:color="auto"/>
          <w:color w:val="auto"/>
        </w:rPr>
        <w:t>Lines of Business</w:t>
      </w:r>
      <w:r>
        <w:rPr>
          <w:rFonts w:ascii="Arial" w:cs="Arial" w:eastAsia="Arial" w:hAnsi="Arial"/>
          <w:sz w:val="22"/>
          <w:szCs w:val="22"/>
          <w:color w:val="auto"/>
        </w:rPr>
        <w:t>. The Borrower will not, nor will it permit any of its Subsidiaries to, engage to any material extent in any business other than in accordance with its Investment Policies.</w:t>
      </w:r>
    </w:p>
    <w:p>
      <w:pPr>
        <w:spacing w:after="0" w:line="175"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No Further Negative Pledge</w:t>
      </w:r>
      <w:r>
        <w:rPr>
          <w:rFonts w:ascii="Arial" w:cs="Arial" w:eastAsia="Arial" w:hAnsi="Arial"/>
          <w:sz w:val="19"/>
          <w:szCs w:val="19"/>
          <w:color w:val="auto"/>
        </w:rPr>
        <w:t>. The Borrower will not, and will not permit any of its Subsidiaries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and the other Loan Documents; (b) covenants in documents creating Liens permitted by Section 6.02 prohibiting further Liens on the assets encumbered thereby; (c) customary restrictions contained in leases not subject to a waiver; and (d) any other agreement that does not restrict in any manner (directly or indirectly) Liens created pursuant to the Loan Documents on any Collateral securing the "Secured Obligations" under and as defined in the Gu 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61"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Modifications of Longer-Term Documents</w:t>
      </w:r>
      <w:r>
        <w:rPr>
          <w:rFonts w:ascii="Arial" w:cs="Arial" w:eastAsia="Arial" w:hAnsi="Arial"/>
          <w:sz w:val="22"/>
          <w:szCs w:val="22"/>
          <w:color w:val="auto"/>
        </w:rPr>
        <w:t>. The Borrower will not consent to any modification, supplement or waiver of:</w:t>
      </w:r>
    </w:p>
    <w:p>
      <w:pPr>
        <w:spacing w:after="0" w:line="175" w:lineRule="exact"/>
        <w:rPr>
          <w:sz w:val="20"/>
          <w:szCs w:val="20"/>
          <w:color w:val="auto"/>
        </w:rPr>
      </w:pPr>
    </w:p>
    <w:p>
      <w:pPr>
        <w:ind w:right="20" w:firstLine="8"/>
        <w:spacing w:after="0" w:line="273" w:lineRule="auto"/>
        <w:tabs>
          <w:tab w:leader="none" w:pos="294" w:val="left"/>
        </w:tabs>
        <w:numPr>
          <w:ilvl w:val="0"/>
          <w:numId w:val="125"/>
        </w:numPr>
        <w:rPr>
          <w:rFonts w:ascii="Arial" w:cs="Arial" w:eastAsia="Arial" w:hAnsi="Arial"/>
          <w:sz w:val="19"/>
          <w:szCs w:val="19"/>
          <w:color w:val="auto"/>
        </w:rPr>
      </w:pPr>
      <w:r>
        <w:rPr>
          <w:rFonts w:ascii="Arial" w:cs="Arial" w:eastAsia="Arial" w:hAnsi="Arial"/>
          <w:sz w:val="19"/>
          <w:szCs w:val="19"/>
          <w:color w:val="auto"/>
        </w:rPr>
        <w:t>any of the provisions of any agreement, instrument or other document evidencing or relating to any Secured Longer-Term Indebtedness or Unsecured Longer-Term Indebtedness that would result in such Indebtedness not meeting the requirements of the definition of "Secured Longer-Term Secured Indebtedness" and "Unsecured Longer-Term Indebtedness", as applicable, set forth in Section 1.01 of this Agreement, unless (i) in the case of Secured Longer 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 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55" w:lineRule="exact"/>
        <w:rPr>
          <w:rFonts w:ascii="Arial" w:cs="Arial" w:eastAsia="Arial" w:hAnsi="Arial"/>
          <w:sz w:val="19"/>
          <w:szCs w:val="19"/>
          <w:color w:val="auto"/>
        </w:rPr>
      </w:pPr>
    </w:p>
    <w:p>
      <w:pPr>
        <w:ind w:right="320" w:firstLine="8"/>
        <w:spacing w:after="0" w:line="328" w:lineRule="auto"/>
        <w:tabs>
          <w:tab w:leader="none" w:pos="306" w:val="left"/>
        </w:tabs>
        <w:numPr>
          <w:ilvl w:val="0"/>
          <w:numId w:val="125"/>
        </w:numPr>
        <w:rPr>
          <w:rFonts w:ascii="Arial" w:cs="Arial" w:eastAsia="Arial" w:hAnsi="Arial"/>
          <w:sz w:val="19"/>
          <w:szCs w:val="19"/>
          <w:color w:val="auto"/>
        </w:rPr>
      </w:pPr>
      <w:r>
        <w:rPr>
          <w:rFonts w:ascii="Arial" w:cs="Arial" w:eastAsia="Arial" w:hAnsi="Arial"/>
          <w:sz w:val="19"/>
          <w:szCs w:val="19"/>
          <w:color w:val="auto"/>
        </w:rPr>
        <w:t>any of the Affiliate Agreements, unless such modification, supplement or waiver is not less favorable to the Borrower than could be obtained on an arm's-length basis from unrelated third parties, in each case, without the prior consent of the</w:t>
      </w:r>
    </w:p>
    <w:p>
      <w:pPr>
        <w:sectPr>
          <w:pgSz w:w="11900" w:h="16873" w:orient="portrait"/>
          <w:cols w:equalWidth="0" w:num="1">
            <w:col w:w="11240"/>
          </w:cols>
          <w:pgMar w:left="320" w:top="118" w:right="339" w:bottom="0" w:gutter="0" w:footer="0" w:header="0"/>
        </w:sectPr>
      </w:pPr>
    </w:p>
    <w:bookmarkStart w:id="43" w:name="page44"/>
    <w:bookmarkEnd w:id="43"/>
    <w:p>
      <w:pPr>
        <w:spacing w:after="0"/>
        <w:rPr>
          <w:sz w:val="20"/>
          <w:szCs w:val="20"/>
          <w:color w:val="auto"/>
        </w:rPr>
      </w:pPr>
      <w:r>
        <w:rPr>
          <w:rFonts w:ascii="Arial" w:cs="Arial" w:eastAsia="Arial" w:hAnsi="Arial"/>
          <w:sz w:val="22"/>
          <w:szCs w:val="22"/>
          <w:color w:val="auto"/>
        </w:rPr>
        <w:t>Administrative Agent (with the approval of the Required Lenders).</w:t>
      </w:r>
    </w:p>
    <w:p>
      <w:pPr>
        <w:spacing w:after="0" w:line="207" w:lineRule="exact"/>
        <w:rPr>
          <w:sz w:val="20"/>
          <w:szCs w:val="20"/>
          <w:color w:val="auto"/>
        </w:rPr>
      </w:pPr>
    </w:p>
    <w:p>
      <w:pPr>
        <w:ind w:right="140"/>
        <w:spacing w:after="0" w:line="245" w:lineRule="auto"/>
        <w:rPr>
          <w:sz w:val="20"/>
          <w:szCs w:val="20"/>
          <w:color w:val="auto"/>
        </w:rPr>
      </w:pPr>
      <w:r>
        <w:rPr>
          <w:rFonts w:ascii="Arial" w:cs="Arial" w:eastAsia="Arial" w:hAnsi="Arial"/>
          <w:sz w:val="21"/>
          <w:szCs w:val="21"/>
          <w:color w:val="auto"/>
        </w:rPr>
        <w:t xml:space="preserve">SECTION 6.12. </w:t>
      </w:r>
      <w:r>
        <w:rPr>
          <w:rFonts w:ascii="Arial" w:cs="Arial" w:eastAsia="Arial" w:hAnsi="Arial"/>
          <w:sz w:val="21"/>
          <w:szCs w:val="21"/>
          <w:u w:val="single" w:color="auto"/>
          <w:color w:val="auto"/>
        </w:rPr>
        <w:t>Payments of Longer-Term Indebtedness</w:t>
      </w:r>
      <w:r>
        <w:rPr>
          <w:rFonts w:ascii="Arial" w:cs="Arial" w:eastAsia="Arial" w:hAnsi="Arial"/>
          <w:sz w:val="21"/>
          <w:szCs w:val="21"/>
          <w:color w:val="auto"/>
        </w:rPr>
        <w:t>. The Borrower will not, nor will it permit any of its Subsidiaries (other than Financing Subsidiaries)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or Unsecured Longer-Term Indebtedness (other than the refinancing of Secured Longer-Term Indebtedness or Unsecured Longer-Term Indebtedness with Indebtedness permitted under Section 6.01), except for (a) regularly scheduled payments, prepayments or redemptions of principal and interest in respect thereof required pursuant to the instruments evidencing such Indebtedness, or (b) payments and prepayments of Secured Longer-Term Indebtedness required to comply with requirements of Section 2.10(c).</w:t>
      </w:r>
    </w:p>
    <w:p>
      <w:pPr>
        <w:spacing w:after="0" w:line="184"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ARTICLE VII</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EVENTS OF DEFAULT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If any of the following events ("</w:t>
      </w:r>
      <w:r>
        <w:rPr>
          <w:rFonts w:ascii="Arial" w:cs="Arial" w:eastAsia="Arial" w:hAnsi="Arial"/>
          <w:sz w:val="22"/>
          <w:szCs w:val="22"/>
          <w:u w:val="single" w:color="auto"/>
          <w:color w:val="auto"/>
        </w:rPr>
        <w:t>Events of Default</w:t>
      </w:r>
      <w:r>
        <w:rPr>
          <w:rFonts w:ascii="Arial" w:cs="Arial" w:eastAsia="Arial" w:hAnsi="Arial"/>
          <w:sz w:val="22"/>
          <w:szCs w:val="22"/>
          <w:color w:val="auto"/>
        </w:rPr>
        <w:t>") shall occur and be continuing:</w:t>
      </w:r>
    </w:p>
    <w:p>
      <w:pPr>
        <w:spacing w:after="0" w:line="206" w:lineRule="exact"/>
        <w:rPr>
          <w:sz w:val="20"/>
          <w:szCs w:val="20"/>
          <w:color w:val="auto"/>
        </w:rPr>
      </w:pPr>
    </w:p>
    <w:p>
      <w:pPr>
        <w:ind w:left="300" w:hanging="292"/>
        <w:spacing w:after="0"/>
        <w:tabs>
          <w:tab w:leader="none" w:pos="3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Borrower shall (i) fail to pay any principal of any Loan or any reimbursement obligation in respect of any LC</w:t>
      </w:r>
    </w:p>
    <w:p>
      <w:pPr>
        <w:spacing w:after="0" w:line="8" w:lineRule="exact"/>
        <w:rPr>
          <w:rFonts w:ascii="Arial" w:cs="Arial" w:eastAsia="Arial" w:hAnsi="Arial"/>
          <w:sz w:val="22"/>
          <w:szCs w:val="22"/>
          <w:color w:val="auto"/>
        </w:rPr>
      </w:pPr>
    </w:p>
    <w:p>
      <w:pPr>
        <w:ind w:right="460"/>
        <w:spacing w:after="0" w:line="234" w:lineRule="auto"/>
        <w:rPr>
          <w:rFonts w:ascii="Arial" w:cs="Arial" w:eastAsia="Arial" w:hAnsi="Arial"/>
          <w:sz w:val="22"/>
          <w:szCs w:val="22"/>
          <w:color w:val="auto"/>
        </w:rPr>
      </w:pPr>
      <w:r>
        <w:rPr>
          <w:rFonts w:ascii="Arial" w:cs="Arial" w:eastAsia="Arial" w:hAnsi="Arial"/>
          <w:sz w:val="22"/>
          <w:szCs w:val="22"/>
          <w:color w:val="auto"/>
        </w:rPr>
        <w:t>Disbursement when and as the same shall become due and payable, whether at the due date thereof or at a date fixed for prepayment thereof or otherwise or (ii) fail to deposit any amount into the Letter of Credit Collateral Account as required by Section 2.09(a) on the Commitment Termination Date;</w:t>
      </w:r>
    </w:p>
    <w:p>
      <w:pPr>
        <w:spacing w:after="0" w:line="187" w:lineRule="exact"/>
        <w:rPr>
          <w:rFonts w:ascii="Arial" w:cs="Arial" w:eastAsia="Arial" w:hAnsi="Arial"/>
          <w:sz w:val="22"/>
          <w:szCs w:val="22"/>
          <w:color w:val="auto"/>
        </w:rPr>
      </w:pPr>
    </w:p>
    <w:p>
      <w:pPr>
        <w:ind w:right="120" w:firstLine="8"/>
        <w:spacing w:after="0" w:line="297" w:lineRule="auto"/>
        <w:tabs>
          <w:tab w:leader="none" w:pos="306"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Borrower shall fail to pay any interest on any Loan or any fee or any other amount (other than an amount referred to in clause (a) of this Article) payable under this Agreement or under any other Loan Document, when and as the same shall become due and payable, and such failure shall continue unremedied for a period of five or more Business Days;</w:t>
      </w:r>
    </w:p>
    <w:p>
      <w:pPr>
        <w:spacing w:after="0" w:line="133" w:lineRule="exact"/>
        <w:rPr>
          <w:rFonts w:ascii="Arial" w:cs="Arial" w:eastAsia="Arial" w:hAnsi="Arial"/>
          <w:sz w:val="19"/>
          <w:szCs w:val="19"/>
          <w:color w:val="auto"/>
        </w:rPr>
      </w:pPr>
    </w:p>
    <w:p>
      <w:pPr>
        <w:ind w:right="80" w:firstLine="8"/>
        <w:spacing w:after="0" w:line="236" w:lineRule="auto"/>
        <w:tabs>
          <w:tab w:leader="none" w:pos="29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any representation or warranty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187" w:lineRule="exact"/>
        <w:rPr>
          <w:rFonts w:ascii="Arial" w:cs="Arial" w:eastAsia="Arial" w:hAnsi="Arial"/>
          <w:sz w:val="22"/>
          <w:szCs w:val="22"/>
          <w:color w:val="auto"/>
        </w:rPr>
      </w:pPr>
    </w:p>
    <w:p>
      <w:pPr>
        <w:ind w:right="40" w:firstLine="8"/>
        <w:spacing w:after="0" w:line="236" w:lineRule="auto"/>
        <w:tabs>
          <w:tab w:leader="none" w:pos="30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Borrower shall fail to observe or perform any covenant, condition or agreement contained in (i) Section 5.03 (with respect to the Borrower's existence) or Sections 5.08(a) and (b) or in Article VI or any Obligor shall default in the performance of any of its obligations contained in Section 7 of the Guarantee and Security Agreement or (ii) Sections 5.01(e) and (f) or 5.02 and such failure shall continue unremedied for a period of five or more days after notice thereof by the Administrative Agent (given at the request of any Lender) to the Borrower;</w:t>
      </w:r>
    </w:p>
    <w:p>
      <w:pPr>
        <w:spacing w:after="0" w:line="187" w:lineRule="exact"/>
        <w:rPr>
          <w:rFonts w:ascii="Arial" w:cs="Arial" w:eastAsia="Arial" w:hAnsi="Arial"/>
          <w:sz w:val="22"/>
          <w:szCs w:val="22"/>
          <w:color w:val="auto"/>
        </w:rPr>
      </w:pPr>
    </w:p>
    <w:p>
      <w:pPr>
        <w:ind w:right="40" w:firstLine="8"/>
        <w:spacing w:after="0" w:line="235" w:lineRule="auto"/>
        <w:tabs>
          <w:tab w:leader="none" w:pos="29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 Borrowing Base Deficiency shall occur and continue unremedied for a period of five or more Business Days after delivery of a Borrowing Base Certificate demonstrating such Borrowing Base Deficiency pursuant to Section 5.01(e), provided that it shall not be an Event of Default hereunder if the Borrower shall present the Administrative Agent with a reasonably feasible plan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187" w:lineRule="exact"/>
        <w:rPr>
          <w:rFonts w:ascii="Arial" w:cs="Arial" w:eastAsia="Arial" w:hAnsi="Arial"/>
          <w:sz w:val="22"/>
          <w:szCs w:val="22"/>
          <w:color w:val="auto"/>
        </w:rPr>
      </w:pPr>
    </w:p>
    <w:p>
      <w:pPr>
        <w:ind w:right="20" w:firstLine="8"/>
        <w:spacing w:after="0" w:line="238" w:lineRule="auto"/>
        <w:tabs>
          <w:tab w:leader="none" w:pos="27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Borrower or any Obligor, as applicable, shall fail to observe or perform any covenant, condition or agreement contained in this Agreement (other than those specified in clause (a), (b), (d) or (e) of this Article) or any other Loan Document and such failure shall continue unremedied for a period of 30 or more days after notice thereof from the Administrative Agent (given at the request of any Lender) to the Borrower;</w:t>
      </w:r>
    </w:p>
    <w:p>
      <w:pPr>
        <w:spacing w:after="0" w:line="184" w:lineRule="exact"/>
        <w:rPr>
          <w:rFonts w:ascii="Arial" w:cs="Arial" w:eastAsia="Arial" w:hAnsi="Arial"/>
          <w:sz w:val="22"/>
          <w:szCs w:val="22"/>
          <w:color w:val="auto"/>
        </w:rPr>
      </w:pPr>
    </w:p>
    <w:p>
      <w:pPr>
        <w:ind w:right="520" w:firstLine="8"/>
        <w:spacing w:after="0" w:line="328" w:lineRule="auto"/>
        <w:tabs>
          <w:tab w:leader="none" w:pos="306"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Borrower or any of its Subsidiaries shall fail to make any payment (whether of principal or interest and regardless of amount) in respect of any Material Indebtedness, when and as the same shall become due and payable;</w:t>
      </w:r>
    </w:p>
    <w:p>
      <w:pPr>
        <w:spacing w:after="0" w:line="104" w:lineRule="exact"/>
        <w:rPr>
          <w:rFonts w:ascii="Arial" w:cs="Arial" w:eastAsia="Arial" w:hAnsi="Arial"/>
          <w:sz w:val="19"/>
          <w:szCs w:val="19"/>
          <w:color w:val="auto"/>
        </w:rPr>
      </w:pPr>
    </w:p>
    <w:p>
      <w:pPr>
        <w:ind w:firstLine="8"/>
        <w:spacing w:after="0" w:line="235" w:lineRule="auto"/>
        <w:tabs>
          <w:tab w:leader="none" w:pos="30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provided that this clause (h) shall not apply to secured Indebtedness that becomes due as a result of the voluntary sale or transfer of the property or assets securing such Indebtedness;</w:t>
      </w:r>
    </w:p>
    <w:p>
      <w:pPr>
        <w:spacing w:after="0" w:line="187" w:lineRule="exact"/>
        <w:rPr>
          <w:rFonts w:ascii="Arial" w:cs="Arial" w:eastAsia="Arial" w:hAnsi="Arial"/>
          <w:sz w:val="22"/>
          <w:szCs w:val="22"/>
          <w:color w:val="auto"/>
        </w:rPr>
      </w:pPr>
    </w:p>
    <w:p>
      <w:pPr>
        <w:ind w:right="60" w:firstLine="8"/>
        <w:spacing w:after="0" w:line="279" w:lineRule="auto"/>
        <w:tabs>
          <w:tab w:leader="none" w:pos="258"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an involuntary proceeding shall be commenced or an involuntary petition shall be filed seeking (i) liquidation, reorganization or other relief in respect of the Borrower or any of its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or for a substantial part of its assets, and, in any such case, such proceeding or petition shall continue undismissed and unstayed for a period of 60 or more days or an order or decree approving or ordering any of the foregoing shall be entered;</w:t>
      </w:r>
    </w:p>
    <w:p>
      <w:pPr>
        <w:sectPr>
          <w:pgSz w:w="11900" w:h="16838" w:orient="portrait"/>
          <w:cols w:equalWidth="0" w:num="1">
            <w:col w:w="11220"/>
          </w:cols>
          <w:pgMar w:left="320" w:top="118" w:right="359" w:bottom="159" w:gutter="0" w:footer="0" w:header="0"/>
        </w:sectPr>
      </w:pPr>
    </w:p>
    <w:bookmarkStart w:id="44" w:name="page45"/>
    <w:bookmarkEnd w:id="44"/>
    <w:p>
      <w:pPr>
        <w:ind w:right="120" w:firstLine="8"/>
        <w:spacing w:after="0" w:line="277" w:lineRule="auto"/>
        <w:tabs>
          <w:tab w:leader="none" w:pos="258"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Borrower or any of its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(i) of this Article, (iii) apply for or consent to the appointment of a receiver, trustee, custodian, sequestrator, conservator or similar official for the Borrower or any of its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52" w:lineRule="exact"/>
        <w:rPr>
          <w:rFonts w:ascii="Arial" w:cs="Arial" w:eastAsia="Arial" w:hAnsi="Arial"/>
          <w:sz w:val="19"/>
          <w:szCs w:val="19"/>
          <w:color w:val="auto"/>
        </w:rPr>
      </w:pPr>
    </w:p>
    <w:p>
      <w:pPr>
        <w:ind w:right="200" w:firstLine="8"/>
        <w:spacing w:after="0" w:line="250" w:lineRule="auto"/>
        <w:tabs>
          <w:tab w:leader="none" w:pos="30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Borrower or any of its Subsidiaries shall become unable, admit in writing its inability or fail generally to pay its debts as they become due;</w:t>
      </w:r>
    </w:p>
    <w:p>
      <w:pPr>
        <w:spacing w:after="0" w:line="174" w:lineRule="exact"/>
        <w:rPr>
          <w:rFonts w:ascii="Arial" w:cs="Arial" w:eastAsia="Arial" w:hAnsi="Arial"/>
          <w:sz w:val="22"/>
          <w:szCs w:val="22"/>
          <w:color w:val="auto"/>
        </w:rPr>
      </w:pPr>
    </w:p>
    <w:p>
      <w:pPr>
        <w:ind w:right="200" w:firstLine="8"/>
        <w:spacing w:after="0" w:line="287" w:lineRule="auto"/>
        <w:tabs>
          <w:tab w:leader="none" w:pos="258" w:val="left"/>
        </w:tabs>
        <w:numPr>
          <w:ilvl w:val="0"/>
          <w:numId w:val="127"/>
        </w:numPr>
        <w:rPr>
          <w:rFonts w:ascii="Arial" w:cs="Arial" w:eastAsia="Arial" w:hAnsi="Arial"/>
          <w:sz w:val="19"/>
          <w:szCs w:val="19"/>
          <w:color w:val="auto"/>
        </w:rPr>
      </w:pPr>
      <w:r>
        <w:rPr>
          <w:rFonts w:ascii="Arial" w:cs="Arial" w:eastAsia="Arial" w:hAnsi="Arial"/>
          <w:sz w:val="19"/>
          <w:szCs w:val="19"/>
          <w:color w:val="auto"/>
        </w:rPr>
        <w:t>one or more judgments for the payment of money in an aggregate amount in excess of $10,000,000 shall be rendered against the Borrower or any of its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to enforce any such judgment;</w:t>
      </w:r>
    </w:p>
    <w:p>
      <w:pPr>
        <w:spacing w:after="0" w:line="142" w:lineRule="exact"/>
        <w:rPr>
          <w:rFonts w:ascii="Arial" w:cs="Arial" w:eastAsia="Arial" w:hAnsi="Arial"/>
          <w:sz w:val="19"/>
          <w:szCs w:val="19"/>
          <w:color w:val="auto"/>
        </w:rPr>
      </w:pPr>
    </w:p>
    <w:p>
      <w:pPr>
        <w:ind w:right="120" w:firstLine="8"/>
        <w:spacing w:after="0" w:line="250" w:lineRule="auto"/>
        <w:tabs>
          <w:tab w:leader="none" w:pos="36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 ERISA Event shall have occurred that, in the opinion of the Required Lenders, when taken together with all other ERISA Events that have occurred, could reasonably be expected to result in a Material Adverse Effect;</w:t>
      </w:r>
    </w:p>
    <w:p>
      <w:pPr>
        <w:spacing w:after="0" w:line="174" w:lineRule="exact"/>
        <w:rPr>
          <w:rFonts w:ascii="Arial" w:cs="Arial" w:eastAsia="Arial" w:hAnsi="Arial"/>
          <w:sz w:val="22"/>
          <w:szCs w:val="22"/>
          <w:color w:val="auto"/>
        </w:rPr>
      </w:pPr>
    </w:p>
    <w:p>
      <w:pPr>
        <w:ind w:left="320" w:hanging="312"/>
        <w:spacing w:after="0"/>
        <w:tabs>
          <w:tab w:leader="none" w:pos="32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 Change in Control shall occur;</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PennantPark Investment Advisers, LLC shall cease to be the investment advisor for the Borrower;</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Liens created by the Security Documents shall, at any time with respect to Portfolio Investments having an aggregate</w:t>
      </w:r>
    </w:p>
    <w:p>
      <w:pPr>
        <w:spacing w:after="0" w:line="42" w:lineRule="exact"/>
        <w:rPr>
          <w:rFonts w:ascii="Arial" w:cs="Arial" w:eastAsia="Arial" w:hAnsi="Arial"/>
          <w:sz w:val="19"/>
          <w:szCs w:val="19"/>
          <w:color w:val="auto"/>
        </w:rPr>
      </w:pPr>
    </w:p>
    <w:p>
      <w:pPr>
        <w:jc w:val="both"/>
        <w:ind w:right="100"/>
        <w:spacing w:after="0" w:line="287" w:lineRule="auto"/>
        <w:rPr>
          <w:rFonts w:ascii="Arial" w:cs="Arial" w:eastAsia="Arial" w:hAnsi="Arial"/>
          <w:sz w:val="19"/>
          <w:szCs w:val="19"/>
          <w:color w:val="auto"/>
        </w:rPr>
      </w:pPr>
      <w:r>
        <w:rPr>
          <w:rFonts w:ascii="Arial" w:cs="Arial" w:eastAsia="Arial" w:hAnsi="Arial"/>
          <w:sz w:val="19"/>
          <w:szCs w:val="19"/>
          <w:color w:val="auto"/>
        </w:rPr>
        <w:t>Value in excess of 5% of the aggregate Value of all Portfolio Investments, not be valid and perfected (to the extent perfection by filing, registration, recordation, possession or control is required herein or therein) in favor of the Administrative Agent, free and clear of all other Liens (other than Liens permitted under Section 6.02 or under the respective Security Documents); or</w:t>
      </w:r>
    </w:p>
    <w:p>
      <w:pPr>
        <w:spacing w:after="0" w:line="143" w:lineRule="exact"/>
        <w:rPr>
          <w:rFonts w:ascii="Arial" w:cs="Arial" w:eastAsia="Arial" w:hAnsi="Arial"/>
          <w:sz w:val="19"/>
          <w:szCs w:val="19"/>
          <w:color w:val="auto"/>
        </w:rPr>
      </w:pPr>
    </w:p>
    <w:p>
      <w:pPr>
        <w:ind w:right="160" w:firstLine="8"/>
        <w:spacing w:after="0" w:line="328" w:lineRule="auto"/>
        <w:tabs>
          <w:tab w:leader="none" w:pos="30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except for expiration in accordance with its terms, any of the Security Documents shall for whatever reason be terminated or cease to be in full force and effect in any material respect, or the enforceability thereof shall be contested by the Borrower,</w:t>
      </w:r>
    </w:p>
    <w:p>
      <w:pPr>
        <w:spacing w:after="0" w:line="105"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then, and in every such event (other than an event with respect to the Borrower described in clause (i) or (j)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 all of which are hereby waived by the Borrower; and in case of any event with respect to the Borrower described in clause (i) or (j)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200" w:lineRule="exact"/>
        <w:rPr>
          <w:sz w:val="20"/>
          <w:szCs w:val="20"/>
          <w:color w:val="auto"/>
        </w:rPr>
      </w:pPr>
    </w:p>
    <w:p>
      <w:pPr>
        <w:spacing w:after="0" w:line="204" w:lineRule="exact"/>
        <w:rPr>
          <w:sz w:val="20"/>
          <w:szCs w:val="20"/>
          <w:color w:val="auto"/>
        </w:rPr>
      </w:pPr>
    </w:p>
    <w:p>
      <w:pPr>
        <w:ind w:right="140"/>
        <w:spacing w:after="0" w:line="277" w:lineRule="auto"/>
        <w:rPr>
          <w:sz w:val="20"/>
          <w:szCs w:val="20"/>
          <w:color w:val="auto"/>
        </w:rPr>
      </w:pPr>
      <w:r>
        <w:rPr>
          <w:rFonts w:ascii="Arial" w:cs="Arial" w:eastAsia="Arial" w:hAnsi="Arial"/>
          <w:sz w:val="19"/>
          <w:szCs w:val="19"/>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accrued and unpaid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clause (i) or (j) of this Article.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THE ADMINISTRATIVE AGENT</w:t>
      </w:r>
    </w:p>
    <w:p>
      <w:pPr>
        <w:spacing w:after="0" w:line="206"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 xml:space="preserve">SECTION 8.01. </w:t>
      </w:r>
      <w:r>
        <w:rPr>
          <w:rFonts w:ascii="Arial" w:cs="Arial" w:eastAsia="Arial" w:hAnsi="Arial"/>
          <w:sz w:val="19"/>
          <w:szCs w:val="19"/>
          <w:u w:val="single" w:color="auto"/>
          <w:color w:val="auto"/>
        </w:rPr>
        <w:t>Appointment of the Administrative Agent</w:t>
      </w:r>
      <w:r>
        <w:rPr>
          <w:rFonts w:ascii="Arial" w:cs="Arial" w:eastAsia="Arial" w:hAnsi="Arial"/>
          <w:sz w:val="19"/>
          <w:szCs w:val="19"/>
          <w:color w:val="auto"/>
        </w:rPr>
        <w:t>. Each of the Lenders and the Issuing Bank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Capacity as Lender</w:t>
      </w:r>
      <w:r>
        <w:rPr>
          <w:rFonts w:ascii="Arial" w:cs="Arial" w:eastAsia="Arial" w:hAnsi="Arial"/>
          <w:sz w:val="19"/>
          <w:szCs w:val="19"/>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43" w:lineRule="exact"/>
        <w:rPr>
          <w:sz w:val="20"/>
          <w:szCs w:val="20"/>
          <w:color w:val="auto"/>
        </w:rPr>
      </w:pPr>
    </w:p>
    <w:p>
      <w:pPr>
        <w:ind w:right="420"/>
        <w:spacing w:after="0" w:line="328"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u w:val="single" w:color="auto"/>
          <w:color w:val="auto"/>
        </w:rPr>
        <w:t>Limitation of Duties; Exculpation</w:t>
      </w:r>
      <w:r>
        <w:rPr>
          <w:rFonts w:ascii="Arial" w:cs="Arial" w:eastAsia="Arial" w:hAnsi="Arial"/>
          <w:sz w:val="19"/>
          <w:szCs w:val="19"/>
          <w:color w:val="auto"/>
        </w:rPr>
        <w:t>. The Administrative Agent shall not have any duties or obligations except those expressly set forth herein and in the other Loan Documents. Without limiting the generality of the foregoing, (a) the</w:t>
      </w:r>
    </w:p>
    <w:p>
      <w:pPr>
        <w:sectPr>
          <w:pgSz w:w="11900" w:h="16838" w:orient="portrait"/>
          <w:cols w:equalWidth="0" w:num="1">
            <w:col w:w="11240"/>
          </w:cols>
          <w:pgMar w:left="320" w:top="118" w:right="339" w:bottom="0" w:gutter="0" w:footer="0" w:header="0"/>
        </w:sectPr>
      </w:pPr>
    </w:p>
    <w:bookmarkStart w:id="45" w:name="page46"/>
    <w:bookmarkEnd w:id="45"/>
    <w:p>
      <w:pPr>
        <w:ind w:right="20"/>
        <w:spacing w:after="0" w:line="270" w:lineRule="auto"/>
        <w:rPr>
          <w:sz w:val="20"/>
          <w:szCs w:val="20"/>
          <w:color w:val="auto"/>
        </w:rPr>
      </w:pPr>
      <w:r>
        <w:rPr>
          <w:rFonts w:ascii="Arial" w:cs="Arial" w:eastAsia="Arial" w:hAnsi="Arial"/>
          <w:sz w:val="19"/>
          <w:szCs w:val="19"/>
          <w:color w:val="auto"/>
        </w:rPr>
        <w:t>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 o or obtained by the bank serving as Administrative Agent or any of its Affiliates in any capacity. The Administrative Agent shall not be liable for any action taken or not taken by it with the consent or at the request of the Required Lenders or in the absence of its own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 ity, enforceability, effectiveness or genuineness of this Agreement, any other Loan Document or any other agreement, instrument or document, or (v) the satisfaction of any condition set forth in Article IV or elsewhere herein or therein, other than to confirm receipt of items expressly required to be delivered to the Administrative Agent.</w:t>
      </w:r>
    </w:p>
    <w:p>
      <w:pPr>
        <w:spacing w:after="0" w:line="200" w:lineRule="exact"/>
        <w:rPr>
          <w:sz w:val="20"/>
          <w:szCs w:val="20"/>
          <w:color w:val="auto"/>
        </w:rPr>
      </w:pP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u w:val="single" w:color="auto"/>
          <w:color w:val="auto"/>
        </w:rPr>
        <w:t>Reliance</w:t>
      </w:r>
      <w:r>
        <w:rPr>
          <w:rFonts w:ascii="Arial" w:cs="Arial" w:eastAsia="Arial" w:hAnsi="Arial"/>
          <w:sz w:val="19"/>
          <w:szCs w:val="19"/>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52"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 xml:space="preserve">SECTION 8.05. </w:t>
      </w:r>
      <w:r>
        <w:rPr>
          <w:rFonts w:ascii="Arial" w:cs="Arial" w:eastAsia="Arial" w:hAnsi="Arial"/>
          <w:sz w:val="21"/>
          <w:szCs w:val="21"/>
          <w:u w:val="single" w:color="auto"/>
          <w:color w:val="auto"/>
        </w:rPr>
        <w:t>Sub-Agents</w:t>
      </w:r>
      <w:r>
        <w:rPr>
          <w:rFonts w:ascii="Arial" w:cs="Arial" w:eastAsia="Arial" w:hAnsi="Arial"/>
          <w:sz w:val="21"/>
          <w:szCs w:val="21"/>
          <w:color w:val="auto"/>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SECTION 8.06. </w:t>
      </w:r>
      <w:r>
        <w:rPr>
          <w:rFonts w:ascii="Arial" w:cs="Arial" w:eastAsia="Arial" w:hAnsi="Arial"/>
          <w:sz w:val="19"/>
          <w:szCs w:val="19"/>
          <w:u w:val="single" w:color="auto"/>
          <w:color w:val="auto"/>
        </w:rPr>
        <w:t>Resignation; Successor Administrative Agent</w:t>
      </w:r>
      <w:r>
        <w:rPr>
          <w:rFonts w:ascii="Arial" w:cs="Arial" w:eastAsia="Arial" w:hAnsi="Arial"/>
          <w:sz w:val="19"/>
          <w:szCs w:val="19"/>
          <w:color w:val="auto"/>
        </w:rPr>
        <w:t>. The Administrative Agent may resign at any time by notifying the Lenders, the Issuing Bank and the Borrower. Upon any such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and (1) the retiring Administrative Agent shall be discharged from its duties and obligations hereunder and (2) the Required Lenders shall perform the duties of the Administrative Agent (and all payments and communications provided to be made by, to or through th 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Section 9.03 shall continue in effect for its benefit in respect of any actions taken or omitted to be taken by it while it was actin g as Administrative Agent.</w:t>
      </w:r>
    </w:p>
    <w:p>
      <w:pPr>
        <w:spacing w:after="0" w:line="157" w:lineRule="exact"/>
        <w:rPr>
          <w:sz w:val="20"/>
          <w:szCs w:val="20"/>
          <w:color w:val="auto"/>
        </w:rPr>
      </w:pPr>
    </w:p>
    <w:p>
      <w:pPr>
        <w:ind w:right="180"/>
        <w:spacing w:after="0" w:line="279" w:lineRule="auto"/>
        <w:rPr>
          <w:sz w:val="20"/>
          <w:szCs w:val="20"/>
          <w:color w:val="auto"/>
        </w:rPr>
      </w:pPr>
      <w:r>
        <w:rPr>
          <w:rFonts w:ascii="Arial" w:cs="Arial" w:eastAsia="Arial" w:hAnsi="Arial"/>
          <w:sz w:val="19"/>
          <w:szCs w:val="19"/>
          <w:color w:val="auto"/>
        </w:rPr>
        <w:t xml:space="preserve">SECTION 8.07. </w:t>
      </w:r>
      <w:r>
        <w:rPr>
          <w:rFonts w:ascii="Arial" w:cs="Arial" w:eastAsia="Arial" w:hAnsi="Arial"/>
          <w:sz w:val="19"/>
          <w:szCs w:val="19"/>
          <w:u w:val="single" w:color="auto"/>
          <w:color w:val="auto"/>
        </w:rPr>
        <w:t>Reliance by Lenders</w:t>
      </w:r>
      <w:r>
        <w:rPr>
          <w:rFonts w:ascii="Arial" w:cs="Arial" w:eastAsia="Arial" w:hAnsi="Arial"/>
          <w:sz w:val="19"/>
          <w:szCs w:val="19"/>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0" w:lineRule="exact"/>
        <w:rPr>
          <w:sz w:val="20"/>
          <w:szCs w:val="20"/>
          <w:color w:val="auto"/>
        </w:rPr>
      </w:pPr>
    </w:p>
    <w:p>
      <w:pPr>
        <w:ind w:right="120"/>
        <w:spacing w:after="0" w:line="245" w:lineRule="auto"/>
        <w:rPr>
          <w:sz w:val="20"/>
          <w:szCs w:val="20"/>
          <w:color w:val="auto"/>
        </w:rPr>
      </w:pPr>
      <w:r>
        <w:rPr>
          <w:rFonts w:ascii="Arial" w:cs="Arial" w:eastAsia="Arial" w:hAnsi="Arial"/>
          <w:sz w:val="21"/>
          <w:szCs w:val="21"/>
          <w:color w:val="auto"/>
        </w:rPr>
        <w:t xml:space="preserve">SECTION 8.08. </w:t>
      </w:r>
      <w:r>
        <w:rPr>
          <w:rFonts w:ascii="Arial" w:cs="Arial" w:eastAsia="Arial" w:hAnsi="Arial"/>
          <w:sz w:val="21"/>
          <w:szCs w:val="21"/>
          <w:u w:val="single" w:color="auto"/>
          <w:color w:val="auto"/>
        </w:rPr>
        <w:t>Modifications to Loan Documents</w:t>
      </w:r>
      <w:r>
        <w:rPr>
          <w:rFonts w:ascii="Arial" w:cs="Arial" w:eastAsia="Arial" w:hAnsi="Arial"/>
          <w:sz w:val="21"/>
          <w:szCs w:val="21"/>
          <w:color w:val="auto"/>
        </w:rPr>
        <w:t>. Except as otherwise provided in Section 9.02(b) with respect to this Agreement, the Administrative Agent may, with the prior consent of the Required Lenders (but not otherwise), consent to any modification, supplement or waiver under any of the Loan Documents; provided 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to release any Lien covering property that is the subject of either a disposition of property permitted hereunder or a disposition to which the Required Lenders have consented.</w:t>
      </w:r>
    </w:p>
    <w:p>
      <w:pPr>
        <w:sectPr>
          <w:pgSz w:w="11900" w:h="16838" w:orient="portrait"/>
          <w:cols w:equalWidth="0" w:num="1">
            <w:col w:w="11240"/>
          </w:cols>
          <w:pgMar w:left="320" w:top="118" w:right="339" w:bottom="0" w:gutter="0" w:footer="0" w:header="0"/>
        </w:sectPr>
      </w:pPr>
    </w:p>
    <w:bookmarkStart w:id="46" w:name="page47"/>
    <w:bookmarkEnd w:id="46"/>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IX</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Notices; Electronic Communications</w:t>
      </w:r>
      <w:r>
        <w:rPr>
          <w:rFonts w:ascii="Arial" w:cs="Arial" w:eastAsia="Arial" w:hAnsi="Arial"/>
          <w:sz w:val="22"/>
          <w:szCs w:val="22"/>
          <w:color w:val="auto"/>
        </w:rPr>
        <w:t>.</w:t>
      </w:r>
    </w:p>
    <w:p>
      <w:pPr>
        <w:spacing w:after="0" w:line="206" w:lineRule="exact"/>
        <w:rPr>
          <w:sz w:val="20"/>
          <w:szCs w:val="20"/>
          <w:color w:val="auto"/>
        </w:rPr>
      </w:pPr>
    </w:p>
    <w:p>
      <w:pPr>
        <w:ind w:right="160" w:firstLine="8"/>
        <w:spacing w:after="0"/>
        <w:tabs>
          <w:tab w:leader="none" w:pos="294"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Notices Generally</w:t>
      </w:r>
      <w:r>
        <w:rPr>
          <w:rFonts w:ascii="Arial" w:cs="Arial" w:eastAsia="Arial" w:hAnsi="Arial"/>
          <w:sz w:val="22"/>
          <w:szCs w:val="22"/>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(i) if to the Borrower, to it at</w:t>
      </w:r>
    </w:p>
    <w:p>
      <w:pPr>
        <w:spacing w:after="0" w:line="233"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PennantPark Investment Corporation</w:t>
      </w:r>
    </w:p>
    <w:p>
      <w:pPr>
        <w:ind w:left="4320"/>
        <w:spacing w:after="0" w:line="238" w:lineRule="auto"/>
        <w:rPr>
          <w:sz w:val="20"/>
          <w:szCs w:val="20"/>
          <w:color w:val="auto"/>
        </w:rPr>
      </w:pPr>
      <w:r>
        <w:rPr>
          <w:rFonts w:ascii="Arial" w:cs="Arial" w:eastAsia="Arial" w:hAnsi="Arial"/>
          <w:sz w:val="22"/>
          <w:szCs w:val="22"/>
          <w:color w:val="auto"/>
        </w:rPr>
        <w:t>445 Park Avenue</w:t>
      </w:r>
    </w:p>
    <w:p>
      <w:pPr>
        <w:ind w:left="4320"/>
        <w:spacing w:after="0" w:line="230" w:lineRule="auto"/>
        <w:rPr>
          <w:sz w:val="20"/>
          <w:szCs w:val="20"/>
          <w:color w:val="auto"/>
        </w:rPr>
      </w:pPr>
      <w:r>
        <w:rPr>
          <w:rFonts w:ascii="Arial" w:cs="Arial" w:eastAsia="Arial" w:hAnsi="Arial"/>
          <w:sz w:val="22"/>
          <w:szCs w:val="22"/>
          <w:color w:val="auto"/>
        </w:rPr>
        <w:t>10th Floor</w:t>
      </w:r>
    </w:p>
    <w:p>
      <w:pPr>
        <w:ind w:left="4320"/>
        <w:spacing w:after="0" w:line="231" w:lineRule="auto"/>
        <w:rPr>
          <w:sz w:val="20"/>
          <w:szCs w:val="20"/>
          <w:color w:val="auto"/>
        </w:rPr>
      </w:pPr>
      <w:r>
        <w:rPr>
          <w:rFonts w:ascii="Arial" w:cs="Arial" w:eastAsia="Arial" w:hAnsi="Arial"/>
          <w:sz w:val="22"/>
          <w:szCs w:val="22"/>
          <w:color w:val="auto"/>
        </w:rPr>
        <w:t>New York, New York 10022</w:t>
      </w:r>
    </w:p>
    <w:p>
      <w:pPr>
        <w:ind w:left="4320"/>
        <w:spacing w:after="0" w:line="230" w:lineRule="auto"/>
        <w:rPr>
          <w:sz w:val="20"/>
          <w:szCs w:val="20"/>
          <w:color w:val="auto"/>
        </w:rPr>
      </w:pPr>
      <w:r>
        <w:rPr>
          <w:rFonts w:ascii="Arial" w:cs="Arial" w:eastAsia="Arial" w:hAnsi="Arial"/>
          <w:sz w:val="22"/>
          <w:szCs w:val="22"/>
          <w:color w:val="auto"/>
        </w:rPr>
        <w:t>Attention: Aviv Efrat, Chief Financial Officer</w:t>
      </w:r>
    </w:p>
    <w:p>
      <w:pPr>
        <w:ind w:left="4320"/>
        <w:spacing w:after="0" w:line="231" w:lineRule="auto"/>
        <w:rPr>
          <w:sz w:val="20"/>
          <w:szCs w:val="20"/>
          <w:color w:val="auto"/>
        </w:rPr>
      </w:pPr>
      <w:r>
        <w:rPr>
          <w:rFonts w:ascii="Arial" w:cs="Arial" w:eastAsia="Arial" w:hAnsi="Arial"/>
          <w:sz w:val="22"/>
          <w:szCs w:val="22"/>
          <w:color w:val="auto"/>
        </w:rPr>
        <w:t>Telecopy Number: (212) 307-3290</w:t>
      </w:r>
    </w:p>
    <w:p>
      <w:pPr>
        <w:ind w:left="4320"/>
        <w:spacing w:after="0"/>
        <w:rPr>
          <w:sz w:val="20"/>
          <w:szCs w:val="20"/>
          <w:color w:val="auto"/>
        </w:rPr>
      </w:pPr>
      <w:r>
        <w:rPr>
          <w:rFonts w:ascii="Arial" w:cs="Arial" w:eastAsia="Arial" w:hAnsi="Arial"/>
          <w:sz w:val="22"/>
          <w:szCs w:val="22"/>
          <w:color w:val="auto"/>
        </w:rPr>
        <w:t>Telephone: (212) 307-3273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(ii) if to the Administrative Agent or Swingline Lender, to it at:</w:t>
      </w:r>
    </w:p>
    <w:p>
      <w:pPr>
        <w:spacing w:after="0" w:line="233"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SunTrust Bank</w:t>
      </w:r>
    </w:p>
    <w:p>
      <w:pPr>
        <w:ind w:left="4320"/>
        <w:spacing w:after="0" w:line="238" w:lineRule="auto"/>
        <w:rPr>
          <w:sz w:val="20"/>
          <w:szCs w:val="20"/>
          <w:color w:val="auto"/>
        </w:rPr>
      </w:pPr>
      <w:r>
        <w:rPr>
          <w:rFonts w:ascii="Arial" w:cs="Arial" w:eastAsia="Arial" w:hAnsi="Arial"/>
          <w:sz w:val="22"/>
          <w:szCs w:val="22"/>
          <w:color w:val="auto"/>
        </w:rPr>
        <w:t>303 Peachtree Street, N. E.</w:t>
      </w:r>
    </w:p>
    <w:p>
      <w:pPr>
        <w:ind w:left="4320"/>
        <w:spacing w:after="0" w:line="230" w:lineRule="auto"/>
        <w:rPr>
          <w:sz w:val="20"/>
          <w:szCs w:val="20"/>
          <w:color w:val="auto"/>
        </w:rPr>
      </w:pPr>
      <w:r>
        <w:rPr>
          <w:rFonts w:ascii="Arial" w:cs="Arial" w:eastAsia="Arial" w:hAnsi="Arial"/>
          <w:sz w:val="22"/>
          <w:szCs w:val="22"/>
          <w:color w:val="auto"/>
        </w:rPr>
        <w:t>Atlanta, Georgia 30308</w:t>
      </w:r>
    </w:p>
    <w:p>
      <w:pPr>
        <w:ind w:left="4320"/>
        <w:spacing w:after="0" w:line="231" w:lineRule="auto"/>
        <w:rPr>
          <w:sz w:val="20"/>
          <w:szCs w:val="20"/>
          <w:color w:val="auto"/>
        </w:rPr>
      </w:pPr>
      <w:r>
        <w:rPr>
          <w:rFonts w:ascii="Arial" w:cs="Arial" w:eastAsia="Arial" w:hAnsi="Arial"/>
          <w:sz w:val="22"/>
          <w:szCs w:val="22"/>
          <w:color w:val="auto"/>
        </w:rPr>
        <w:t>Attention: Robert Ashcom</w:t>
      </w:r>
    </w:p>
    <w:p>
      <w:pPr>
        <w:ind w:left="4320"/>
        <w:spacing w:after="0"/>
        <w:rPr>
          <w:sz w:val="20"/>
          <w:szCs w:val="20"/>
          <w:color w:val="auto"/>
        </w:rPr>
      </w:pPr>
      <w:r>
        <w:rPr>
          <w:rFonts w:ascii="Arial" w:cs="Arial" w:eastAsia="Arial" w:hAnsi="Arial"/>
          <w:sz w:val="22"/>
          <w:szCs w:val="22"/>
          <w:color w:val="auto"/>
        </w:rPr>
        <w:t>Telecopy Number: (404) 581-1775</w:t>
      </w:r>
    </w:p>
    <w:p>
      <w:pPr>
        <w:spacing w:after="0" w:line="215"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SunTrust Bank</w:t>
      </w:r>
    </w:p>
    <w:p>
      <w:pPr>
        <w:ind w:left="4320"/>
        <w:spacing w:after="0" w:line="238" w:lineRule="auto"/>
        <w:rPr>
          <w:sz w:val="20"/>
          <w:szCs w:val="20"/>
          <w:color w:val="auto"/>
        </w:rPr>
      </w:pPr>
      <w:r>
        <w:rPr>
          <w:rFonts w:ascii="Arial" w:cs="Arial" w:eastAsia="Arial" w:hAnsi="Arial"/>
          <w:sz w:val="22"/>
          <w:szCs w:val="22"/>
          <w:color w:val="auto"/>
        </w:rPr>
        <w:t>Agency Services</w:t>
      </w:r>
    </w:p>
    <w:p>
      <w:pPr>
        <w:ind w:left="4320"/>
        <w:spacing w:after="0" w:line="230" w:lineRule="auto"/>
        <w:rPr>
          <w:sz w:val="20"/>
          <w:szCs w:val="20"/>
          <w:color w:val="auto"/>
        </w:rPr>
      </w:pPr>
      <w:r>
        <w:rPr>
          <w:rFonts w:ascii="Arial" w:cs="Arial" w:eastAsia="Arial" w:hAnsi="Arial"/>
          <w:sz w:val="22"/>
          <w:szCs w:val="22"/>
          <w:color w:val="auto"/>
        </w:rPr>
        <w:t>303 Peachtree Street, N. E./ 25th Floor</w:t>
      </w:r>
    </w:p>
    <w:p>
      <w:pPr>
        <w:ind w:left="4320"/>
        <w:spacing w:after="0" w:line="231" w:lineRule="auto"/>
        <w:rPr>
          <w:sz w:val="20"/>
          <w:szCs w:val="20"/>
          <w:color w:val="auto"/>
        </w:rPr>
      </w:pPr>
      <w:r>
        <w:rPr>
          <w:rFonts w:ascii="Arial" w:cs="Arial" w:eastAsia="Arial" w:hAnsi="Arial"/>
          <w:sz w:val="22"/>
          <w:szCs w:val="22"/>
          <w:color w:val="auto"/>
        </w:rPr>
        <w:t>Atlanta, Georgia 30308</w:t>
      </w:r>
    </w:p>
    <w:p>
      <w:pPr>
        <w:ind w:left="4320"/>
        <w:spacing w:after="0" w:line="230" w:lineRule="auto"/>
        <w:rPr>
          <w:sz w:val="20"/>
          <w:szCs w:val="20"/>
          <w:color w:val="auto"/>
        </w:rPr>
      </w:pPr>
      <w:r>
        <w:rPr>
          <w:rFonts w:ascii="Arial" w:cs="Arial" w:eastAsia="Arial" w:hAnsi="Arial"/>
          <w:sz w:val="22"/>
          <w:szCs w:val="22"/>
          <w:color w:val="auto"/>
        </w:rPr>
        <w:t>Attention: Ms. Dorris Folsom</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Telecopy Number: (404) 658-4906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(iii) if to the Issuing Bank, to it at:</w:t>
      </w:r>
    </w:p>
    <w:p>
      <w:pPr>
        <w:spacing w:after="0" w:line="233"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SunTrust Bank</w:t>
      </w:r>
    </w:p>
    <w:p>
      <w:pPr>
        <w:ind w:left="4320"/>
        <w:spacing w:after="0" w:line="238" w:lineRule="auto"/>
        <w:rPr>
          <w:sz w:val="20"/>
          <w:szCs w:val="20"/>
          <w:color w:val="auto"/>
        </w:rPr>
      </w:pPr>
      <w:r>
        <w:rPr>
          <w:rFonts w:ascii="Arial" w:cs="Arial" w:eastAsia="Arial" w:hAnsi="Arial"/>
          <w:sz w:val="22"/>
          <w:szCs w:val="22"/>
          <w:color w:val="auto"/>
        </w:rPr>
        <w:t>25 Park Place, N. E./Mail Code 3706</w:t>
      </w:r>
    </w:p>
    <w:p>
      <w:pPr>
        <w:ind w:left="4320"/>
        <w:spacing w:after="0" w:line="230" w:lineRule="auto"/>
        <w:rPr>
          <w:sz w:val="20"/>
          <w:szCs w:val="20"/>
          <w:color w:val="auto"/>
        </w:rPr>
      </w:pPr>
      <w:r>
        <w:rPr>
          <w:rFonts w:ascii="Arial" w:cs="Arial" w:eastAsia="Arial" w:hAnsi="Arial"/>
          <w:sz w:val="22"/>
          <w:szCs w:val="22"/>
          <w:color w:val="auto"/>
        </w:rPr>
        <w:t>Atlanta, Georgia 30303</w:t>
      </w:r>
    </w:p>
    <w:p>
      <w:pPr>
        <w:ind w:left="4320"/>
        <w:spacing w:after="0" w:line="231" w:lineRule="auto"/>
        <w:rPr>
          <w:sz w:val="20"/>
          <w:szCs w:val="20"/>
          <w:color w:val="auto"/>
        </w:rPr>
      </w:pPr>
      <w:r>
        <w:rPr>
          <w:rFonts w:ascii="Arial" w:cs="Arial" w:eastAsia="Arial" w:hAnsi="Arial"/>
          <w:sz w:val="22"/>
          <w:szCs w:val="22"/>
          <w:color w:val="auto"/>
        </w:rPr>
        <w:t>Attention: John Conley</w:t>
      </w:r>
    </w:p>
    <w:p>
      <w:pPr>
        <w:ind w:left="4320"/>
        <w:spacing w:after="0"/>
        <w:rPr>
          <w:sz w:val="20"/>
          <w:szCs w:val="20"/>
          <w:color w:val="auto"/>
        </w:rPr>
      </w:pPr>
      <w:r>
        <w:rPr>
          <w:rFonts w:ascii="Arial" w:cs="Arial" w:eastAsia="Arial" w:hAnsi="Arial"/>
          <w:sz w:val="22"/>
          <w:szCs w:val="22"/>
          <w:color w:val="auto"/>
        </w:rPr>
        <w:t>Telecopy Number: (404) 588-8129</w:t>
      </w:r>
    </w:p>
    <w:p>
      <w:pPr>
        <w:spacing w:after="0" w:line="215" w:lineRule="exact"/>
        <w:rPr>
          <w:sz w:val="20"/>
          <w:szCs w:val="20"/>
          <w:color w:val="auto"/>
        </w:rPr>
      </w:pPr>
    </w:p>
    <w:p>
      <w:pPr>
        <w:ind w:right="2860" w:firstLine="8"/>
        <w:spacing w:after="0" w:line="250" w:lineRule="auto"/>
        <w:tabs>
          <w:tab w:leader="none" w:pos="366"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if to any other Lender, to it at its address (or telecopy number) set forth in its Administrative Questionnaire.</w:t>
      </w:r>
    </w:p>
    <w:p>
      <w:pPr>
        <w:spacing w:after="0" w:line="175"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paragraph (b) below, shall be effective as provided in said paragraph (b).</w:t>
      </w:r>
    </w:p>
    <w:p>
      <w:pPr>
        <w:spacing w:after="0" w:line="143" w:lineRule="exact"/>
        <w:rPr>
          <w:sz w:val="20"/>
          <w:szCs w:val="20"/>
          <w:color w:val="auto"/>
        </w:rPr>
      </w:pPr>
    </w:p>
    <w:p>
      <w:pPr>
        <w:ind w:right="100" w:firstLine="8"/>
        <w:spacing w:after="0" w:line="277" w:lineRule="auto"/>
        <w:tabs>
          <w:tab w:leader="none" w:pos="306"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Notices and other communications to the Lenders and the Issuing Bank hereunder may be delivered or furnished by electronic communication (including e-mail and Internet or intranet websites) pursuant to procedures approved by the Administrative Agent; provided that the foregoing shall not apply to notices to any Lender or the Issuing Bank pursuant to Section 2.06 if such Lender or the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5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ectPr>
          <w:pgSz w:w="11900" w:h="16926" w:orient="portrait"/>
          <w:cols w:equalWidth="0" w:num="1">
            <w:col w:w="11200"/>
          </w:cols>
          <w:pgMar w:left="320" w:top="118" w:right="379" w:bottom="0" w:gutter="0" w:footer="0" w:header="0"/>
        </w:sectPr>
      </w:pPr>
    </w:p>
    <w:bookmarkStart w:id="47" w:name="page48"/>
    <w:bookmarkEnd w:id="47"/>
    <w:p>
      <w:pPr>
        <w:ind w:firstLine="8"/>
        <w:spacing w:after="0" w:line="235" w:lineRule="auto"/>
        <w:tabs>
          <w:tab w:leader="none" w:pos="294"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Documents to he Delivered under Sections 5.01 and 5.12(a)</w:t>
      </w:r>
      <w:r>
        <w:rPr>
          <w:rFonts w:ascii="Arial" w:cs="Arial" w:eastAsia="Arial" w:hAnsi="Arial"/>
          <w:sz w:val="22"/>
          <w:szCs w:val="22"/>
          <w:color w:val="auto"/>
        </w:rPr>
        <w:t>. For so long as an Intralinks™ or equivalent website is available to each of the Lenders hereunder, the Borrower may satisfy its obligation to deliver documents to the Administrative Agent or the Lenders under Sections 5.01 and 5.12(a) by delivering one hard copy thereof to the Administrative Agent and either an electronic copy or a notice identifying the website where such information is located for posting by the Administrative Agent on Intralinks™ or such equivalent website, provided that the Administrative Agent shall have no responsibility to maintain access to Intralinks™ or an equivalent website.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9.02. </w:t>
      </w:r>
      <w:r>
        <w:rPr>
          <w:rFonts w:ascii="Arial" w:cs="Arial" w:eastAsia="Arial" w:hAnsi="Arial"/>
          <w:sz w:val="22"/>
          <w:szCs w:val="22"/>
          <w:u w:val="single" w:color="auto"/>
          <w:color w:val="auto"/>
        </w:rPr>
        <w:t>Waivers; Amendments</w:t>
      </w:r>
      <w:r>
        <w:rPr>
          <w:rFonts w:ascii="Arial" w:cs="Arial" w:eastAsia="Arial" w:hAnsi="Arial"/>
          <w:sz w:val="22"/>
          <w:szCs w:val="22"/>
          <w:color w:val="auto"/>
        </w:rPr>
        <w:t>.</w:t>
      </w:r>
    </w:p>
    <w:p>
      <w:pPr>
        <w:spacing w:after="0" w:line="206" w:lineRule="exact"/>
        <w:rPr>
          <w:sz w:val="20"/>
          <w:szCs w:val="20"/>
          <w:color w:val="auto"/>
        </w:rPr>
      </w:pPr>
    </w:p>
    <w:p>
      <w:pPr>
        <w:ind w:right="120" w:firstLine="8"/>
        <w:spacing w:after="0" w:line="273" w:lineRule="auto"/>
        <w:tabs>
          <w:tab w:leader="none" w:pos="294"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No Deemed Waivers Remedies Cumulative</w:t>
      </w:r>
      <w:r>
        <w:rPr>
          <w:rFonts w:ascii="Arial" w:cs="Arial" w:eastAsia="Arial" w:hAnsi="Arial"/>
          <w:sz w:val="19"/>
          <w:szCs w:val="19"/>
          <w:color w:val="auto"/>
        </w:rPr>
        <w:t>. No failure or delay by the Administrative Agent the Issuing Bank or any Lender in exercising any right or power hereunder shall operate as a waiver thereof nor shall any single or partial exercise of any such right or power, or any abandonment or discontinuance of steps to enforce such a right or power, preclude any other or thither exercise thereof or the exercise of any other right or power. The rights and remedies of the Administrative Agent, the Issuing Bank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160" w:lineRule="exact"/>
        <w:rPr>
          <w:rFonts w:ascii="Arial" w:cs="Arial" w:eastAsia="Arial" w:hAnsi="Arial"/>
          <w:sz w:val="19"/>
          <w:szCs w:val="19"/>
          <w:color w:val="auto"/>
        </w:rPr>
      </w:pPr>
    </w:p>
    <w:p>
      <w:pPr>
        <w:ind w:right="520" w:firstLine="8"/>
        <w:spacing w:after="0" w:line="297" w:lineRule="auto"/>
        <w:tabs>
          <w:tab w:leader="none" w:pos="306"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Amendments to this Agreement</w:t>
      </w:r>
      <w:r>
        <w:rPr>
          <w:rFonts w:ascii="Arial" w:cs="Arial" w:eastAsia="Arial" w:hAnsi="Arial"/>
          <w:sz w:val="19"/>
          <w:szCs w:val="19"/>
          <w:color w:val="auto"/>
        </w:rPr>
        <w:t>.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provided that no such Agreement shall</w:t>
      </w:r>
    </w:p>
    <w:p>
      <w:pPr>
        <w:spacing w:after="0" w:line="134" w:lineRule="exact"/>
        <w:rPr>
          <w:sz w:val="20"/>
          <w:szCs w:val="20"/>
          <w:color w:val="auto"/>
        </w:rPr>
      </w:pPr>
    </w:p>
    <w:p>
      <w:pPr>
        <w:ind w:left="260" w:hanging="252"/>
        <w:spacing w:after="0"/>
        <w:tabs>
          <w:tab w:leader="none" w:pos="26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increase the Commitment of any Lender without the written consent of such Lender,</w:t>
      </w:r>
    </w:p>
    <w:p>
      <w:pPr>
        <w:spacing w:after="0" w:line="206" w:lineRule="exact"/>
        <w:rPr>
          <w:rFonts w:ascii="Arial" w:cs="Arial" w:eastAsia="Arial" w:hAnsi="Arial"/>
          <w:sz w:val="22"/>
          <w:szCs w:val="22"/>
          <w:color w:val="auto"/>
        </w:rPr>
      </w:pPr>
    </w:p>
    <w:p>
      <w:pPr>
        <w:ind w:right="700" w:firstLine="8"/>
        <w:spacing w:after="0" w:line="250" w:lineRule="auto"/>
        <w:tabs>
          <w:tab w:leader="none" w:pos="318" w:val="left"/>
        </w:tabs>
        <w:numPr>
          <w:ilvl w:val="0"/>
          <w:numId w:val="133"/>
        </w:numPr>
        <w:rPr>
          <w:rFonts w:ascii="Arial" w:cs="Arial" w:eastAsia="Arial" w:hAnsi="Arial"/>
          <w:sz w:val="22"/>
          <w:szCs w:val="22"/>
          <w:color w:val="auto"/>
        </w:rPr>
      </w:pPr>
      <w:r>
        <w:rPr>
          <w:rFonts w:ascii="Arial" w:cs="Arial" w:eastAsia="Arial" w:hAnsi="Arial"/>
          <w:sz w:val="22"/>
          <w:szCs w:val="22"/>
          <w:color w:val="auto"/>
        </w:rPr>
        <w:t>reduce the principal amount of any Loan or LC Disbursement or reduce the rate of interest thereon, or reduce any fees payable hereunder, without the written consent of each Lender affected thereby,</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21"/>
          <w:szCs w:val="21"/>
          <w:color w:val="auto"/>
        </w:rPr>
        <w:t>(iiI)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spacing w:after="0" w:line="169" w:lineRule="exact"/>
        <w:rPr>
          <w:sz w:val="20"/>
          <w:szCs w:val="20"/>
          <w:color w:val="auto"/>
        </w:rPr>
      </w:pPr>
    </w:p>
    <w:p>
      <w:pPr>
        <w:ind w:right="60" w:firstLine="8"/>
        <w:spacing w:after="0" w:line="250" w:lineRule="auto"/>
        <w:tabs>
          <w:tab w:leader="none" w:pos="36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change Section 2.17(b), (c) or (d) in a manner that would alter the pro rata sharing of payments, or making of disbursements, required thereby without the written consent of each Lender affected thereby, or</w:t>
      </w:r>
    </w:p>
    <w:p>
      <w:pPr>
        <w:spacing w:after="0" w:line="174" w:lineRule="exact"/>
        <w:rPr>
          <w:rFonts w:ascii="Arial" w:cs="Arial" w:eastAsia="Arial" w:hAnsi="Arial"/>
          <w:sz w:val="22"/>
          <w:szCs w:val="22"/>
          <w:color w:val="auto"/>
        </w:rPr>
      </w:pPr>
    </w:p>
    <w:p>
      <w:pPr>
        <w:ind w:right="280" w:firstLine="8"/>
        <w:spacing w:after="0" w:line="297" w:lineRule="auto"/>
        <w:tabs>
          <w:tab w:leader="none" w:pos="306" w:val="left"/>
        </w:tabs>
        <w:numPr>
          <w:ilvl w:val="0"/>
          <w:numId w:val="134"/>
        </w:numPr>
        <w:rPr>
          <w:rFonts w:ascii="Arial" w:cs="Arial" w:eastAsia="Arial" w:hAnsi="Arial"/>
          <w:sz w:val="19"/>
          <w:szCs w:val="19"/>
          <w:color w:val="auto"/>
        </w:rPr>
      </w:pPr>
      <w:r>
        <w:rPr>
          <w:rFonts w:ascii="Arial" w:cs="Arial" w:eastAsia="Arial" w:hAnsi="Arial"/>
          <w:sz w:val="19"/>
          <w:szCs w:val="19"/>
          <w:color w:val="auto"/>
        </w:rPr>
        <w:t>change any of the provisions of this Section or the percentage in the definition of the term "Required Lenders" or any other provision hereof specifying the number or percentage of Lenders required to waive, amend or modify any rights hereunder or make any determination or grant any consent hereunder, without the written consent of each Lender affected thereby;</w:t>
      </w:r>
    </w:p>
    <w:p>
      <w:pPr>
        <w:spacing w:after="0" w:line="134"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(x)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and (y) the consent of Lenders holding not less than two-thirds of the Revolving Credit Exposure and unused Commitments will be required (A) for any adverse change affecting the provisions of this Agreement relating to the Borrowing Base (including the definitions used therein), or the provisions of Section 5.12(c)(ii), and</w:t>
      </w:r>
    </w:p>
    <w:p>
      <w:pPr>
        <w:spacing w:after="0" w:line="4" w:lineRule="exact"/>
        <w:rPr>
          <w:sz w:val="20"/>
          <w:szCs w:val="20"/>
          <w:color w:val="auto"/>
        </w:rPr>
      </w:pPr>
    </w:p>
    <w:p>
      <w:pPr>
        <w:ind w:right="60" w:firstLine="8"/>
        <w:spacing w:after="0" w:line="236" w:lineRule="auto"/>
        <w:tabs>
          <w:tab w:leader="none" w:pos="34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for any release of any material portion of the Collateral other than for fair value or as otherwise permitted hereunder or under the other Loan Documents.</w:t>
      </w:r>
    </w:p>
    <w:p>
      <w:pPr>
        <w:spacing w:after="0" w:line="187"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w:t>
      </w:r>
    </w:p>
    <w:p>
      <w:pPr>
        <w:spacing w:after="0" w:line="185" w:lineRule="exact"/>
        <w:rPr>
          <w:sz w:val="20"/>
          <w:szCs w:val="20"/>
          <w:color w:val="auto"/>
        </w:rPr>
      </w:pPr>
    </w:p>
    <w:p>
      <w:pPr>
        <w:ind w:right="20" w:firstLine="8"/>
        <w:spacing w:after="0" w:line="270" w:lineRule="auto"/>
        <w:tabs>
          <w:tab w:leader="none" w:pos="294"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Amendments to Security Documents</w:t>
      </w:r>
      <w:r>
        <w:rPr>
          <w:rFonts w:ascii="Arial" w:cs="Arial" w:eastAsia="Arial" w:hAnsi="Arial"/>
          <w:sz w:val="19"/>
          <w:szCs w:val="19"/>
          <w:color w:val="auto"/>
        </w:rPr>
        <w:t>. No Security Document nor any provision thereof may be waived, amended or modified, nor may the Liens thereof be spread to secure any additional obligations (including any increase in Loans hereunder, but excluding any such increase pursuant to a Commitment Increase under Section 2.08(e) to an amount not greater than $600,000,000) except pursuant to an agreement or agreements in writing entered into by the Borrower, and by the Collateral Agent with the consent of the Required Lenders; provided that, (i) without the written consent of each Lender, no such agreement shall release all or substantially all of the Obligors from their respective obligations under the Security Documents and</w:t>
      </w:r>
    </w:p>
    <w:p>
      <w:pPr>
        <w:spacing w:after="0" w:line="1" w:lineRule="exact"/>
        <w:rPr>
          <w:rFonts w:ascii="Arial" w:cs="Arial" w:eastAsia="Arial" w:hAnsi="Arial"/>
          <w:sz w:val="19"/>
          <w:szCs w:val="19"/>
          <w:color w:val="auto"/>
        </w:rPr>
      </w:pPr>
    </w:p>
    <w:p>
      <w:pPr>
        <w:ind w:firstLine="8"/>
        <w:spacing w:after="0" w:line="272" w:lineRule="auto"/>
        <w:tabs>
          <w:tab w:leader="none" w:pos="318" w:val="left"/>
        </w:tabs>
        <w:numPr>
          <w:ilvl w:val="0"/>
          <w:numId w:val="137"/>
        </w:numPr>
        <w:rPr>
          <w:rFonts w:ascii="Arial" w:cs="Arial" w:eastAsia="Arial" w:hAnsi="Arial"/>
          <w:sz w:val="19"/>
          <w:szCs w:val="19"/>
          <w:color w:val="auto"/>
        </w:rPr>
      </w:pPr>
      <w:r>
        <w:rPr>
          <w:rFonts w:ascii="Arial" w:cs="Arial" w:eastAsia="Arial" w:hAnsi="Arial"/>
          <w:sz w:val="19"/>
          <w:szCs w:val="19"/>
          <w:color w:val="auto"/>
        </w:rPr>
        <w:t>without the written consent of each Lender, no such Agreement shall release all or substantially all of the collateral security or otherwise terminate all or substantially all of the Liens under the Security Documents, alter the relative prioriti 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to release any Lien covering property (and to release any such guarantor) that is the subject of either a disposition of property permitted hereunder or a disposition to which the Required Lenders have consented.</w:t>
      </w:r>
    </w:p>
    <w:p>
      <w:pPr>
        <w:sectPr>
          <w:pgSz w:w="11900" w:h="16838" w:orient="portrait"/>
          <w:cols w:equalWidth="0" w:num="1">
            <w:col w:w="11220"/>
          </w:cols>
          <w:pgMar w:left="320" w:top="118" w:right="359" w:bottom="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u w:val="single" w:color="auto"/>
          <w:color w:val="auto"/>
        </w:rPr>
        <w:t>Expenses; Indemnity; Damage Waiver</w:t>
      </w:r>
      <w:r>
        <w:rPr>
          <w:rFonts w:ascii="Arial" w:cs="Arial" w:eastAsia="Arial" w:hAnsi="Arial"/>
          <w:sz w:val="22"/>
          <w:szCs w:val="22"/>
          <w:color w:val="auto"/>
        </w:rPr>
        <w:t>.</w:t>
      </w:r>
    </w:p>
    <w:p>
      <w:pPr>
        <w:spacing w:after="0" w:line="207" w:lineRule="exact"/>
        <w:rPr>
          <w:sz w:val="20"/>
          <w:szCs w:val="20"/>
          <w:color w:val="auto"/>
        </w:rPr>
      </w:pPr>
    </w:p>
    <w:p>
      <w:pPr>
        <w:ind w:firstLine="8"/>
        <w:spacing w:after="0" w:line="271" w:lineRule="auto"/>
        <w:tabs>
          <w:tab w:leader="none" w:pos="294"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 shall pay (i) all reasonable out-of-pocket costs and expenses incurred by the Administrative Agent, the Collateral Agent and their Affiliates, including the reasonable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out-of-pocket expenses incurred by the Issuing Bank in connection with the issuance, amendment, renewal or extension of any Letter of Credit or any demand for payment thereunder, (iii) all out-of-pocket expenses incurred by the Administrative Agent, the Issuing Bank or any Lender, including the fees, charges and disbursements of any cou nsel for the Administrative Agent, the Issuing Bank or any Lender, in connection with the enforcement or protection of its rights in connection with this Agreement and the other Loan Documents, including its rights under this Section, or in connection with the Loans made or Letters of Credit issued hereunder, including all such out-of-pocket expenses incurred during any workout, restructuring or negotiations in respect thereof and (iv) and all costs, expenses, taxes, assessments and other charges incurred in connection with any filing, registration, recording or perfection of any security interest contemplated by any Security Document or any other document referred to therein.</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firstLine="8"/>
        <w:spacing w:after="0" w:line="271" w:lineRule="auto"/>
        <w:tabs>
          <w:tab w:leader="none" w:pos="306"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shall indemnify the Administrative Agent, the Issuing Bank and each Lender, and each Related Party of any of the foregoing Persons (each such Person being called an "Indemnitee") against, and hold each Indemnitee harmless from, any and all losses, claims, damages, liabilities and related expenses (other than Taxes or Other Taxes which shall only be indemnified by the Borrower to the extent provided in Section 2.16),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or Letter of Credit or the use of the proceeds therefr om (including any refusal by the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regardless of whether any Indemnitee is a party thereto; provided that such indemnity shall not as to any Indemnitee, be available to the extent that such losses, claims, damages, liabilities or related expenses are determined by a court of competent jurisdiction by final and nonappealable judgment to have resulted from the willful misconduct or gross negligence of such Indemnitee.</w:t>
      </w:r>
    </w:p>
    <w:p>
      <w:pPr>
        <w:spacing w:after="0" w:line="164"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The Borrower shall not be liable to any Indemnitee for any special, indirect, consequential or punitive damages arising out of, in connection with, or as a result of the Transactions asserted by an Indemnitee against the Borrower or any other Obligor, provided that the foregoing limitation shall not be deemed to impair or affect the Obligations of the Borrower under the preceding provisions of this subsection.</w:t>
      </w:r>
    </w:p>
    <w:p>
      <w:pPr>
        <w:spacing w:after="0" w:line="185" w:lineRule="exact"/>
        <w:rPr>
          <w:sz w:val="20"/>
          <w:szCs w:val="20"/>
          <w:color w:val="auto"/>
        </w:rPr>
      </w:pPr>
    </w:p>
    <w:p>
      <w:pPr>
        <w:ind w:right="20" w:firstLine="8"/>
        <w:spacing w:after="0" w:line="234" w:lineRule="auto"/>
        <w:tabs>
          <w:tab w:leader="none" w:pos="294"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Reimbursement by Lenders</w:t>
      </w:r>
      <w:r>
        <w:rPr>
          <w:rFonts w:ascii="Arial" w:cs="Arial" w:eastAsia="Arial" w:hAnsi="Arial"/>
          <w:sz w:val="22"/>
          <w:szCs w:val="22"/>
          <w:color w:val="auto"/>
        </w:rPr>
        <w:t>. To the extent that the Borrower fails to pay any amount required to be paid by it to the Administrative Agent, the Issuing Bank or the Swingline Lender under paragraph (a) or (b) of this Section, each Lender severally agrees to pay to the Administrative Agent, the Issuing Bank or the Swingline Lender, as the case may be, such Lender's Applicable Percentage (determined as of the time that the applicable unreimbursed expense or indemnity payment is sought) of such unpaid amount; provided that the unreimbursed expense or indemnified loss, claim, damage, liability or related expense, as the case may be, was incurred by or asserted against the Administrative Agent, the Issuing Bank or the Swingline Lender in its capacity as such.</w:t>
      </w:r>
    </w:p>
    <w:p>
      <w:pPr>
        <w:spacing w:after="0" w:line="190" w:lineRule="exact"/>
        <w:rPr>
          <w:rFonts w:ascii="Arial" w:cs="Arial" w:eastAsia="Arial" w:hAnsi="Arial"/>
          <w:sz w:val="22"/>
          <w:szCs w:val="22"/>
          <w:color w:val="auto"/>
        </w:rPr>
      </w:pPr>
    </w:p>
    <w:p>
      <w:pPr>
        <w:jc w:val="both"/>
        <w:ind w:right="180" w:firstLine="8"/>
        <w:spacing w:after="0" w:line="287" w:lineRule="auto"/>
        <w:tabs>
          <w:tab w:leader="none" w:pos="306"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w:t>
      </w:r>
    </w:p>
    <w:p>
      <w:pPr>
        <w:spacing w:after="0" w:line="142" w:lineRule="exact"/>
        <w:rPr>
          <w:rFonts w:ascii="Arial" w:cs="Arial" w:eastAsia="Arial" w:hAnsi="Arial"/>
          <w:sz w:val="19"/>
          <w:szCs w:val="19"/>
          <w:color w:val="auto"/>
        </w:rPr>
      </w:pPr>
    </w:p>
    <w:p>
      <w:pPr>
        <w:ind w:left="300" w:hanging="292"/>
        <w:spacing w:after="0"/>
        <w:tabs>
          <w:tab w:leader="none" w:pos="30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All amounts due under this Section shall be payable promptly after written demand therefor.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spacing w:after="0" w:line="206" w:lineRule="exact"/>
        <w:rPr>
          <w:sz w:val="20"/>
          <w:szCs w:val="20"/>
          <w:color w:val="auto"/>
        </w:rPr>
      </w:pPr>
    </w:p>
    <w:p>
      <w:pPr>
        <w:ind w:right="40" w:firstLine="8"/>
        <w:spacing w:after="0" w:line="274" w:lineRule="auto"/>
        <w:tabs>
          <w:tab w:leader="none" w:pos="294"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Assignments Generally</w:t>
      </w:r>
      <w:r>
        <w:rPr>
          <w:rFonts w:ascii="Arial" w:cs="Arial" w:eastAsia="Arial" w:hAnsi="Arial"/>
          <w:sz w:val="19"/>
          <w:szCs w:val="19"/>
          <w:color w:val="auto"/>
        </w:rPr>
        <w:t>. 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and, to the extent expressly contemplated hereby, the Related Par ties of each of the Administrative Agent, the Issuing Banks and the Lenders) any legal or equitable right, remedy or claim under or by reason of this Agreement.</w:t>
      </w:r>
    </w:p>
    <w:p>
      <w:pPr>
        <w:spacing w:after="0" w:line="158" w:lineRule="exact"/>
        <w:rPr>
          <w:rFonts w:ascii="Arial" w:cs="Arial" w:eastAsia="Arial" w:hAnsi="Arial"/>
          <w:sz w:val="19"/>
          <w:szCs w:val="19"/>
          <w:color w:val="auto"/>
        </w:rPr>
      </w:pPr>
    </w:p>
    <w:p>
      <w:pPr>
        <w:ind w:left="320" w:hanging="312"/>
        <w:spacing w:after="0"/>
        <w:tabs>
          <w:tab w:leader="none" w:pos="320"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Assignments by Lenders</w:t>
      </w:r>
      <w:r>
        <w:rPr>
          <w:rFonts w:ascii="Arial" w:cs="Arial" w:eastAsia="Arial" w:hAnsi="Arial"/>
          <w:sz w:val="22"/>
          <w:szCs w:val="22"/>
          <w:color w:val="auto"/>
        </w:rPr>
        <w:t>.</w:t>
      </w:r>
    </w:p>
    <w:p>
      <w:pPr>
        <w:spacing w:after="0" w:line="206" w:lineRule="exact"/>
        <w:rPr>
          <w:sz w:val="20"/>
          <w:szCs w:val="20"/>
          <w:color w:val="auto"/>
        </w:rPr>
      </w:pPr>
    </w:p>
    <w:p>
      <w:pPr>
        <w:ind w:firstLine="8"/>
        <w:spacing w:after="0" w:line="328" w:lineRule="auto"/>
        <w:tabs>
          <w:tab w:leader="none" w:pos="258"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Assignments Generally</w:t>
      </w:r>
      <w:r>
        <w:rPr>
          <w:rFonts w:ascii="Arial" w:cs="Arial" w:eastAsia="Arial" w:hAnsi="Arial"/>
          <w:sz w:val="19"/>
          <w:szCs w:val="19"/>
          <w:color w:val="auto"/>
        </w:rPr>
        <w:t>. Subject to the conditions set forth in clause (ii) below, any Lender may assign to one or more assignees all or a portion of its rights and obligations under this Agreement (including all or a portion of its Commitments and the</w:t>
      </w:r>
    </w:p>
    <w:p>
      <w:pPr>
        <w:sectPr>
          <w:pgSz w:w="11900" w:h="16838" w:orient="portrait"/>
          <w:cols w:equalWidth="0" w:num="1">
            <w:col w:w="11220"/>
          </w:cols>
          <w:pgMar w:left="320" w:top="118" w:right="359" w:bottom="0" w:gutter="0" w:footer="0" w:header="0"/>
        </w:sectPr>
      </w:pPr>
    </w:p>
    <w:bookmarkStart w:id="49" w:name="page50"/>
    <w:bookmarkEnd w:id="49"/>
    <w:p>
      <w:pPr>
        <w:spacing w:after="0" w:line="6"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Loans and LC Exposure at the time owing to it) with the prior written consent (such consent not to be unreasonably withheld or delayed) of:</w:t>
      </w:r>
    </w:p>
    <w:p>
      <w:pPr>
        <w:spacing w:after="0" w:line="173" w:lineRule="exact"/>
        <w:rPr>
          <w:sz w:val="20"/>
          <w:szCs w:val="20"/>
          <w:color w:val="auto"/>
        </w:rPr>
      </w:pPr>
    </w:p>
    <w:p>
      <w:pPr>
        <w:ind w:right="460" w:firstLine="8"/>
        <w:spacing w:after="0" w:line="250" w:lineRule="auto"/>
        <w:tabs>
          <w:tab w:leader="none" w:pos="35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Borrower, provided that no consent of the Borrower shall be required for an assignment to a Lender, an Affiliate of a Lender, or, if an Event of Default has occurred and is continuing, any other assignee; and</w:t>
      </w:r>
    </w:p>
    <w:p>
      <w:pPr>
        <w:spacing w:after="0" w:line="174" w:lineRule="exact"/>
        <w:rPr>
          <w:rFonts w:ascii="Arial" w:cs="Arial" w:eastAsia="Arial" w:hAnsi="Arial"/>
          <w:sz w:val="22"/>
          <w:szCs w:val="22"/>
          <w:color w:val="auto"/>
        </w:rPr>
      </w:pPr>
    </w:p>
    <w:p>
      <w:pPr>
        <w:ind w:left="360" w:hanging="352"/>
        <w:spacing w:after="0"/>
        <w:tabs>
          <w:tab w:leader="none" w:pos="36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Administrative Agent and the Issuing Bank.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(ii) </w:t>
      </w:r>
      <w:r>
        <w:rPr>
          <w:rFonts w:ascii="Arial" w:cs="Arial" w:eastAsia="Arial" w:hAnsi="Arial"/>
          <w:sz w:val="22"/>
          <w:szCs w:val="22"/>
          <w:u w:val="single" w:color="auto"/>
          <w:color w:val="auto"/>
        </w:rPr>
        <w:t>Certain Conditions to Assignments</w:t>
      </w:r>
      <w:r>
        <w:rPr>
          <w:rFonts w:ascii="Arial" w:cs="Arial" w:eastAsia="Arial" w:hAnsi="Arial"/>
          <w:sz w:val="22"/>
          <w:szCs w:val="22"/>
          <w:color w:val="auto"/>
        </w:rPr>
        <w:t>. Assignments shall be subject to the following additional conditions:</w:t>
      </w:r>
    </w:p>
    <w:p>
      <w:pPr>
        <w:spacing w:after="0" w:line="206" w:lineRule="exact"/>
        <w:rPr>
          <w:sz w:val="20"/>
          <w:szCs w:val="20"/>
          <w:color w:val="auto"/>
        </w:rPr>
      </w:pPr>
    </w:p>
    <w:p>
      <w:pPr>
        <w:ind w:right="140" w:firstLine="8"/>
        <w:spacing w:after="0" w:line="248" w:lineRule="auto"/>
        <w:tabs>
          <w:tab w:leader="none" w:pos="354" w:val="left"/>
        </w:tabs>
        <w:numPr>
          <w:ilvl w:val="0"/>
          <w:numId w:val="143"/>
        </w:numPr>
        <w:rPr>
          <w:rFonts w:ascii="Arial" w:cs="Arial" w:eastAsia="Arial" w:hAnsi="Arial"/>
          <w:sz w:val="21"/>
          <w:szCs w:val="21"/>
          <w:color w:val="auto"/>
        </w:rPr>
      </w:pPr>
      <w:r>
        <w:rPr>
          <w:rFonts w:ascii="Arial" w:cs="Arial" w:eastAsia="Arial" w:hAnsi="Arial"/>
          <w:sz w:val="21"/>
          <w:szCs w:val="21"/>
          <w:color w:val="auto"/>
        </w:rPr>
        <w:t xml:space="preserve">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consent of the Borrower shall be required if an Event of Default has occurred and is continuing;</w:t>
      </w:r>
    </w:p>
    <w:p>
      <w:pPr>
        <w:spacing w:after="0" w:line="176" w:lineRule="exact"/>
        <w:rPr>
          <w:rFonts w:ascii="Arial" w:cs="Arial" w:eastAsia="Arial" w:hAnsi="Arial"/>
          <w:sz w:val="21"/>
          <w:szCs w:val="21"/>
          <w:color w:val="auto"/>
        </w:rPr>
      </w:pPr>
    </w:p>
    <w:p>
      <w:pPr>
        <w:ind w:right="680" w:firstLine="8"/>
        <w:spacing w:after="0"/>
        <w:tabs>
          <w:tab w:leader="none" w:pos="342" w:val="left"/>
        </w:tabs>
        <w:numPr>
          <w:ilvl w:val="0"/>
          <w:numId w:val="143"/>
        </w:numPr>
        <w:rPr>
          <w:rFonts w:ascii="Arial" w:cs="Arial" w:eastAsia="Arial" w:hAnsi="Arial"/>
          <w:sz w:val="22"/>
          <w:szCs w:val="22"/>
          <w:color w:val="auto"/>
        </w:rPr>
      </w:pPr>
      <w:r>
        <w:rPr>
          <w:rFonts w:ascii="Arial" w:cs="Arial" w:eastAsia="Arial" w:hAnsi="Arial"/>
          <w:sz w:val="22"/>
          <w:szCs w:val="22"/>
          <w:color w:val="auto"/>
        </w:rPr>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186" w:lineRule="exact"/>
        <w:rPr>
          <w:rFonts w:ascii="Arial" w:cs="Arial" w:eastAsia="Arial" w:hAnsi="Arial"/>
          <w:sz w:val="22"/>
          <w:szCs w:val="22"/>
          <w:color w:val="auto"/>
        </w:rPr>
      </w:pPr>
    </w:p>
    <w:p>
      <w:pPr>
        <w:ind w:right="100" w:firstLine="8"/>
        <w:spacing w:after="0" w:line="238" w:lineRule="auto"/>
        <w:tabs>
          <w:tab w:leader="none" w:pos="342"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the parties to each assignment shall execute and deliver to the Administrative Agent an Assignment and Assumption in substantially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together with a processing and recordation fee of U.S. $3,500 (which fee shall not be payable in connection with an assignment to a Lender or to an Affiliate of a Lender), for which the Borrower and the Guarantors shall not be obligated; and</w:t>
      </w:r>
    </w:p>
    <w:p>
      <w:pPr>
        <w:spacing w:after="0" w:line="184" w:lineRule="exact"/>
        <w:rPr>
          <w:rFonts w:ascii="Arial" w:cs="Arial" w:eastAsia="Arial" w:hAnsi="Arial"/>
          <w:sz w:val="22"/>
          <w:szCs w:val="22"/>
          <w:color w:val="auto"/>
        </w:rPr>
      </w:pPr>
    </w:p>
    <w:p>
      <w:pPr>
        <w:ind w:right="920" w:firstLine="8"/>
        <w:spacing w:after="0" w:line="250" w:lineRule="auto"/>
        <w:tabs>
          <w:tab w:leader="none" w:pos="35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assignee, if it shall not already be a Lender of the applicable Class, shall deliver to the Administrative Agent an Administrative Questionnaire.</w:t>
      </w:r>
    </w:p>
    <w:p>
      <w:pPr>
        <w:spacing w:after="0" w:line="175" w:lineRule="exact"/>
        <w:rPr>
          <w:sz w:val="20"/>
          <w:szCs w:val="20"/>
          <w:color w:val="auto"/>
        </w:rPr>
      </w:pPr>
    </w:p>
    <w:p>
      <w:pPr>
        <w:ind w:firstLine="8"/>
        <w:spacing w:after="0" w:line="273" w:lineRule="auto"/>
        <w:tabs>
          <w:tab w:leader="none" w:pos="378"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Effectiveness of Assignments</w:t>
      </w:r>
      <w:r>
        <w:rPr>
          <w:rFonts w:ascii="Arial" w:cs="Arial" w:eastAsia="Arial" w:hAnsi="Arial"/>
          <w:sz w:val="19"/>
          <w:szCs w:val="19"/>
          <w:color w:val="auto"/>
        </w:rPr>
        <w:t>. Subject to acceptance and recording thereof pursuant to paragraph (c)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and 9.03 with respect to facts and circumstances occurring prior to the effective date of such Assignment).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(e) of this Section.</w:t>
      </w:r>
    </w:p>
    <w:p>
      <w:pPr>
        <w:spacing w:after="0" w:line="161" w:lineRule="exact"/>
        <w:rPr>
          <w:sz w:val="20"/>
          <w:szCs w:val="20"/>
          <w:color w:val="auto"/>
        </w:rPr>
      </w:pPr>
    </w:p>
    <w:p>
      <w:pPr>
        <w:ind w:firstLine="8"/>
        <w:spacing w:after="0" w:line="245" w:lineRule="auto"/>
        <w:tabs>
          <w:tab w:leader="none" w:pos="294" w:val="left"/>
        </w:tabs>
        <w:numPr>
          <w:ilvl w:val="0"/>
          <w:numId w:val="145"/>
        </w:numPr>
        <w:rPr>
          <w:rFonts w:ascii="Arial" w:cs="Arial" w:eastAsia="Arial" w:hAnsi="Arial"/>
          <w:sz w:val="21"/>
          <w:szCs w:val="21"/>
          <w:color w:val="auto"/>
        </w:rPr>
      </w:pPr>
      <w:r>
        <w:rPr>
          <w:rFonts w:ascii="Arial" w:cs="Arial" w:eastAsia="Arial" w:hAnsi="Arial"/>
          <w:sz w:val="21"/>
          <w:szCs w:val="21"/>
          <w:u w:val="single" w:color="auto"/>
          <w:color w:val="auto"/>
        </w:rPr>
        <w:t>Maintenance of Registers by Administrative Agent</w:t>
      </w:r>
      <w:r>
        <w:rPr>
          <w:rFonts w:ascii="Arial" w:cs="Arial" w:eastAsia="Arial" w:hAnsi="Arial"/>
          <w:sz w:val="21"/>
          <w:szCs w:val="21"/>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of the Loans and LC Disbursements owing to, each Lender pursuant to the terms hereof from time to time (the "Registers" and each individually, a "Register"). The entries in the Registers shall be conclusive, and the Borrower, the Administrative Agent, the Issuing Bank and the Lenders may treat each Person whose name is recorded in the Registers pursuant to the terms hereof as a Lender hereunder for all purposes of this Agreement, notwithstanding notice to the contrary. The Registers shall be available for inspection by the Borrower, the Issuing Bank and any Lender, at any reasonable time and from time to time upon reasonable prior notice.</w:t>
      </w:r>
    </w:p>
    <w:p>
      <w:pPr>
        <w:spacing w:after="0" w:line="184" w:lineRule="exact"/>
        <w:rPr>
          <w:rFonts w:ascii="Arial" w:cs="Arial" w:eastAsia="Arial" w:hAnsi="Arial"/>
          <w:sz w:val="21"/>
          <w:szCs w:val="21"/>
          <w:color w:val="auto"/>
        </w:rPr>
      </w:pPr>
    </w:p>
    <w:p>
      <w:pPr>
        <w:ind w:right="280" w:firstLine="8"/>
        <w:spacing w:after="0" w:line="279" w:lineRule="auto"/>
        <w:tabs>
          <w:tab w:leader="none" w:pos="306"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Acceptance of Assignments by Administrative Agent</w:t>
      </w:r>
      <w:r>
        <w:rPr>
          <w:rFonts w:ascii="Arial" w:cs="Arial" w:eastAsia="Arial" w:hAnsi="Arial"/>
          <w:sz w:val="19"/>
          <w:szCs w:val="19"/>
          <w:color w:val="auto"/>
        </w:rPr>
        <w:t>. 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comment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50" w:lineRule="exact"/>
        <w:rPr>
          <w:rFonts w:ascii="Arial" w:cs="Arial" w:eastAsia="Arial" w:hAnsi="Arial"/>
          <w:sz w:val="19"/>
          <w:szCs w:val="19"/>
          <w:color w:val="auto"/>
        </w:rPr>
      </w:pPr>
    </w:p>
    <w:p>
      <w:pPr>
        <w:ind w:firstLine="8"/>
        <w:spacing w:after="0" w:line="272" w:lineRule="auto"/>
        <w:tabs>
          <w:tab w:leader="none" w:pos="294"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Special Purposes Vehicles</w:t>
      </w:r>
      <w:r>
        <w:rPr>
          <w:rFonts w:ascii="Arial" w:cs="Arial" w:eastAsia="Arial" w:hAnsi="Arial"/>
          <w:sz w:val="19"/>
          <w:szCs w:val="19"/>
          <w:color w:val="auto"/>
        </w:rPr>
        <w:t>. Notwithstanding anything to the contrary contained herein, any Lender (a "Granting Lender") may grant to a special purpose funding vehicle (an "SPC") owned or administered by such Granting Lender, identified as such in writing from time to time by the Granting Lender to the Administrative Agent and the Borrower, the option to provide all or any part of any Loan that such Granting Lender would otherwise be obligated to make; provided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 e entitled to the benefits of Sections 2.14 (or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w:t>
      </w:r>
    </w:p>
    <w:p>
      <w:pPr>
        <w:sectPr>
          <w:pgSz w:w="11900" w:h="16844" w:orient="portrait"/>
          <w:cols w:equalWidth="0" w:num="1">
            <w:col w:w="11220"/>
          </w:cols>
          <w:pgMar w:left="320" w:top="118" w:right="359" w:bottom="0" w:gutter="0" w:footer="0" w:header="0"/>
        </w:sectPr>
      </w:pPr>
    </w:p>
    <w:bookmarkStart w:id="50" w:name="page51"/>
    <w:bookmarkEnd w:id="50"/>
    <w:p>
      <w:pPr>
        <w:ind w:right="80"/>
        <w:spacing w:after="0" w:line="251" w:lineRule="auto"/>
        <w:rPr>
          <w:sz w:val="20"/>
          <w:szCs w:val="20"/>
          <w:color w:val="auto"/>
        </w:rPr>
      </w:pPr>
      <w:r>
        <w:rPr>
          <w:rFonts w:ascii="Arial" w:cs="Arial" w:eastAsia="Arial" w:hAnsi="Arial"/>
          <w:sz w:val="22"/>
          <w:szCs w:val="22"/>
          <w:color w:val="auto"/>
        </w:rPr>
        <w:t>or through its SPC. The making of a Loan by an SPC hereunder shall utilize the Commitment of the Granting Lender to the same extent, and as if, such Loan were made by the Granting Lender.</w:t>
      </w:r>
    </w:p>
    <w:p>
      <w:pPr>
        <w:spacing w:after="0" w:line="173"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consent of the SPC or of any such assignee shall be required for amendments or waivers hereunder except for those amendments or waivers for which the consent of participants is required under paragraph (1) below, and</w:t>
      </w:r>
    </w:p>
    <w:p>
      <w:pPr>
        <w:spacing w:after="0" w:line="5" w:lineRule="exact"/>
        <w:rPr>
          <w:sz w:val="20"/>
          <w:szCs w:val="20"/>
          <w:color w:val="auto"/>
        </w:rPr>
      </w:pPr>
    </w:p>
    <w:p>
      <w:pPr>
        <w:ind w:right="80" w:firstLine="8"/>
        <w:spacing w:after="0" w:line="234" w:lineRule="auto"/>
        <w:tabs>
          <w:tab w:leader="none" w:pos="318" w:val="left"/>
        </w:tabs>
        <w:numPr>
          <w:ilvl w:val="0"/>
          <w:numId w:val="146"/>
        </w:numPr>
        <w:rPr>
          <w:rFonts w:ascii="Arial" w:cs="Arial" w:eastAsia="Arial" w:hAnsi="Arial"/>
          <w:sz w:val="22"/>
          <w:szCs w:val="22"/>
          <w:color w:val="auto"/>
        </w:rPr>
      </w:pPr>
      <w:r>
        <w:rPr>
          <w:rFonts w:ascii="Arial" w:cs="Arial" w:eastAsia="Arial" w:hAnsi="Arial"/>
          <w:sz w:val="22"/>
          <w:szCs w:val="22"/>
          <w:color w:val="auto"/>
        </w:rPr>
        <w:t>disclose on a confidential basis (in the same manner described in Section 9.13(b)) any non-public information relating to its Loans to any rating agency, commercial paper dealer or provider of a surety, guarantee or credit or liquidity enhancement to such SPC.</w:t>
      </w:r>
    </w:p>
    <w:p>
      <w:pPr>
        <w:spacing w:after="0" w:line="187" w:lineRule="exact"/>
        <w:rPr>
          <w:sz w:val="20"/>
          <w:szCs w:val="20"/>
          <w:color w:val="auto"/>
        </w:rPr>
      </w:pPr>
    </w:p>
    <w:p>
      <w:pPr>
        <w:ind w:firstLine="8"/>
        <w:spacing w:after="0" w:line="270" w:lineRule="auto"/>
        <w:tabs>
          <w:tab w:leader="none" w:pos="270"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with the consent of the Borrower (such consent not to be unreasonably withheld or delayed), sell participations to one or more banks or other entities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 obligations under this Agreement and the other Loan Documents (including all or a portion of its Commitments and the Loans and LC Disbursements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and (iv) the Borrower, the Administrative Agent, the Issuing Bank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provided that such agreement or instrument may provide that such Lender will not, without the consent of the Participant, agree to any amendment, modification or waiver described in the first proviso to Section 9.02(b) that affects such Participant. Subject to paragraph (g) of this Section, the Borrower agrees that each Participant shall be entitled to the benefits of Sections 2.14, 2. 15 and 2.16 to the same extent as if it were a Lender and had acquired its interest by assignment pursuant to paragraph (b) of this Section. To the extent permitted by law, each Participant also shall be entitled to the benefits of Section 9.08 as though it were a Lender, provided such Participant agrees to be subject to Section 2.17(d) as though it were a Lender hereunder.</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left="320" w:hanging="312"/>
        <w:spacing w:after="0"/>
        <w:tabs>
          <w:tab w:leader="none" w:pos="320"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Limitations on Rights of Participants</w:t>
      </w:r>
      <w:r>
        <w:rPr>
          <w:rFonts w:ascii="Arial" w:cs="Arial" w:eastAsia="Arial" w:hAnsi="Arial"/>
          <w:sz w:val="19"/>
          <w:szCs w:val="19"/>
          <w:color w:val="auto"/>
        </w:rPr>
        <w:t>. A Participant shall not be entitled to receive any greater payment under Section 2.14,</w:t>
      </w:r>
    </w:p>
    <w:p>
      <w:pPr>
        <w:spacing w:after="0" w:line="43"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2.15 or 2.16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Section 2.16 unless the Borrower is notified of the participation sold to such Participant and such Participant agrees, for the benefit of the Borrower, to comply with paragraphs (e) and (f) of Section 2.16 as though it were a Lender and in the case of a Participant claiming exemption for portfolio interest under Section 871(h) or 881(c) of the Code, the applicable Lender shall provide the Borrower with satisfactory evidence that the participation is in registered form and shall pe rmit the Borrower to review such register as reasonably needed for the Borrower to comply with its obligations under applicable laws and regulations.</w:t>
      </w:r>
    </w:p>
    <w:p>
      <w:pPr>
        <w:spacing w:after="0" w:line="161" w:lineRule="exact"/>
        <w:rPr>
          <w:sz w:val="20"/>
          <w:szCs w:val="20"/>
          <w:color w:val="auto"/>
        </w:rPr>
      </w:pPr>
    </w:p>
    <w:p>
      <w:pPr>
        <w:ind w:right="140" w:firstLine="8"/>
        <w:spacing w:after="0" w:line="236" w:lineRule="auto"/>
        <w:tabs>
          <w:tab w:leader="none" w:pos="306"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Certain Pledges</w:t>
      </w:r>
      <w:r>
        <w:rPr>
          <w:rFonts w:ascii="Arial" w:cs="Arial" w:eastAsia="Arial" w:hAnsi="Arial"/>
          <w:sz w:val="22"/>
          <w:szCs w:val="22"/>
          <w:color w:val="auto"/>
        </w:rPr>
        <w:t>. Any Lender may at any time pledge or assign a security interest in all or any portion of its rights under this Agreement to secure obligations of such Lender, including any such pledge or assignment to a Federal Reserve Bank, and this Section shall not apply to any such pledge or assignment of a security interest; provided that no such pledge or assignment of a security interest shall release a Lender from any of its obligations hereunder or substitute any such assignee for such Lender as a party hereto.</w:t>
      </w:r>
    </w:p>
    <w:p>
      <w:pPr>
        <w:spacing w:after="0" w:line="187" w:lineRule="exact"/>
        <w:rPr>
          <w:rFonts w:ascii="Arial" w:cs="Arial" w:eastAsia="Arial" w:hAnsi="Arial"/>
          <w:sz w:val="22"/>
          <w:szCs w:val="22"/>
          <w:color w:val="auto"/>
        </w:rPr>
      </w:pPr>
    </w:p>
    <w:p>
      <w:pPr>
        <w:jc w:val="both"/>
        <w:ind w:firstLine="8"/>
        <w:spacing w:after="0"/>
        <w:tabs>
          <w:tab w:leader="none" w:pos="258"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No Assignments to the Borrower or Affiliates</w:t>
      </w:r>
      <w:r>
        <w:rPr>
          <w:rFonts w:ascii="Arial" w:cs="Arial" w:eastAsia="Arial" w:hAnsi="Arial"/>
          <w:sz w:val="22"/>
          <w:szCs w:val="22"/>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186"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u w:val="single" w:color="auto"/>
          <w:color w:val="auto"/>
        </w:rPr>
        <w:t>Survival</w:t>
      </w:r>
      <w:r>
        <w:rPr>
          <w:rFonts w:ascii="Arial" w:cs="Arial" w:eastAsia="Arial" w:hAnsi="Arial"/>
          <w:sz w:val="19"/>
          <w:szCs w:val="19"/>
          <w:color w:val="auto"/>
        </w:rPr>
        <w:t>.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w:t>
      </w:r>
    </w:p>
    <w:p>
      <w:pPr>
        <w:sectPr>
          <w:pgSz w:w="11900" w:h="16838" w:orient="portrait"/>
          <w:cols w:equalWidth="0" w:num="1">
            <w:col w:w="11240"/>
          </w:cols>
          <w:pgMar w:left="320" w:top="118" w:right="339" w:bottom="0" w:gutter="0" w:footer="0" w:header="0"/>
        </w:sectPr>
      </w:pPr>
    </w:p>
    <w:bookmarkStart w:id="51" w:name="page52"/>
    <w:bookmarkEnd w:id="51"/>
    <w:p>
      <w:pPr>
        <w:ind w:right="200"/>
        <w:spacing w:after="0" w:line="297" w:lineRule="auto"/>
        <w:rPr>
          <w:sz w:val="20"/>
          <w:szCs w:val="20"/>
          <w:color w:val="auto"/>
        </w:rPr>
      </w:pPr>
      <w:r>
        <w:rPr>
          <w:rFonts w:ascii="Arial" w:cs="Arial" w:eastAsia="Arial" w:hAnsi="Arial"/>
          <w:sz w:val="19"/>
          <w:szCs w:val="19"/>
          <w:color w:val="auto"/>
        </w:rPr>
        <w:t>The provisions of Sections 2.14, 2.15, 2.16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9.06. </w:t>
      </w:r>
      <w:r>
        <w:rPr>
          <w:rFonts w:ascii="Arial" w:cs="Arial" w:eastAsia="Arial" w:hAnsi="Arial"/>
          <w:sz w:val="22"/>
          <w:szCs w:val="22"/>
          <w:u w:val="single" w:color="auto"/>
          <w:color w:val="auto"/>
        </w:rPr>
        <w:t>Counterparts; Integration; Effectiveness; Electronic Execution</w:t>
      </w:r>
      <w:r>
        <w:rPr>
          <w:rFonts w:ascii="Arial" w:cs="Arial" w:eastAsia="Arial" w:hAnsi="Arial"/>
          <w:sz w:val="22"/>
          <w:szCs w:val="22"/>
          <w:color w:val="auto"/>
        </w:rPr>
        <w:t>.</w:t>
      </w:r>
    </w:p>
    <w:p>
      <w:pPr>
        <w:spacing w:after="0" w:line="206" w:lineRule="exact"/>
        <w:rPr>
          <w:sz w:val="20"/>
          <w:szCs w:val="20"/>
          <w:color w:val="auto"/>
        </w:rPr>
      </w:pPr>
    </w:p>
    <w:p>
      <w:pPr>
        <w:ind w:right="100" w:firstLine="8"/>
        <w:spacing w:after="0" w:line="273" w:lineRule="auto"/>
        <w:tabs>
          <w:tab w:leader="none" w:pos="294"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 ccessors and assigns. Delivery of an executed counterpart of a signature page to this Agreement by telecopy or electronic mail shall be effective as delivery of a manually executed counterpart of this Agreement.</w:t>
      </w:r>
    </w:p>
    <w:p>
      <w:pPr>
        <w:spacing w:after="0" w:line="160" w:lineRule="exact"/>
        <w:rPr>
          <w:rFonts w:ascii="Arial" w:cs="Arial" w:eastAsia="Arial" w:hAnsi="Arial"/>
          <w:sz w:val="19"/>
          <w:szCs w:val="19"/>
          <w:color w:val="auto"/>
        </w:rPr>
      </w:pPr>
    </w:p>
    <w:p>
      <w:pPr>
        <w:ind w:right="140" w:firstLine="8"/>
        <w:spacing w:after="0" w:line="248" w:lineRule="auto"/>
        <w:tabs>
          <w:tab w:leader="none" w:pos="306" w:val="left"/>
        </w:tabs>
        <w:numPr>
          <w:ilvl w:val="0"/>
          <w:numId w:val="149"/>
        </w:numPr>
        <w:rPr>
          <w:rFonts w:ascii="Arial" w:cs="Arial" w:eastAsia="Arial" w:hAnsi="Arial"/>
          <w:sz w:val="21"/>
          <w:szCs w:val="21"/>
          <w:color w:val="auto"/>
        </w:rPr>
      </w:pPr>
      <w:r>
        <w:rPr>
          <w:rFonts w:ascii="Arial" w:cs="Arial" w:eastAsia="Arial" w:hAnsi="Arial"/>
          <w:sz w:val="21"/>
          <w:szCs w:val="21"/>
          <w:u w:val="single" w:color="auto"/>
          <w:color w:val="auto"/>
        </w:rPr>
        <w:t>Electronic Execution of Assignments</w:t>
      </w:r>
      <w:r>
        <w:rPr>
          <w:rFonts w:ascii="Arial" w:cs="Arial" w:eastAsia="Arial" w:hAnsi="Arial"/>
          <w:sz w:val="21"/>
          <w:szCs w:val="21"/>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7"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 xml:space="preserve">SECTION 9.07.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u w:val="single" w:color="auto"/>
          <w:color w:val="auto"/>
        </w:rPr>
        <w:t>Right of Setoff</w:t>
      </w:r>
      <w:r>
        <w:rPr>
          <w:rFonts w:ascii="Arial" w:cs="Arial" w:eastAsia="Arial" w:hAnsi="Arial"/>
          <w:sz w:val="19"/>
          <w:szCs w:val="19"/>
          <w:color w:val="auto"/>
        </w:rPr>
        <w:t>.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9.09. </w:t>
      </w:r>
      <w:r>
        <w:rPr>
          <w:rFonts w:ascii="Arial" w:cs="Arial" w:eastAsia="Arial" w:hAnsi="Arial"/>
          <w:sz w:val="22"/>
          <w:szCs w:val="22"/>
          <w:u w:val="single" w:color="auto"/>
          <w:color w:val="auto"/>
        </w:rPr>
        <w:t>Governing Law; Jurisdiction; Etc</w:t>
      </w:r>
      <w:r>
        <w:rPr>
          <w:rFonts w:ascii="Arial" w:cs="Arial" w:eastAsia="Arial" w:hAnsi="Arial"/>
          <w:sz w:val="22"/>
          <w:szCs w:val="22"/>
          <w:color w:val="auto"/>
        </w:rPr>
        <w:t>.</w:t>
      </w:r>
    </w:p>
    <w:p>
      <w:pPr>
        <w:spacing w:after="0" w:line="206" w:lineRule="exact"/>
        <w:rPr>
          <w:sz w:val="20"/>
          <w:szCs w:val="20"/>
          <w:color w:val="auto"/>
        </w:rPr>
      </w:pPr>
    </w:p>
    <w:p>
      <w:pPr>
        <w:ind w:left="300" w:hanging="292"/>
        <w:spacing w:after="0"/>
        <w:tabs>
          <w:tab w:leader="none" w:pos="300"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construed in accordance with and governed by the law of the State of New York.</w:t>
      </w:r>
    </w:p>
    <w:p>
      <w:pPr>
        <w:spacing w:after="0" w:line="240" w:lineRule="exact"/>
        <w:rPr>
          <w:rFonts w:ascii="Arial" w:cs="Arial" w:eastAsia="Arial" w:hAnsi="Arial"/>
          <w:sz w:val="19"/>
          <w:szCs w:val="19"/>
          <w:color w:val="auto"/>
        </w:rPr>
      </w:pPr>
    </w:p>
    <w:p>
      <w:pPr>
        <w:ind w:firstLine="8"/>
        <w:spacing w:after="0" w:line="273" w:lineRule="auto"/>
        <w:tabs>
          <w:tab w:leader="none" w:pos="306"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The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bylaw, in such Federal court. Each of the parties hereto agrees hat a final judgment in any such action or proceeding shall be conclusive and may be enforced in other jurisdictions by suit on the judgment or in any other manner provided by law. Nothing in this Agreement shall affect any right that the Administrati ve Agent, the Issuing Bait or any Lender may otherwise have to bring any action or proceeding relating to this Agreement against the Borrower or its properties in the courts of any jurisdiction.</w:t>
      </w:r>
    </w:p>
    <w:p>
      <w:pPr>
        <w:spacing w:after="0" w:line="160" w:lineRule="exact"/>
        <w:rPr>
          <w:rFonts w:ascii="Arial" w:cs="Arial" w:eastAsia="Arial" w:hAnsi="Arial"/>
          <w:sz w:val="19"/>
          <w:szCs w:val="19"/>
          <w:color w:val="auto"/>
        </w:rPr>
      </w:pPr>
    </w:p>
    <w:p>
      <w:pPr>
        <w:ind w:right="40" w:firstLine="8"/>
        <w:spacing w:after="0" w:line="236" w:lineRule="auto"/>
        <w:tabs>
          <w:tab w:leader="none" w:pos="294"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Waiver of Venue</w:t>
      </w:r>
      <w:r>
        <w:rPr>
          <w:rFonts w:ascii="Arial" w:cs="Arial" w:eastAsia="Arial" w:hAnsi="Arial"/>
          <w:sz w:val="22"/>
          <w:szCs w:val="22"/>
          <w:color w:val="auto"/>
        </w:rPr>
        <w:t>. The Borrower hereby irrevocably and unconditionally waives, to the fullest extent it may legally and effectively do so, any objection which it may now or hereafter have to the haying of venue of any suit, action or proceeding arising out of or relating to this Agreement in any court referred to in paragraph (b) of this Section. Each of the parties hereto hereby irrevocably waives, to the fullest extent permitted bylaw, the defense of an inconvenient forum to the maintenance of such action or proceeding in any such court.</w:t>
      </w:r>
    </w:p>
    <w:p>
      <w:pPr>
        <w:spacing w:after="0" w:line="187" w:lineRule="exact"/>
        <w:rPr>
          <w:rFonts w:ascii="Arial" w:cs="Arial" w:eastAsia="Arial" w:hAnsi="Arial"/>
          <w:sz w:val="22"/>
          <w:szCs w:val="22"/>
          <w:color w:val="auto"/>
        </w:rPr>
      </w:pPr>
    </w:p>
    <w:p>
      <w:pPr>
        <w:ind w:right="420" w:firstLine="8"/>
        <w:spacing w:after="0"/>
        <w:tabs>
          <w:tab w:leader="none" w:pos="306"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Service of Process</w:t>
      </w:r>
      <w:r>
        <w:rPr>
          <w:rFonts w:ascii="Arial" w:cs="Arial" w:eastAsia="Arial" w:hAnsi="Arial"/>
          <w:sz w:val="22"/>
          <w:szCs w:val="22"/>
          <w:color w:val="auto"/>
        </w:rPr>
        <w:t>. Each party to this Agreement irrevocably consents to service of process in the manner provided for notices in Section 9.01. Nothing in this Agreement will affect the right of any party to this Agreement to serve process in any other manner permitted by law.</w:t>
      </w:r>
    </w:p>
    <w:p>
      <w:pPr>
        <w:spacing w:after="0" w:line="186"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 xml:space="preserve">SECTION 9.10.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w:t>
      </w:r>
    </w:p>
    <w:p>
      <w:pPr>
        <w:sectPr>
          <w:pgSz w:w="11900" w:h="16838" w:orient="portrait"/>
          <w:cols w:equalWidth="0" w:num="1">
            <w:col w:w="11240"/>
          </w:cols>
          <w:pgMar w:left="320" w:top="118" w:right="339" w:bottom="0" w:gutter="0" w:footer="0" w:header="0"/>
        </w:sectPr>
      </w:pPr>
    </w:p>
    <w:bookmarkStart w:id="52" w:name="page53"/>
    <w:bookmarkEnd w:id="52"/>
    <w:p>
      <w:pPr>
        <w:ind w:right="360"/>
        <w:spacing w:after="0" w:line="251" w:lineRule="auto"/>
        <w:rPr>
          <w:sz w:val="20"/>
          <w:szCs w:val="20"/>
          <w:color w:val="auto"/>
        </w:rPr>
      </w:pPr>
      <w:r>
        <w:rPr>
          <w:rFonts w:ascii="Arial" w:cs="Arial" w:eastAsia="Arial" w:hAnsi="Arial"/>
          <w:sz w:val="22"/>
          <w:szCs w:val="22"/>
          <w:color w:val="auto"/>
        </w:rPr>
        <w:t>THE OTHER PARTIES HERETO HAVE BEEN INDUCED TO ENTER INTO THIS AGREEMENT BY, AMONG OTHER THINGS. THE MUTUAL WAIVERS AND CERTIFICATIONS IN THIS SECTION.</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 xml:space="preserve">SECTION 9.11. </w:t>
      </w:r>
      <w:r>
        <w:rPr>
          <w:rFonts w:ascii="Arial" w:cs="Arial" w:eastAsia="Arial" w:hAnsi="Arial"/>
          <w:sz w:val="19"/>
          <w:szCs w:val="19"/>
          <w:u w:val="single" w:color="auto"/>
          <w:color w:val="auto"/>
        </w:rPr>
        <w:t>Judgment Currency</w:t>
      </w:r>
      <w:r>
        <w:rPr>
          <w:rFonts w:ascii="Arial" w:cs="Arial" w:eastAsia="Arial" w:hAnsi="Arial"/>
          <w:sz w:val="19"/>
          <w:szCs w:val="19"/>
          <w:color w:val="auto"/>
        </w:rPr>
        <w:t>. This is an international loan transaction in which the specification of Dollars or any Foreign Currency, as the case may be (the "</w:t>
      </w:r>
      <w:r>
        <w:rPr>
          <w:rFonts w:ascii="Arial" w:cs="Arial" w:eastAsia="Arial" w:hAnsi="Arial"/>
          <w:sz w:val="19"/>
          <w:szCs w:val="19"/>
          <w:u w:val="single" w:color="auto"/>
          <w:color w:val="auto"/>
        </w:rPr>
        <w:t>Specified Currency</w:t>
      </w:r>
      <w:r>
        <w:rPr>
          <w:rFonts w:ascii="Arial" w:cs="Arial" w:eastAsia="Arial" w:hAnsi="Arial"/>
          <w:sz w:val="19"/>
          <w:szCs w:val="19"/>
          <w:color w:val="auto"/>
        </w:rPr>
        <w:t>"), and payment in New York City or the country of the Specified Currency, as the case may be (the "</w:t>
      </w:r>
      <w:r>
        <w:rPr>
          <w:rFonts w:ascii="Arial" w:cs="Arial" w:eastAsia="Arial" w:hAnsi="Arial"/>
          <w:sz w:val="19"/>
          <w:szCs w:val="19"/>
          <w:u w:val="single" w:color="auto"/>
          <w:color w:val="auto"/>
        </w:rPr>
        <w:t>Specified Place</w:t>
      </w:r>
      <w:r>
        <w:rPr>
          <w:rFonts w:ascii="Arial" w:cs="Arial" w:eastAsia="Arial" w:hAnsi="Arial"/>
          <w:sz w:val="19"/>
          <w:szCs w:val="19"/>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Arial" w:cs="Arial" w:eastAsia="Arial" w:hAnsi="Arial"/>
          <w:sz w:val="19"/>
          <w:szCs w:val="19"/>
          <w:u w:val="single" w:color="auto"/>
          <w:color w:val="auto"/>
        </w:rPr>
        <w:t>Second Currency</w:t>
      </w:r>
      <w:r>
        <w:rPr>
          <w:rFonts w:ascii="Arial" w:cs="Arial" w:eastAsia="Arial" w:hAnsi="Arial"/>
          <w:sz w:val="19"/>
          <w:szCs w:val="19"/>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Arial" w:cs="Arial" w:eastAsia="Arial" w:hAnsi="Arial"/>
          <w:sz w:val="19"/>
          <w:szCs w:val="19"/>
          <w:u w:val="single" w:color="auto"/>
          <w:color w:val="auto"/>
        </w:rPr>
        <w:t>Entitled Person</w:t>
      </w:r>
      <w:r>
        <w:rPr>
          <w:rFonts w:ascii="Arial" w:cs="Arial" w:eastAsia="Arial" w:hAnsi="Arial"/>
          <w:sz w:val="19"/>
          <w:szCs w:val="19"/>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 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200" w:lineRule="exact"/>
        <w:rPr>
          <w:sz w:val="20"/>
          <w:szCs w:val="20"/>
          <w:color w:val="auto"/>
        </w:rPr>
      </w:pPr>
    </w:p>
    <w:p>
      <w:pPr>
        <w:spacing w:after="0" w:line="206"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 xml:space="preserve">SECTION 9.12.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9.13. </w:t>
      </w:r>
      <w:r>
        <w:rPr>
          <w:rFonts w:ascii="Arial" w:cs="Arial" w:eastAsia="Arial" w:hAnsi="Arial"/>
          <w:sz w:val="22"/>
          <w:szCs w:val="22"/>
          <w:u w:val="single" w:color="auto"/>
          <w:color w:val="auto"/>
        </w:rPr>
        <w:t>Treatment of Certain Information; Confidentiality</w:t>
      </w:r>
      <w:r>
        <w:rPr>
          <w:rFonts w:ascii="Arial" w:cs="Arial" w:eastAsia="Arial" w:hAnsi="Arial"/>
          <w:sz w:val="22"/>
          <w:szCs w:val="22"/>
          <w:color w:val="auto"/>
        </w:rPr>
        <w:t>.</w:t>
      </w:r>
    </w:p>
    <w:p>
      <w:pPr>
        <w:spacing w:after="0" w:line="206" w:lineRule="exact"/>
        <w:rPr>
          <w:sz w:val="20"/>
          <w:szCs w:val="20"/>
          <w:color w:val="auto"/>
        </w:rPr>
      </w:pPr>
    </w:p>
    <w:p>
      <w:pPr>
        <w:ind w:right="80" w:firstLine="8"/>
        <w:spacing w:after="0" w:line="270" w:lineRule="auto"/>
        <w:tabs>
          <w:tab w:leader="none" w:pos="294"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Treatment of Certain Information</w:t>
      </w:r>
      <w:r>
        <w:rPr>
          <w:rFonts w:ascii="Arial" w:cs="Arial" w:eastAsia="Arial" w:hAnsi="Arial"/>
          <w:sz w:val="19"/>
          <w:szCs w:val="19"/>
          <w:color w:val="auto"/>
        </w:rPr>
        <w:t>.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paragraph</w:t>
      </w:r>
    </w:p>
    <w:p>
      <w:pPr>
        <w:spacing w:after="0" w:line="1" w:lineRule="exact"/>
        <w:rPr>
          <w:rFonts w:ascii="Arial" w:cs="Arial" w:eastAsia="Arial" w:hAnsi="Arial"/>
          <w:sz w:val="19"/>
          <w:szCs w:val="19"/>
          <w:color w:val="auto"/>
        </w:rPr>
      </w:pPr>
    </w:p>
    <w:p>
      <w:pPr>
        <w:ind w:right="40" w:firstLine="8"/>
        <w:spacing w:after="0" w:line="308" w:lineRule="auto"/>
        <w:tabs>
          <w:tab w:leader="none" w:pos="306" w:val="left"/>
        </w:tabs>
        <w:numPr>
          <w:ilvl w:val="0"/>
          <w:numId w:val="151"/>
        </w:numPr>
        <w:rPr>
          <w:rFonts w:ascii="Arial" w:cs="Arial" w:eastAsia="Arial" w:hAnsi="Arial"/>
          <w:sz w:val="19"/>
          <w:szCs w:val="19"/>
          <w:color w:val="auto"/>
        </w:rPr>
      </w:pPr>
      <w:r>
        <w:rPr>
          <w:rFonts w:ascii="Arial" w:cs="Arial" w:eastAsia="Arial" w:hAnsi="Arial"/>
          <w:sz w:val="19"/>
          <w:szCs w:val="19"/>
          <w:color w:val="auto"/>
        </w:rPr>
        <w:t>of this Section as if it were a Lender hereunder. Such authorization shall survive the repayment of the Loans, the expiration or termination of the Letters of Credit and the Commitments or the termination of this Agreement or any p rovision hereof.</w:t>
      </w:r>
    </w:p>
    <w:p>
      <w:pPr>
        <w:spacing w:after="0" w:line="123" w:lineRule="exact"/>
        <w:rPr>
          <w:sz w:val="20"/>
          <w:szCs w:val="20"/>
          <w:color w:val="auto"/>
        </w:rPr>
      </w:pPr>
    </w:p>
    <w:p>
      <w:pPr>
        <w:ind w:right="40" w:firstLine="8"/>
        <w:spacing w:after="0" w:line="271" w:lineRule="auto"/>
        <w:tabs>
          <w:tab w:leader="none" w:pos="306"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Each of the Administrative Agent, the Lenders and the Issuing Bank agrees to maintain the confidentiality of the Information (as defined below), except that Information may be disclosed (a)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 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(g) with the consent of the Borrower or (h) to the extent such Information (x) becomes publicly available other than as a result of a breach of this Section or (y) becomes available to the Administrative Agent, any Lender, the Issuing Bank or any of their respective Affiliates on a nonconfidential basis from a source other than the Borrower.</w:t>
      </w:r>
    </w:p>
    <w:p>
      <w:pPr>
        <w:spacing w:after="0" w:line="164"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For purposes of this Section, "</w:t>
      </w:r>
      <w:r>
        <w:rPr>
          <w:rFonts w:ascii="Arial" w:cs="Arial" w:eastAsia="Arial" w:hAnsi="Arial"/>
          <w:sz w:val="21"/>
          <w:szCs w:val="21"/>
          <w:u w:val="single" w:color="auto"/>
          <w:color w:val="auto"/>
        </w:rPr>
        <w:t>information</w:t>
      </w:r>
      <w:r>
        <w:rPr>
          <w:rFonts w:ascii="Arial" w:cs="Arial" w:eastAsia="Arial" w:hAnsi="Arial"/>
          <w:sz w:val="21"/>
          <w:szCs w:val="21"/>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the Issuing Bank on a nonconfidential basis prior to disclosure by the Borrower or any of its Subsidiaries,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information received from the Borrower or any of its Subsidiaries after the date hereof; such information is dearly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 xml:space="preserve">SECTION 9.14. </w:t>
      </w:r>
      <w:r>
        <w:rPr>
          <w:rFonts w:ascii="Arial" w:cs="Arial" w:eastAsia="Arial" w:hAnsi="Arial"/>
          <w:sz w:val="22"/>
          <w:szCs w:val="22"/>
          <w:u w:val="single" w:color="auto"/>
          <w:color w:val="auto"/>
        </w:rPr>
        <w:t>USA PATRIOT Act</w:t>
      </w:r>
      <w:r>
        <w:rPr>
          <w:rFonts w:ascii="Arial" w:cs="Arial" w:eastAsia="Arial" w:hAnsi="Arial"/>
          <w:sz w:val="22"/>
          <w:szCs w:val="22"/>
          <w:color w:val="auto"/>
        </w:rPr>
        <w:t>. Each Lender hereby notifies the Borrower that pursuant to the requirements of the USA PATRIOT Act (Title III of Pub. L. 107-56 (signed into law October 26, 2001)), it is required to obtain, verify and record information that identifies the Borrower, which information includes the name and address of the Borrower and other information that will allow such Lender to identify the Borrower in accordance with said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32" w:gutter="0" w:footer="0" w:header="0"/>
        </w:sectPr>
      </w:pPr>
    </w:p>
    <w:bookmarkStart w:id="53" w:name="page54"/>
    <w:bookmarkEnd w:id="53"/>
    <w:p>
      <w:pPr>
        <w:spacing w:after="0" w:line="251"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INVESTMENT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Arthur H. Penn</w:t>
      </w:r>
    </w:p>
    <w:p>
      <w:pPr>
        <w:spacing w:after="0" w:line="238" w:lineRule="auto"/>
        <w:rPr>
          <w:sz w:val="20"/>
          <w:szCs w:val="20"/>
          <w:color w:val="auto"/>
        </w:rPr>
      </w:pPr>
      <w:r>
        <w:rPr>
          <w:rFonts w:ascii="Arial" w:cs="Arial" w:eastAsia="Arial" w:hAnsi="Arial"/>
          <w:sz w:val="22"/>
          <w:szCs w:val="22"/>
          <w:color w:val="auto"/>
        </w:rPr>
        <w:t>Name: Arthur H. Penn</w:t>
      </w:r>
    </w:p>
    <w:p>
      <w:pPr>
        <w:spacing w:after="0"/>
        <w:rPr>
          <w:sz w:val="20"/>
          <w:szCs w:val="20"/>
          <w:color w:val="auto"/>
        </w:rPr>
      </w:pPr>
      <w:r>
        <w:rPr>
          <w:rFonts w:ascii="Arial" w:cs="Arial" w:eastAsia="Arial" w:hAnsi="Arial"/>
          <w:sz w:val="22"/>
          <w:szCs w:val="22"/>
          <w:color w:val="auto"/>
        </w:rPr>
        <w:t>Title: Chief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SUNTRUST BANK, as Administrative Agent,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Swingline Lender, Issuing Bank and a Lender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Robert S. Ashcom</w:t>
      </w:r>
    </w:p>
    <w:p>
      <w:pPr>
        <w:spacing w:after="0" w:line="238" w:lineRule="auto"/>
        <w:rPr>
          <w:sz w:val="20"/>
          <w:szCs w:val="20"/>
          <w:color w:val="auto"/>
        </w:rPr>
      </w:pPr>
      <w:r>
        <w:rPr>
          <w:rFonts w:ascii="Arial" w:cs="Arial" w:eastAsia="Arial" w:hAnsi="Arial"/>
          <w:sz w:val="22"/>
          <w:szCs w:val="22"/>
          <w:color w:val="auto"/>
        </w:rPr>
        <w:t>Name: Robert S. Ashcom</w:t>
      </w:r>
    </w:p>
    <w:p>
      <w:pPr>
        <w:spacing w:after="0"/>
        <w:rPr>
          <w:sz w:val="20"/>
          <w:szCs w:val="20"/>
          <w:color w:val="auto"/>
        </w:rPr>
      </w:pPr>
      <w:r>
        <w:rPr>
          <w:rFonts w:ascii="Arial" w:cs="Arial" w:eastAsia="Arial" w:hAnsi="Arial"/>
          <w:sz w:val="22"/>
          <w:szCs w:val="22"/>
          <w:color w:val="auto"/>
        </w:rPr>
        <w:t>Title: Director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BMO CAPITAL MARKETS FINANCING, INC., as a Lender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Gary Herron</w:t>
      </w:r>
    </w:p>
    <w:p>
      <w:pPr>
        <w:spacing w:after="0" w:line="238" w:lineRule="auto"/>
        <w:rPr>
          <w:sz w:val="20"/>
          <w:szCs w:val="20"/>
          <w:color w:val="auto"/>
        </w:rPr>
      </w:pPr>
      <w:r>
        <w:rPr>
          <w:rFonts w:ascii="Arial" w:cs="Arial" w:eastAsia="Arial" w:hAnsi="Arial"/>
          <w:sz w:val="22"/>
          <w:szCs w:val="22"/>
          <w:color w:val="auto"/>
        </w:rPr>
        <w:t>Name: Gary Herron</w:t>
      </w:r>
    </w:p>
    <w:p>
      <w:pPr>
        <w:spacing w:after="0"/>
        <w:rPr>
          <w:sz w:val="20"/>
          <w:szCs w:val="20"/>
          <w:color w:val="auto"/>
        </w:rPr>
      </w:pPr>
      <w:r>
        <w:rPr>
          <w:rFonts w:ascii="Arial" w:cs="Arial" w:eastAsia="Arial" w:hAnsi="Arial"/>
          <w:sz w:val="22"/>
          <w:szCs w:val="22"/>
          <w:color w:val="auto"/>
        </w:rPr>
        <w:t>Title: Vice President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KBC BANK N.V., as a Lender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Wei-Chun Wang</w:t>
      </w:r>
    </w:p>
    <w:p>
      <w:pPr>
        <w:spacing w:after="0" w:line="238" w:lineRule="auto"/>
        <w:rPr>
          <w:sz w:val="20"/>
          <w:szCs w:val="20"/>
          <w:color w:val="auto"/>
        </w:rPr>
      </w:pPr>
      <w:r>
        <w:rPr>
          <w:rFonts w:ascii="Arial" w:cs="Arial" w:eastAsia="Arial" w:hAnsi="Arial"/>
          <w:sz w:val="22"/>
          <w:szCs w:val="22"/>
          <w:color w:val="auto"/>
        </w:rPr>
        <w:t>Name: Wei-Chun Wang</w:t>
      </w:r>
    </w:p>
    <w:p>
      <w:pPr>
        <w:spacing w:after="0"/>
        <w:rPr>
          <w:sz w:val="20"/>
          <w:szCs w:val="20"/>
          <w:color w:val="auto"/>
        </w:rPr>
      </w:pPr>
      <w:r>
        <w:rPr>
          <w:rFonts w:ascii="Arial" w:cs="Arial" w:eastAsia="Arial" w:hAnsi="Arial"/>
          <w:sz w:val="22"/>
          <w:szCs w:val="22"/>
          <w:color w:val="auto"/>
        </w:rPr>
        <w:t>Title: Assistant Vice President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Snauffer</w:t>
      </w:r>
    </w:p>
    <w:p>
      <w:pPr>
        <w:spacing w:after="0" w:line="238" w:lineRule="auto"/>
        <w:rPr>
          <w:sz w:val="20"/>
          <w:szCs w:val="20"/>
          <w:color w:val="auto"/>
        </w:rPr>
      </w:pPr>
      <w:r>
        <w:rPr>
          <w:rFonts w:ascii="Arial" w:cs="Arial" w:eastAsia="Arial" w:hAnsi="Arial"/>
          <w:sz w:val="22"/>
          <w:szCs w:val="22"/>
          <w:color w:val="auto"/>
        </w:rPr>
        <w:t>Name: Robert Snauffer</w:t>
      </w:r>
    </w:p>
    <w:p>
      <w:pPr>
        <w:spacing w:after="0"/>
        <w:rPr>
          <w:sz w:val="20"/>
          <w:szCs w:val="20"/>
          <w:color w:val="auto"/>
        </w:rPr>
      </w:pPr>
      <w:r>
        <w:rPr>
          <w:rFonts w:ascii="Arial" w:cs="Arial" w:eastAsia="Arial" w:hAnsi="Arial"/>
          <w:sz w:val="22"/>
          <w:szCs w:val="22"/>
          <w:color w:val="auto"/>
        </w:rPr>
        <w:t>Title: First Vice President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AMERICA, N.A., as a Lender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Elizabeth Kurilecz</w:t>
      </w:r>
    </w:p>
    <w:p>
      <w:pPr>
        <w:spacing w:after="0" w:line="238" w:lineRule="auto"/>
        <w:rPr>
          <w:sz w:val="20"/>
          <w:szCs w:val="20"/>
          <w:color w:val="auto"/>
        </w:rPr>
      </w:pPr>
      <w:r>
        <w:rPr>
          <w:rFonts w:ascii="Arial" w:cs="Arial" w:eastAsia="Arial" w:hAnsi="Arial"/>
          <w:sz w:val="22"/>
          <w:szCs w:val="22"/>
          <w:color w:val="auto"/>
        </w:rPr>
        <w:t>Name: Elizabeth Kurilecz</w:t>
      </w:r>
    </w:p>
    <w:p>
      <w:pPr>
        <w:spacing w:after="0"/>
        <w:rPr>
          <w:sz w:val="20"/>
          <w:szCs w:val="20"/>
          <w:color w:val="auto"/>
        </w:rPr>
      </w:pPr>
      <w:r>
        <w:rPr>
          <w:rFonts w:ascii="Arial" w:cs="Arial" w:eastAsia="Arial" w:hAnsi="Arial"/>
          <w:sz w:val="22"/>
          <w:szCs w:val="22"/>
          <w:color w:val="auto"/>
        </w:rPr>
        <w:t>Title: Senior Vice President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HAPOALIM B.M, as a Lender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Marc Bosc</w:t>
      </w:r>
    </w:p>
    <w:p>
      <w:pPr>
        <w:spacing w:after="0" w:line="238" w:lineRule="auto"/>
        <w:rPr>
          <w:sz w:val="20"/>
          <w:szCs w:val="20"/>
          <w:color w:val="auto"/>
        </w:rPr>
      </w:pPr>
      <w:r>
        <w:rPr>
          <w:rFonts w:ascii="Arial" w:cs="Arial" w:eastAsia="Arial" w:hAnsi="Arial"/>
          <w:sz w:val="22"/>
          <w:szCs w:val="22"/>
          <w:color w:val="auto"/>
        </w:rPr>
        <w:t>Name: Marc Bosc</w:t>
      </w:r>
    </w:p>
    <w:p>
      <w:pPr>
        <w:spacing w:after="0"/>
        <w:rPr>
          <w:sz w:val="20"/>
          <w:szCs w:val="20"/>
          <w:color w:val="auto"/>
        </w:rPr>
      </w:pPr>
      <w:r>
        <w:rPr>
          <w:rFonts w:ascii="Arial" w:cs="Arial" w:eastAsia="Arial" w:hAnsi="Arial"/>
          <w:sz w:val="22"/>
          <w:szCs w:val="22"/>
          <w:color w:val="auto"/>
        </w:rPr>
        <w:t>Title: Vice President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Lenroy Hackett</w:t>
      </w:r>
    </w:p>
    <w:p>
      <w:pPr>
        <w:spacing w:after="0" w:line="238" w:lineRule="auto"/>
        <w:rPr>
          <w:sz w:val="20"/>
          <w:szCs w:val="20"/>
          <w:color w:val="auto"/>
        </w:rPr>
      </w:pPr>
      <w:r>
        <w:rPr>
          <w:rFonts w:ascii="Arial" w:cs="Arial" w:eastAsia="Arial" w:hAnsi="Arial"/>
          <w:sz w:val="22"/>
          <w:szCs w:val="22"/>
          <w:color w:val="auto"/>
        </w:rPr>
        <w:t>Name: Lenroy Hackett</w:t>
      </w:r>
    </w:p>
    <w:p>
      <w:pPr>
        <w:spacing w:after="0"/>
        <w:rPr>
          <w:sz w:val="20"/>
          <w:szCs w:val="20"/>
          <w:color w:val="auto"/>
        </w:rPr>
      </w:pPr>
      <w:r>
        <w:rPr>
          <w:rFonts w:ascii="Arial" w:cs="Arial" w:eastAsia="Arial" w:hAnsi="Arial"/>
          <w:sz w:val="22"/>
          <w:szCs w:val="22"/>
          <w:color w:val="auto"/>
        </w:rPr>
        <w:t>Title: First Vice President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BEAR STEARNS CORPORATE LENDING INC., as a Lender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Sterling</w:t>
      </w:r>
    </w:p>
    <w:p>
      <w:pPr>
        <w:spacing w:after="0" w:line="238" w:lineRule="auto"/>
        <w:rPr>
          <w:sz w:val="20"/>
          <w:szCs w:val="20"/>
          <w:color w:val="auto"/>
        </w:rPr>
      </w:pPr>
      <w:r>
        <w:rPr>
          <w:rFonts w:ascii="Arial" w:cs="Arial" w:eastAsia="Arial" w:hAnsi="Arial"/>
          <w:sz w:val="22"/>
          <w:szCs w:val="22"/>
          <w:color w:val="auto"/>
        </w:rPr>
        <w:t>Name: Steven Sterling</w:t>
      </w:r>
    </w:p>
    <w:p>
      <w:pPr>
        <w:spacing w:after="0"/>
        <w:rPr>
          <w:sz w:val="20"/>
          <w:szCs w:val="20"/>
          <w:color w:val="auto"/>
        </w:rPr>
      </w:pPr>
      <w:r>
        <w:rPr>
          <w:rFonts w:ascii="Arial" w:cs="Arial" w:eastAsia="Arial" w:hAnsi="Arial"/>
          <w:sz w:val="22"/>
          <w:szCs w:val="22"/>
          <w:color w:val="auto"/>
        </w:rPr>
        <w:t>Title: Vice President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UBS LOAN FINANCE LLC, as a Lender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B. Julie</w:t>
      </w:r>
    </w:p>
    <w:p>
      <w:pPr>
        <w:spacing w:after="0" w:line="238" w:lineRule="auto"/>
        <w:rPr>
          <w:sz w:val="20"/>
          <w:szCs w:val="20"/>
          <w:color w:val="auto"/>
        </w:rPr>
      </w:pPr>
      <w:r>
        <w:rPr>
          <w:rFonts w:ascii="Arial" w:cs="Arial" w:eastAsia="Arial" w:hAnsi="Arial"/>
          <w:sz w:val="22"/>
          <w:szCs w:val="22"/>
          <w:color w:val="auto"/>
        </w:rPr>
        <w:t>Name: David B. Julie</w:t>
      </w:r>
    </w:p>
    <w:p>
      <w:pPr>
        <w:spacing w:after="0"/>
        <w:rPr>
          <w:sz w:val="20"/>
          <w:szCs w:val="20"/>
          <w:color w:val="auto"/>
        </w:rPr>
      </w:pPr>
      <w:r>
        <w:rPr>
          <w:rFonts w:ascii="Arial" w:cs="Arial" w:eastAsia="Arial" w:hAnsi="Arial"/>
          <w:sz w:val="22"/>
          <w:szCs w:val="22"/>
          <w:color w:val="auto"/>
        </w:rPr>
        <w:t>Title: Associate Director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Irja R. Otsa</w:t>
      </w:r>
    </w:p>
    <w:p>
      <w:pPr>
        <w:spacing w:after="0" w:line="238" w:lineRule="auto"/>
        <w:rPr>
          <w:sz w:val="20"/>
          <w:szCs w:val="20"/>
          <w:color w:val="auto"/>
        </w:rPr>
      </w:pPr>
      <w:r>
        <w:rPr>
          <w:rFonts w:ascii="Arial" w:cs="Arial" w:eastAsia="Arial" w:hAnsi="Arial"/>
          <w:sz w:val="22"/>
          <w:szCs w:val="22"/>
          <w:color w:val="auto"/>
        </w:rPr>
        <w:t>Name: Irja R. Otsa</w:t>
      </w:r>
    </w:p>
    <w:p>
      <w:pPr>
        <w:spacing w:after="0"/>
        <w:rPr>
          <w:sz w:val="20"/>
          <w:szCs w:val="20"/>
          <w:color w:val="auto"/>
        </w:rPr>
      </w:pPr>
      <w:r>
        <w:rPr>
          <w:rFonts w:ascii="Arial" w:cs="Arial" w:eastAsia="Arial" w:hAnsi="Arial"/>
          <w:sz w:val="22"/>
          <w:szCs w:val="22"/>
          <w:color w:val="auto"/>
        </w:rPr>
        <w:t>Title: Associate Director</w:t>
      </w:r>
    </w:p>
    <w:sectPr>
      <w:pgSz w:w="11900" w:h="16838" w:orient="portrait"/>
      <w:cols w:equalWidth="0" w:num="1">
        <w:col w:w="10740"/>
      </w:cols>
      <w:pgMar w:left="320" w:top="118" w:right="839" w:bottom="81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
      <w:numFmt w:val="bullet"/>
      <w:start w:val="1"/>
    </w:lvl>
  </w:abstractNum>
  <w:abstractNum w:abstractNumId="3">
    <w:nsid w:val="A0382C5"/>
    <w:multiLevelType w:val="hybridMultilevel"/>
    <w:lvl w:ilvl="0">
      <w:lvlJc w:val="left"/>
      <w:lvlText w:val="["/>
      <w:numFmt w:val="bullet"/>
      <w:start w:val="1"/>
    </w:lvl>
  </w:abstractNum>
  <w:abstractNum w:abstractNumId="4">
    <w:nsid w:val="8F2B15E"/>
    <w:multiLevelType w:val="hybridMultilevel"/>
    <w:lvl w:ilvl="0">
      <w:lvlJc w:val="left"/>
      <w:lvlText w:val="(%1)"/>
      <w:numFmt w:val="upperLetter"/>
      <w:start w:val="1"/>
    </w:lvl>
  </w:abstractNum>
  <w:abstractNum w:abstractNumId="5">
    <w:nsid w:val="1A32234B"/>
    <w:multiLevelType w:val="hybridMultilevel"/>
    <w:lvl w:ilvl="0">
      <w:lvlJc w:val="left"/>
      <w:lvlText w:val="(%1)"/>
      <w:numFmt w:val="lowerLetter"/>
      <w:start w:val="2"/>
    </w:lvl>
  </w:abstractNum>
  <w:abstractNum w:abstractNumId="6">
    <w:nsid w:val="3B0FD379"/>
    <w:multiLevelType w:val="hybridMultilevel"/>
    <w:lvl w:ilvl="0">
      <w:lvlJc w:val="left"/>
      <w:lvlText w:val="(%1)"/>
      <w:numFmt w:val="lowerLetter"/>
      <w:start w:val="1"/>
    </w:lvl>
  </w:abstractNum>
  <w:abstractNum w:abstractNumId="7">
    <w:nsid w:val="68EB2F63"/>
    <w:multiLevelType w:val="hybridMultilevel"/>
    <w:lvl w:ilvl="0">
      <w:lvlJc w:val="left"/>
      <w:lvlText w:val="(%1)"/>
      <w:numFmt w:val="lowerLetter"/>
      <w:start w:val="1"/>
    </w:lvl>
  </w:abstractNum>
  <w:abstractNum w:abstractNumId="8">
    <w:nsid w:val="4962813B"/>
    <w:multiLevelType w:val="hybridMultilevel"/>
    <w:lvl w:ilvl="0">
      <w:lvlJc w:val="left"/>
      <w:lvlText w:val="(%1)"/>
      <w:numFmt w:val="lowerLetter"/>
      <w:start w:val="4"/>
    </w:lvl>
  </w:abstractNum>
  <w:abstractNum w:abstractNumId="9">
    <w:nsid w:val="60B6DF70"/>
    <w:multiLevelType w:val="hybridMultilevel"/>
    <w:lvl w:ilvl="0">
      <w:lvlJc w:val="left"/>
      <w:lvlText w:val="(%1)"/>
      <w:numFmt w:val="lowerRoman"/>
      <w:start w:val="3"/>
    </w:lvl>
  </w:abstractNum>
  <w:abstractNum w:abstractNumId="10">
    <w:nsid w:val="6A5EE64"/>
    <w:multiLevelType w:val="hybridMultilevel"/>
    <w:lvl w:ilvl="0">
      <w:lvlJc w:val="left"/>
      <w:lvlText w:val="(%1)"/>
      <w:numFmt w:val="lowerLetter"/>
      <w:start w:val="3"/>
    </w:lvl>
  </w:abstractNum>
  <w:abstractNum w:abstractNumId="11">
    <w:nsid w:val="14330624"/>
    <w:multiLevelType w:val="hybridMultilevel"/>
    <w:lvl w:ilvl="0">
      <w:lvlJc w:val="left"/>
      <w:lvlText w:val="(%1)"/>
      <w:numFmt w:val="lowerLetter"/>
      <w:start w:val="1"/>
    </w:lvl>
  </w:abstractNum>
  <w:abstractNum w:abstractNumId="12">
    <w:nsid w:val="7FFFCA11"/>
    <w:multiLevelType w:val="hybridMultilevel"/>
    <w:lvl w:ilvl="0">
      <w:lvlJc w:val="left"/>
      <w:lvlText w:val="(%1)"/>
      <w:numFmt w:val="lowerLetter"/>
      <w:start w:val="2"/>
    </w:lvl>
  </w:abstractNum>
  <w:abstractNum w:abstractNumId="13">
    <w:nsid w:val="1A27709E"/>
    <w:multiLevelType w:val="hybridMultilevel"/>
    <w:lvl w:ilvl="0">
      <w:lvlJc w:val="left"/>
      <w:lvlText w:val="(%1)"/>
      <w:numFmt w:val="lowerRoman"/>
      <w:start w:val="2"/>
    </w:lvl>
  </w:abstractNum>
  <w:abstractNum w:abstractNumId="14">
    <w:nsid w:val="71EA1109"/>
    <w:multiLevelType w:val="hybridMultilevel"/>
    <w:lvl w:ilvl="0">
      <w:lvlJc w:val="left"/>
      <w:lvlText w:val="(%1)"/>
      <w:numFmt w:val="lowerLetter"/>
      <w:start w:val="1"/>
    </w:lvl>
  </w:abstractNum>
  <w:abstractNum w:abstractNumId="15">
    <w:nsid w:val="100F59DC"/>
    <w:multiLevelType w:val="hybridMultilevel"/>
    <w:lvl w:ilvl="0">
      <w:lvlJc w:val="left"/>
      <w:lvlText w:val="(%1)"/>
      <w:numFmt w:val="lowerLetter"/>
      <w:start w:val="2"/>
    </w:lvl>
  </w:abstractNum>
  <w:abstractNum w:abstractNumId="16">
    <w:nsid w:val="7FB7E0AA"/>
    <w:multiLevelType w:val="hybridMultilevel"/>
    <w:lvl w:ilvl="0">
      <w:lvlJc w:val="left"/>
      <w:lvlText w:val="(%1)"/>
      <w:numFmt w:val="lowerLetter"/>
      <w:start w:val="1"/>
    </w:lvl>
  </w:abstractNum>
  <w:abstractNum w:abstractNumId="17">
    <w:nsid w:val="6EB5BD4"/>
    <w:multiLevelType w:val="hybridMultilevel"/>
    <w:lvl w:ilvl="0">
      <w:lvlJc w:val="left"/>
      <w:lvlText w:val="(%1)"/>
      <w:numFmt w:val="lowerLetter"/>
      <w:start w:val="61"/>
    </w:lvl>
  </w:abstractNum>
  <w:abstractNum w:abstractNumId="18">
    <w:nsid w:val="6F6DD9AC"/>
    <w:multiLevelType w:val="hybridMultilevel"/>
    <w:lvl w:ilvl="0">
      <w:lvlJc w:val="left"/>
      <w:lvlText w:val="(%1)"/>
      <w:numFmt w:val="lowerLetter"/>
      <w:start w:val="1"/>
    </w:lvl>
  </w:abstractNum>
  <w:abstractNum w:abstractNumId="19">
    <w:nsid w:val="94211F2"/>
    <w:multiLevelType w:val="hybridMultilevel"/>
    <w:lvl w:ilvl="0">
      <w:lvlJc w:val="left"/>
      <w:lvlText w:val="(%1)"/>
      <w:numFmt w:val="lowerLetter"/>
      <w:start w:val="4"/>
    </w:lvl>
  </w:abstractNum>
  <w:abstractNum w:abstractNumId="20">
    <w:nsid w:val="885E1B"/>
    <w:multiLevelType w:val="hybridMultilevel"/>
    <w:lvl w:ilvl="0">
      <w:lvlJc w:val="left"/>
      <w:lvlText w:val="(%1)"/>
      <w:numFmt w:val="lowerLetter"/>
      <w:start w:val="1"/>
    </w:lvl>
  </w:abstractNum>
  <w:abstractNum w:abstractNumId="21">
    <w:nsid w:val="76272110"/>
    <w:multiLevelType w:val="hybridMultilevel"/>
    <w:lvl w:ilvl="0">
      <w:lvlJc w:val="left"/>
      <w:lvlText w:val="(%1)"/>
      <w:numFmt w:val="lowerRoman"/>
      <w:start w:val="1"/>
    </w:lvl>
  </w:abstractNum>
  <w:abstractNum w:abstractNumId="22">
    <w:nsid w:val="4C04A8AF"/>
    <w:multiLevelType w:val="hybridMultilevel"/>
    <w:lvl w:ilvl="0">
      <w:lvlJc w:val="left"/>
      <w:lvlText w:val="(%1)"/>
      <w:numFmt w:val="lowerLetter"/>
      <w:start w:val="3"/>
    </w:lvl>
  </w:abstractNum>
  <w:abstractNum w:abstractNumId="23">
    <w:nsid w:val="1716703B"/>
    <w:multiLevelType w:val="hybridMultilevel"/>
    <w:lvl w:ilvl="0">
      <w:lvlJc w:val="left"/>
      <w:lvlText w:val="(%1)"/>
      <w:numFmt w:val="lowerLetter"/>
      <w:start w:val="1"/>
    </w:lvl>
  </w:abstractNum>
  <w:abstractNum w:abstractNumId="24">
    <w:nsid w:val="14E17E33"/>
    <w:multiLevelType w:val="hybridMultilevel"/>
    <w:lvl w:ilvl="0">
      <w:lvlJc w:val="left"/>
      <w:lvlText w:val="(%1)"/>
      <w:numFmt w:val="lowerLetter"/>
      <w:start w:val="4"/>
    </w:lvl>
  </w:abstractNum>
  <w:abstractNum w:abstractNumId="25">
    <w:nsid w:val="3222E7CD"/>
    <w:multiLevelType w:val="hybridMultilevel"/>
    <w:lvl w:ilvl="0">
      <w:lvlJc w:val="left"/>
      <w:lvlText w:val="(%1)"/>
      <w:numFmt w:val="lowerLetter"/>
      <w:start w:val="1"/>
    </w:lvl>
  </w:abstractNum>
  <w:abstractNum w:abstractNumId="26">
    <w:nsid w:val="74DE0EE3"/>
    <w:multiLevelType w:val="hybridMultilevel"/>
    <w:lvl w:ilvl="0">
      <w:lvlJc w:val="left"/>
      <w:lvlText w:val="(%1)"/>
      <w:numFmt w:val="lowerLetter"/>
      <w:start w:val="61"/>
    </w:lvl>
  </w:abstractNum>
  <w:abstractNum w:abstractNumId="27">
    <w:nsid w:val="68EBC550"/>
    <w:multiLevelType w:val="hybridMultilevel"/>
    <w:lvl w:ilvl="0">
      <w:lvlJc w:val="left"/>
      <w:lvlText w:val="(%1)"/>
      <w:numFmt w:val="lowerLetter"/>
      <w:start w:val="4"/>
    </w:lvl>
  </w:abstractNum>
  <w:abstractNum w:abstractNumId="28">
    <w:nsid w:val="2DF6D648"/>
    <w:multiLevelType w:val="hybridMultilevel"/>
    <w:lvl w:ilvl="0">
      <w:lvlJc w:val="left"/>
      <w:lvlText w:val="(%1)"/>
      <w:numFmt w:val="lowerLetter"/>
      <w:start w:val="5"/>
    </w:lvl>
  </w:abstractNum>
  <w:abstractNum w:abstractNumId="29">
    <w:nsid w:val="46B7D447"/>
    <w:multiLevelType w:val="hybridMultilevel"/>
    <w:lvl w:ilvl="0">
      <w:lvlJc w:val="left"/>
      <w:lvlText w:val="(%1)"/>
      <w:numFmt w:val="lowerLetter"/>
      <w:start w:val="6"/>
    </w:lvl>
  </w:abstractNum>
  <w:abstractNum w:abstractNumId="30">
    <w:nsid w:val="4A2AC315"/>
    <w:multiLevelType w:val="hybridMultilevel"/>
    <w:lvl w:ilvl="0">
      <w:lvlJc w:val="left"/>
      <w:lvlText w:val="(%1)"/>
      <w:numFmt w:val="lowerLetter"/>
      <w:start w:val="7"/>
    </w:lvl>
  </w:abstractNum>
  <w:abstractNum w:abstractNumId="31">
    <w:nsid w:val="39EE015C"/>
    <w:multiLevelType w:val="hybridMultilevel"/>
    <w:lvl w:ilvl="0">
      <w:lvlJc w:val="left"/>
      <w:lvlText w:val="(%1)"/>
      <w:numFmt w:val="lowerRoman"/>
      <w:start w:val="1"/>
    </w:lvl>
  </w:abstractNum>
  <w:abstractNum w:abstractNumId="32">
    <w:nsid w:val="57FC4FBB"/>
    <w:multiLevelType w:val="hybridMultilevel"/>
    <w:lvl w:ilvl="0">
      <w:lvlJc w:val="left"/>
      <w:lvlText w:val="(%1)"/>
      <w:numFmt w:val="lowerLetter"/>
      <w:start w:val="8"/>
    </w:lvl>
  </w:abstractNum>
  <w:abstractNum w:abstractNumId="33">
    <w:nsid w:val="CC1016F"/>
    <w:multiLevelType w:val="hybridMultilevel"/>
    <w:lvl w:ilvl="0">
      <w:lvlJc w:val="left"/>
      <w:lvlText w:val="(%1)"/>
      <w:numFmt w:val="lowerLetter"/>
      <w:start w:val="1"/>
    </w:lvl>
  </w:abstractNum>
  <w:abstractNum w:abstractNumId="34">
    <w:nsid w:val="43F18422"/>
    <w:multiLevelType w:val="hybridMultilevel"/>
    <w:lvl w:ilvl="0">
      <w:lvlJc w:val="left"/>
      <w:lvlText w:val="(%1)"/>
      <w:numFmt w:val="lowerLetter"/>
      <w:start w:val="1"/>
    </w:lvl>
  </w:abstractNum>
  <w:abstractNum w:abstractNumId="35">
    <w:nsid w:val="60EF0119"/>
    <w:multiLevelType w:val="hybridMultilevel"/>
    <w:lvl w:ilvl="0">
      <w:lvlJc w:val="left"/>
      <w:lvlText w:val="(%1)"/>
      <w:numFmt w:val="lowerLetter"/>
      <w:start w:val="9"/>
    </w:lvl>
  </w:abstractNum>
  <w:abstractNum w:abstractNumId="36">
    <w:nsid w:val="26F324BA"/>
    <w:multiLevelType w:val="hybridMultilevel"/>
    <w:lvl w:ilvl="0">
      <w:lvlJc w:val="left"/>
      <w:lvlText w:val="(%1)"/>
      <w:numFmt w:val="lowerLetter"/>
      <w:start w:val="2"/>
    </w:lvl>
  </w:abstractNum>
  <w:abstractNum w:abstractNumId="37">
    <w:nsid w:val="7F01579B"/>
    <w:multiLevelType w:val="hybridMultilevel"/>
    <w:lvl w:ilvl="0">
      <w:lvlJc w:val="left"/>
      <w:lvlText w:val="(%1)"/>
      <w:numFmt w:val="lowerRoman"/>
      <w:start w:val="1"/>
    </w:lvl>
  </w:abstractNum>
  <w:abstractNum w:abstractNumId="38">
    <w:nsid w:val="49DA307D"/>
    <w:multiLevelType w:val="hybridMultilevel"/>
    <w:lvl w:ilvl="0">
      <w:lvlJc w:val="left"/>
      <w:lvlText w:val="(%1)"/>
      <w:numFmt w:val="lowerLetter"/>
      <w:start w:val="4"/>
    </w:lvl>
  </w:abstractNum>
  <w:abstractNum w:abstractNumId="39">
    <w:nsid w:val="7055A5F5"/>
    <w:multiLevelType w:val="hybridMultilevel"/>
    <w:lvl w:ilvl="0">
      <w:lvlJc w:val="left"/>
      <w:lvlText w:val="(%1)"/>
      <w:numFmt w:val="lowerLetter"/>
      <w:start w:val="1"/>
    </w:lvl>
  </w:abstractNum>
  <w:abstractNum w:abstractNumId="40">
    <w:nsid w:val="5FB8370B"/>
    <w:multiLevelType w:val="hybridMultilevel"/>
    <w:lvl w:ilvl="0">
      <w:lvlJc w:val="left"/>
      <w:lvlText w:val="(%1)"/>
      <w:numFmt w:val="lowerLetter"/>
      <w:start w:val="3"/>
    </w:lvl>
  </w:abstractNum>
  <w:abstractNum w:abstractNumId="41">
    <w:nsid w:val="50801EE1"/>
    <w:multiLevelType w:val="hybridMultilevel"/>
    <w:lvl w:ilvl="0">
      <w:lvlJc w:val="left"/>
      <w:lvlText w:val="(%1)"/>
      <w:numFmt w:val="lowerRoman"/>
      <w:start w:val="1"/>
    </w:lvl>
  </w:abstractNum>
  <w:abstractNum w:abstractNumId="42">
    <w:nsid w:val="488AC1A"/>
    <w:multiLevelType w:val="hybridMultilevel"/>
    <w:lvl w:ilvl="0">
      <w:lvlJc w:val="left"/>
      <w:lvlText w:val="(%1)"/>
      <w:numFmt w:val="upperLetter"/>
      <w:start w:val="1"/>
    </w:lvl>
  </w:abstractNum>
  <w:abstractNum w:abstractNumId="43">
    <w:nsid w:val="5FB8011C"/>
    <w:multiLevelType w:val="hybridMultilevel"/>
    <w:lvl w:ilvl="0">
      <w:lvlJc w:val="left"/>
      <w:lvlText w:val="(%1)"/>
      <w:numFmt w:val="lowerRoman"/>
      <w:start w:val="2"/>
    </w:lvl>
  </w:abstractNum>
  <w:abstractNum w:abstractNumId="44">
    <w:nsid w:val="6AA78F7F"/>
    <w:multiLevelType w:val="hybridMultilevel"/>
    <w:lvl w:ilvl="0">
      <w:lvlJc w:val="left"/>
      <w:lvlText w:val="(%1)"/>
      <w:numFmt w:val="lowerLetter"/>
      <w:start w:val="24"/>
    </w:lvl>
  </w:abstractNum>
  <w:abstractNum w:abstractNumId="45">
    <w:nsid w:val="7672BD23"/>
    <w:multiLevelType w:val="hybridMultilevel"/>
    <w:lvl w:ilvl="0">
      <w:lvlJc w:val="left"/>
      <w:lvlText w:val="(%1)"/>
      <w:numFmt w:val="lowerLetter"/>
      <w:start w:val="9"/>
    </w:lvl>
  </w:abstractNum>
  <w:abstractNum w:abstractNumId="46">
    <w:nsid w:val="6FC75AF8"/>
    <w:multiLevelType w:val="hybridMultilevel"/>
    <w:lvl w:ilvl="0">
      <w:lvlJc w:val="left"/>
      <w:lvlText w:val="(%1)"/>
      <w:numFmt w:val="lowerLetter"/>
      <w:start w:val="25"/>
    </w:lvl>
  </w:abstractNum>
  <w:abstractNum w:abstractNumId="47">
    <w:nsid w:val="6A5F7029"/>
    <w:multiLevelType w:val="hybridMultilevel"/>
    <w:lvl w:ilvl="0">
      <w:lvlJc w:val="left"/>
      <w:lvlText w:val="(%1)"/>
      <w:numFmt w:val="lowerLetter"/>
      <w:start w:val="61"/>
    </w:lvl>
  </w:abstractNum>
  <w:abstractNum w:abstractNumId="48">
    <w:nsid w:val="7D5E18F8"/>
    <w:multiLevelType w:val="hybridMultilevel"/>
    <w:lvl w:ilvl="0">
      <w:lvlJc w:val="left"/>
      <w:lvlText w:val="(%1)"/>
      <w:numFmt w:val="lowerLetter"/>
      <w:start w:val="26"/>
    </w:lvl>
  </w:abstractNum>
  <w:abstractNum w:abstractNumId="49">
    <w:nsid w:val="5F3534A4"/>
    <w:multiLevelType w:val="hybridMultilevel"/>
    <w:lvl w:ilvl="0">
      <w:lvlJc w:val="left"/>
      <w:lvlText w:val="(%1)"/>
      <w:numFmt w:val="lowerRoman"/>
      <w:start w:val="4"/>
    </w:lvl>
  </w:abstractNum>
  <w:abstractNum w:abstractNumId="50">
    <w:nsid w:val="73A1821B"/>
    <w:multiLevelType w:val="hybridMultilevel"/>
    <w:lvl w:ilvl="0">
      <w:lvlJc w:val="left"/>
      <w:lvlText w:val="(%1)"/>
      <w:numFmt w:val="lowerRoman"/>
      <w:start w:val="1"/>
    </w:lvl>
  </w:abstractNum>
  <w:abstractNum w:abstractNumId="51">
    <w:nsid w:val="7DE67713"/>
    <w:multiLevelType w:val="hybridMultilevel"/>
    <w:lvl w:ilvl="0">
      <w:lvlJc w:val="left"/>
      <w:lvlText w:val="(%1)"/>
      <w:numFmt w:val="lowerLetter"/>
      <w:start w:val="2"/>
    </w:lvl>
  </w:abstractNum>
  <w:abstractNum w:abstractNumId="52">
    <w:nsid w:val="555C55B5"/>
    <w:multiLevelType w:val="hybridMultilevel"/>
    <w:lvl w:ilvl="0">
      <w:lvlJc w:val="left"/>
      <w:lvlText w:val="(%1)"/>
      <w:numFmt w:val="lowerLetter"/>
      <w:start w:val="35"/>
    </w:lvl>
  </w:abstractNum>
  <w:abstractNum w:abstractNumId="53">
    <w:nsid w:val="3FA62ACA"/>
    <w:multiLevelType w:val="hybridMultilevel"/>
    <w:lvl w:ilvl="0">
      <w:lvlJc w:val="left"/>
      <w:lvlText w:val="(%1)"/>
      <w:numFmt w:val="lowerLetter"/>
      <w:start w:val="5"/>
    </w:lvl>
  </w:abstractNum>
  <w:abstractNum w:abstractNumId="54">
    <w:nsid w:val="14FCE74E"/>
    <w:multiLevelType w:val="hybridMultilevel"/>
    <w:lvl w:ilvl="0">
      <w:lvlJc w:val="left"/>
      <w:lvlText w:val="(%1)"/>
      <w:numFmt w:val="lowerLetter"/>
      <w:start w:val="1"/>
    </w:lvl>
  </w:abstractNum>
  <w:abstractNum w:abstractNumId="55">
    <w:nsid w:val="6A3DD3E8"/>
    <w:multiLevelType w:val="hybridMultilevel"/>
    <w:lvl w:ilvl="0">
      <w:lvlJc w:val="left"/>
      <w:lvlText w:val="(%1)"/>
      <w:numFmt w:val="lowerRoman"/>
      <w:start w:val="1"/>
    </w:lvl>
  </w:abstractNum>
  <w:abstractNum w:abstractNumId="56">
    <w:nsid w:val="71C91298"/>
    <w:multiLevelType w:val="hybridMultilevel"/>
    <w:lvl w:ilvl="0">
      <w:lvlJc w:val="left"/>
      <w:lvlText w:val="(%1)"/>
      <w:numFmt w:val="lowerRoman"/>
      <w:start w:val="2"/>
    </w:lvl>
  </w:abstractNum>
  <w:abstractNum w:abstractNumId="57">
    <w:nsid w:val="9DAF632"/>
    <w:multiLevelType w:val="hybridMultilevel"/>
    <w:lvl w:ilvl="0">
      <w:lvlJc w:val="left"/>
      <w:lvlText w:val="(%1)"/>
      <w:numFmt w:val="lowerLetter"/>
      <w:start w:val="3"/>
    </w:lvl>
  </w:abstractNum>
  <w:abstractNum w:abstractNumId="58">
    <w:nsid w:val="53299938"/>
    <w:multiLevelType w:val="hybridMultilevel"/>
    <w:lvl w:ilvl="0">
      <w:lvlJc w:val="left"/>
      <w:lvlText w:val="(%1)"/>
      <w:numFmt w:val="lowerLetter"/>
      <w:start w:val="1"/>
    </w:lvl>
  </w:abstractNum>
  <w:abstractNum w:abstractNumId="59">
    <w:nsid w:val="1FBFE8E0"/>
    <w:multiLevelType w:val="hybridMultilevel"/>
    <w:lvl w:ilvl="0">
      <w:lvlJc w:val="left"/>
      <w:lvlText w:val="(%1)"/>
      <w:numFmt w:val="lowerLetter"/>
      <w:start w:val="2"/>
    </w:lvl>
  </w:abstractNum>
  <w:abstractNum w:abstractNumId="60">
    <w:nsid w:val="5092CA79"/>
    <w:multiLevelType w:val="hybridMultilevel"/>
    <w:lvl w:ilvl="0">
      <w:lvlJc w:val="left"/>
      <w:lvlText w:val="(%1)"/>
      <w:numFmt w:val="lowerLetter"/>
      <w:start w:val="1"/>
    </w:lvl>
  </w:abstractNum>
  <w:abstractNum w:abstractNumId="61">
    <w:nsid w:val="1D545C4D"/>
    <w:multiLevelType w:val="hybridMultilevel"/>
    <w:lvl w:ilvl="0">
      <w:lvlJc w:val="left"/>
      <w:lvlText w:val="(%1)"/>
      <w:numFmt w:val="lowerLetter"/>
      <w:start w:val="1"/>
    </w:lvl>
  </w:abstractNum>
  <w:abstractNum w:abstractNumId="62">
    <w:nsid w:val="59ADEA3D"/>
    <w:multiLevelType w:val="hybridMultilevel"/>
    <w:lvl w:ilvl="0">
      <w:lvlJc w:val="left"/>
      <w:lvlText w:val="(%1)"/>
      <w:numFmt w:val="lowerLetter"/>
      <w:start w:val="1"/>
    </w:lvl>
  </w:abstractNum>
  <w:abstractNum w:abstractNumId="63">
    <w:nsid w:val="288F1A34"/>
    <w:multiLevelType w:val="hybridMultilevel"/>
    <w:lvl w:ilvl="0">
      <w:lvlJc w:val="left"/>
      <w:lvlText w:val="(%1)"/>
      <w:numFmt w:val="lowerRoman"/>
      <w:start w:val="1"/>
    </w:lvl>
  </w:abstractNum>
  <w:abstractNum w:abstractNumId="64">
    <w:nsid w:val="2A155DBC"/>
    <w:multiLevelType w:val="hybridMultilevel"/>
    <w:lvl w:ilvl="0">
      <w:lvlJc w:val="left"/>
      <w:lvlText w:val="(%1)"/>
      <w:numFmt w:val="lowerLetter"/>
      <w:start w:val="2"/>
    </w:lvl>
  </w:abstractNum>
  <w:abstractNum w:abstractNumId="65">
    <w:nsid w:val="1D9F6E5F"/>
    <w:multiLevelType w:val="hybridMultilevel"/>
    <w:lvl w:ilvl="0">
      <w:lvlJc w:val="left"/>
      <w:lvlText w:val="(%1)"/>
      <w:numFmt w:val="lowerLetter"/>
      <w:start w:val="1"/>
    </w:lvl>
  </w:abstractNum>
  <w:abstractNum w:abstractNumId="66">
    <w:nsid w:val="97E1B4E"/>
    <w:multiLevelType w:val="hybridMultilevel"/>
    <w:lvl w:ilvl="0">
      <w:lvlJc w:val="left"/>
      <w:lvlText w:val="(%1)"/>
      <w:numFmt w:val="lowerLetter"/>
      <w:start w:val="4"/>
    </w:lvl>
  </w:abstractNum>
  <w:abstractNum w:abstractNumId="67">
    <w:nsid w:val="51088277"/>
    <w:multiLevelType w:val="hybridMultilevel"/>
    <w:lvl w:ilvl="0">
      <w:lvlJc w:val="left"/>
      <w:lvlText w:val="(%1)"/>
      <w:numFmt w:val="lowerRoman"/>
      <w:start w:val="1"/>
    </w:lvl>
  </w:abstractNum>
  <w:abstractNum w:abstractNumId="68">
    <w:nsid w:val="1CA0C5FA"/>
    <w:multiLevelType w:val="hybridMultilevel"/>
    <w:lvl w:ilvl="0">
      <w:lvlJc w:val="left"/>
      <w:lvlText w:val="(%1)"/>
      <w:numFmt w:val="lowerRoman"/>
      <w:start w:val="2"/>
    </w:lvl>
  </w:abstractNum>
  <w:abstractNum w:abstractNumId="69">
    <w:nsid w:val="53584BCB"/>
    <w:multiLevelType w:val="hybridMultilevel"/>
    <w:lvl w:ilvl="0">
      <w:lvlJc w:val="left"/>
      <w:lvlText w:val="(%1)"/>
      <w:numFmt w:val="lowerLetter"/>
      <w:start w:val="1"/>
    </w:lvl>
  </w:abstractNum>
  <w:abstractNum w:abstractNumId="70">
    <w:nsid w:val="415E286C"/>
    <w:multiLevelType w:val="hybridMultilevel"/>
    <w:lvl w:ilvl="0">
      <w:lvlJc w:val="left"/>
      <w:lvlText w:val="(%1)"/>
      <w:numFmt w:val="lowerLetter"/>
      <w:start w:val="61"/>
    </w:lvl>
  </w:abstractNum>
  <w:abstractNum w:abstractNumId="71">
    <w:nsid w:val="7C58FD05"/>
    <w:multiLevelType w:val="hybridMultilevel"/>
    <w:lvl w:ilvl="0">
      <w:lvlJc w:val="left"/>
      <w:lvlText w:val="(%1)"/>
      <w:numFmt w:val="lowerLetter"/>
      <w:start w:val="2"/>
    </w:lvl>
  </w:abstractNum>
  <w:abstractNum w:abstractNumId="72">
    <w:nsid w:val="23D86AAC"/>
    <w:multiLevelType w:val="hybridMultilevel"/>
    <w:lvl w:ilvl="0">
      <w:lvlJc w:val="left"/>
      <w:lvlText w:val="(%1)"/>
      <w:numFmt w:val="lowerRoman"/>
      <w:start w:val="1"/>
    </w:lvl>
  </w:abstractNum>
  <w:abstractNum w:abstractNumId="73">
    <w:nsid w:val="45E6D486"/>
    <w:multiLevelType w:val="hybridMultilevel"/>
    <w:lvl w:ilvl="0">
      <w:lvlJc w:val="left"/>
      <w:lvlText w:val="(%1)"/>
      <w:numFmt w:val="lowerLetter"/>
      <w:start w:val="6"/>
    </w:lvl>
  </w:abstractNum>
  <w:abstractNum w:abstractNumId="74">
    <w:nsid w:val="5C10FE21"/>
    <w:multiLevelType w:val="hybridMultilevel"/>
    <w:lvl w:ilvl="0">
      <w:lvlJc w:val="left"/>
      <w:lvlText w:val="(%1)"/>
      <w:numFmt w:val="lowerLetter"/>
      <w:start w:val="1"/>
    </w:lvl>
  </w:abstractNum>
  <w:abstractNum w:abstractNumId="75">
    <w:nsid w:val="E7FFA2B"/>
    <w:multiLevelType w:val="hybridMultilevel"/>
    <w:lvl w:ilvl="0">
      <w:lvlJc w:val="left"/>
      <w:lvlText w:val="(%1)"/>
      <w:numFmt w:val="lowerLetter"/>
      <w:start w:val="2"/>
    </w:lvl>
  </w:abstractNum>
  <w:abstractNum w:abstractNumId="76">
    <w:nsid w:val="3C5991AA"/>
    <w:multiLevelType w:val="hybridMultilevel"/>
    <w:lvl w:ilvl="0">
      <w:lvlJc w:val="left"/>
      <w:lvlText w:val="(%1)"/>
      <w:numFmt w:val="lowerLetter"/>
      <w:start w:val="4"/>
    </w:lvl>
  </w:abstractNum>
  <w:abstractNum w:abstractNumId="77">
    <w:nsid w:val="4BD8591A"/>
    <w:multiLevelType w:val="hybridMultilevel"/>
    <w:lvl w:ilvl="0">
      <w:lvlJc w:val="left"/>
      <w:lvlText w:val="(%1)"/>
      <w:numFmt w:val="lowerLetter"/>
      <w:start w:val="1"/>
    </w:lvl>
  </w:abstractNum>
  <w:abstractNum w:abstractNumId="78">
    <w:nsid w:val="78DF6A55"/>
    <w:multiLevelType w:val="hybridMultilevel"/>
    <w:lvl w:ilvl="0">
      <w:lvlJc w:val="left"/>
      <w:lvlText w:val="(%1)"/>
      <w:numFmt w:val="lowerLetter"/>
      <w:start w:val="9"/>
    </w:lvl>
  </w:abstractNum>
  <w:abstractNum w:abstractNumId="79">
    <w:nsid w:val="39B7AAA2"/>
    <w:multiLevelType w:val="hybridMultilevel"/>
    <w:lvl w:ilvl="0">
      <w:lvlJc w:val="left"/>
      <w:lvlText w:val="(%1)"/>
      <w:numFmt w:val="lowerLetter"/>
      <w:start w:val="1"/>
    </w:lvl>
  </w:abstractNum>
  <w:abstractNum w:abstractNumId="80">
    <w:nsid w:val="2B0D8DBE"/>
    <w:multiLevelType w:val="hybridMultilevel"/>
    <w:lvl w:ilvl="0">
      <w:lvlJc w:val="left"/>
      <w:lvlText w:val="(%1)"/>
      <w:numFmt w:val="lowerLetter"/>
      <w:start w:val="1"/>
    </w:lvl>
  </w:abstractNum>
  <w:abstractNum w:abstractNumId="81">
    <w:nsid w:val="6C80EC70"/>
    <w:multiLevelType w:val="hybridMultilevel"/>
    <w:lvl w:ilvl="0">
      <w:lvlJc w:val="left"/>
      <w:lvlText w:val="(%1)"/>
      <w:numFmt w:val="lowerLetter"/>
      <w:start w:val="35"/>
    </w:lvl>
  </w:abstractNum>
  <w:abstractNum w:abstractNumId="82">
    <w:nsid w:val="379E21B5"/>
    <w:multiLevelType w:val="hybridMultilevel"/>
    <w:lvl w:ilvl="0">
      <w:lvlJc w:val="left"/>
      <w:lvlText w:val="(%1)"/>
      <w:numFmt w:val="lowerLetter"/>
      <w:start w:val="4"/>
    </w:lvl>
  </w:abstractNum>
  <w:abstractNum w:abstractNumId="83">
    <w:nsid w:val="69E373"/>
    <w:multiLevelType w:val="hybridMultilevel"/>
    <w:lvl w:ilvl="0">
      <w:lvlJc w:val="left"/>
      <w:lvlText w:val="(%1)"/>
      <w:numFmt w:val="lowerLetter"/>
      <w:start w:val="1"/>
    </w:lvl>
  </w:abstractNum>
  <w:abstractNum w:abstractNumId="84">
    <w:nsid w:val="2C27173B"/>
    <w:multiLevelType w:val="hybridMultilevel"/>
    <w:lvl w:ilvl="0">
      <w:lvlJc w:val="left"/>
      <w:lvlText w:val="(%1)"/>
      <w:numFmt w:val="lowerLetter"/>
      <w:start w:val="1"/>
    </w:lvl>
  </w:abstractNum>
  <w:abstractNum w:abstractNumId="85">
    <w:nsid w:val="4C9B0904"/>
    <w:multiLevelType w:val="hybridMultilevel"/>
    <w:lvl w:ilvl="0">
      <w:lvlJc w:val="left"/>
      <w:lvlText w:val="(%1)"/>
      <w:numFmt w:val="lowerLetter"/>
      <w:start w:val="1"/>
    </w:lvl>
  </w:abstractNum>
  <w:abstractNum w:abstractNumId="86">
    <w:nsid w:val="6AA7B75C"/>
    <w:multiLevelType w:val="hybridMultilevel"/>
    <w:lvl w:ilvl="0">
      <w:lvlJc w:val="left"/>
      <w:lvlText w:val="(%1)"/>
      <w:numFmt w:val="lowerLetter"/>
      <w:start w:val="1"/>
    </w:lvl>
  </w:abstractNum>
  <w:abstractNum w:abstractNumId="87">
    <w:nsid w:val="1DF029D3"/>
    <w:multiLevelType w:val="hybridMultilevel"/>
    <w:lvl w:ilvl="0">
      <w:lvlJc w:val="left"/>
      <w:lvlText w:val="(%1)"/>
      <w:numFmt w:val="lowerRoman"/>
      <w:start w:val="1"/>
    </w:lvl>
  </w:abstractNum>
  <w:abstractNum w:abstractNumId="88">
    <w:nsid w:val="5675FF36"/>
    <w:multiLevelType w:val="hybridMultilevel"/>
    <w:lvl w:ilvl="0">
      <w:lvlJc w:val="left"/>
      <w:lvlText w:val="(%1)"/>
      <w:numFmt w:val="lowerRoman"/>
      <w:start w:val="2"/>
    </w:lvl>
  </w:abstractNum>
  <w:abstractNum w:abstractNumId="89">
    <w:nsid w:val="3DD15094"/>
    <w:multiLevelType w:val="hybridMultilevel"/>
    <w:lvl w:ilvl="0">
      <w:lvlJc w:val="left"/>
      <w:lvlText w:val="(%1)"/>
      <w:numFmt w:val="lowerLetter"/>
      <w:start w:val="2"/>
    </w:lvl>
  </w:abstractNum>
  <w:abstractNum w:abstractNumId="90">
    <w:nsid w:val="3DB012B3"/>
    <w:multiLevelType w:val="hybridMultilevel"/>
    <w:lvl w:ilvl="0">
      <w:lvlJc w:val="left"/>
      <w:lvlText w:val="(%1)"/>
      <w:numFmt w:val="lowerLetter"/>
      <w:start w:val="1"/>
    </w:lvl>
  </w:abstractNum>
  <w:abstractNum w:abstractNumId="91">
    <w:nsid w:val="2708C9AF"/>
    <w:multiLevelType w:val="hybridMultilevel"/>
    <w:lvl w:ilvl="0">
      <w:lvlJc w:val="left"/>
      <w:lvlText w:val="(%1)"/>
      <w:numFmt w:val="lowerLetter"/>
      <w:start w:val="1"/>
    </w:lvl>
  </w:abstractNum>
  <w:abstractNum w:abstractNumId="92">
    <w:nsid w:val="5B25ACE2"/>
    <w:multiLevelType w:val="hybridMultilevel"/>
    <w:lvl w:ilvl="0">
      <w:lvlJc w:val="left"/>
      <w:lvlText w:val="(%1)"/>
      <w:numFmt w:val="lowerLetter"/>
      <w:start w:val="2"/>
    </w:lvl>
  </w:abstractNum>
  <w:abstractNum w:abstractNumId="93">
    <w:nsid w:val="175DFCF0"/>
    <w:multiLevelType w:val="hybridMultilevel"/>
    <w:lvl w:ilvl="0">
      <w:lvlJc w:val="left"/>
      <w:lvlText w:val="(%1)"/>
      <w:numFmt w:val="lowerLetter"/>
      <w:start w:val="61"/>
    </w:lvl>
  </w:abstractNum>
  <w:abstractNum w:abstractNumId="94">
    <w:nsid w:val="4F97E3E4"/>
    <w:multiLevelType w:val="hybridMultilevel"/>
    <w:lvl w:ilvl="0">
      <w:lvlJc w:val="left"/>
      <w:lvlText w:val="(%1)"/>
      <w:numFmt w:val="lowerLetter"/>
      <w:start w:val="4"/>
    </w:lvl>
  </w:abstractNum>
  <w:abstractNum w:abstractNumId="95">
    <w:nsid w:val="53B0A9E"/>
    <w:multiLevelType w:val="hybridMultilevel"/>
    <w:lvl w:ilvl="0">
      <w:lvlJc w:val="left"/>
      <w:lvlText w:val="(%1)"/>
      <w:numFmt w:val="lowerLetter"/>
      <w:start w:val="1"/>
    </w:lvl>
  </w:abstractNum>
  <w:abstractNum w:abstractNumId="96">
    <w:nsid w:val="34FD6B4F"/>
    <w:multiLevelType w:val="hybridMultilevel"/>
    <w:lvl w:ilvl="0">
      <w:lvlJc w:val="left"/>
      <w:lvlText w:val="(%1)"/>
      <w:numFmt w:val="lowerLetter"/>
      <w:start w:val="1"/>
    </w:lvl>
  </w:abstractNum>
  <w:abstractNum w:abstractNumId="97">
    <w:nsid w:val="5915FF32"/>
    <w:multiLevelType w:val="hybridMultilevel"/>
    <w:lvl w:ilvl="0">
      <w:lvlJc w:val="left"/>
      <w:lvlText w:val="(%1)"/>
      <w:numFmt w:val="lowerLetter"/>
      <w:start w:val="1"/>
    </w:lvl>
  </w:abstractNum>
  <w:abstractNum w:abstractNumId="98">
    <w:nsid w:val="56438D15"/>
    <w:multiLevelType w:val="hybridMultilevel"/>
    <w:lvl w:ilvl="0">
      <w:lvlJc w:val="left"/>
      <w:lvlText w:val="(%1)"/>
      <w:numFmt w:val="lowerLetter"/>
      <w:start w:val="2"/>
    </w:lvl>
  </w:abstractNum>
  <w:abstractNum w:abstractNumId="99">
    <w:nsid w:val="519E3149"/>
    <w:multiLevelType w:val="hybridMultilevel"/>
    <w:lvl w:ilvl="0">
      <w:lvlJc w:val="left"/>
      <w:lvlText w:val="(%1)"/>
      <w:numFmt w:val="lowerLetter"/>
      <w:start w:val="1"/>
    </w:lvl>
  </w:abstractNum>
  <w:abstractNum w:abstractNumId="100">
    <w:nsid w:val="2C6E4AFD"/>
    <w:multiLevelType w:val="hybridMultilevel"/>
    <w:lvl w:ilvl="0">
      <w:lvlJc w:val="left"/>
      <w:lvlText w:val="(%1)"/>
      <w:numFmt w:val="lowerRoman"/>
      <w:start w:val="1"/>
    </w:lvl>
  </w:abstractNum>
  <w:abstractNum w:abstractNumId="101">
    <w:nsid w:val="17A1B582"/>
    <w:multiLevelType w:val="hybridMultilevel"/>
    <w:lvl w:ilvl="0">
      <w:lvlJc w:val="left"/>
      <w:lvlText w:val="(%1)"/>
      <w:numFmt w:val="upperLetter"/>
      <w:start w:val="1"/>
    </w:lvl>
  </w:abstractNum>
  <w:abstractNum w:abstractNumId="102">
    <w:nsid w:val="4DF72E4E"/>
    <w:multiLevelType w:val="hybridMultilevel"/>
    <w:lvl w:ilvl="0">
      <w:lvlJc w:val="left"/>
      <w:lvlText w:val="(%1)"/>
      <w:numFmt w:val="lowerLetter"/>
      <w:start w:val="23"/>
    </w:lvl>
  </w:abstractNum>
  <w:abstractNum w:abstractNumId="103">
    <w:nsid w:val="5046B5A9"/>
    <w:multiLevelType w:val="hybridMultilevel"/>
    <w:lvl w:ilvl="0">
      <w:lvlJc w:val="left"/>
      <w:lvlText w:val="(%1)"/>
      <w:numFmt w:val="lowerLetter"/>
      <w:start w:val="25"/>
    </w:lvl>
  </w:abstractNum>
  <w:abstractNum w:abstractNumId="104">
    <w:nsid w:val="5D888A08"/>
    <w:multiLevelType w:val="hybridMultilevel"/>
    <w:lvl w:ilvl="0">
      <w:lvlJc w:val="left"/>
      <w:lvlText w:val="(%1)"/>
      <w:numFmt w:val="upperLetter"/>
      <w:start w:val="2"/>
    </w:lvl>
  </w:abstractNum>
  <w:abstractNum w:abstractNumId="105">
    <w:nsid w:val="2A082C70"/>
    <w:multiLevelType w:val="hybridMultilevel"/>
    <w:lvl w:ilvl="0">
      <w:lvlJc w:val="left"/>
      <w:lvlText w:val="(%1)"/>
      <w:numFmt w:val="lowerLetter"/>
      <w:start w:val="24"/>
    </w:lvl>
  </w:abstractNum>
  <w:abstractNum w:abstractNumId="106">
    <w:nsid w:val="5EC6AFD4"/>
    <w:multiLevelType w:val="hybridMultilevel"/>
    <w:lvl w:ilvl="0">
      <w:lvlJc w:val="left"/>
      <w:lvlText w:val="(%1)"/>
      <w:numFmt w:val="upperLetter"/>
      <w:start w:val="3"/>
    </w:lvl>
  </w:abstractNum>
  <w:abstractNum w:abstractNumId="107">
    <w:nsid w:val="19E21BB2"/>
    <w:multiLevelType w:val="hybridMultilevel"/>
    <w:lvl w:ilvl="0">
      <w:lvlJc w:val="left"/>
      <w:lvlText w:val="(%1)"/>
      <w:numFmt w:val="lowerLetter"/>
      <w:start w:val="3"/>
    </w:lvl>
  </w:abstractNum>
  <w:abstractNum w:abstractNumId="108">
    <w:nsid w:val="75E0858A"/>
    <w:multiLevelType w:val="hybridMultilevel"/>
    <w:lvl w:ilvl="0">
      <w:lvlJc w:val="left"/>
      <w:lvlText w:val="(%1)"/>
      <w:numFmt w:val="lowerLetter"/>
      <w:start w:val="1"/>
    </w:lvl>
  </w:abstractNum>
  <w:abstractNum w:abstractNumId="109">
    <w:nsid w:val="57A61A29"/>
    <w:multiLevelType w:val="hybridMultilevel"/>
    <w:lvl w:ilvl="0">
      <w:lvlJc w:val="left"/>
      <w:lvlText w:val="(%1)"/>
      <w:numFmt w:val="lowerLetter"/>
      <w:start w:val="5"/>
    </w:lvl>
  </w:abstractNum>
  <w:abstractNum w:abstractNumId="110">
    <w:nsid w:val="5399C654"/>
    <w:multiLevelType w:val="hybridMultilevel"/>
    <w:lvl w:ilvl="0">
      <w:lvlJc w:val="left"/>
      <w:lvlText w:val="(%1)"/>
      <w:numFmt w:val="lowerLetter"/>
      <w:start w:val="1"/>
    </w:lvl>
  </w:abstractNum>
  <w:abstractNum w:abstractNumId="111">
    <w:nsid w:val="20EE1348"/>
    <w:multiLevelType w:val="hybridMultilevel"/>
    <w:lvl w:ilvl="0">
      <w:lvlJc w:val="left"/>
      <w:lvlText w:val="(%1)"/>
      <w:numFmt w:val="lowerLetter"/>
      <w:start w:val="3"/>
    </w:lvl>
  </w:abstractNum>
  <w:abstractNum w:abstractNumId="112">
    <w:nsid w:val="4427069A"/>
    <w:multiLevelType w:val="hybridMultilevel"/>
    <w:lvl w:ilvl="0">
      <w:lvlJc w:val="left"/>
      <w:lvlText w:val="(%1)"/>
      <w:numFmt w:val="lowerLetter"/>
      <w:start w:val="1"/>
    </w:lvl>
  </w:abstractNum>
  <w:abstractNum w:abstractNumId="113">
    <w:nsid w:val="B37E80A"/>
    <w:multiLevelType w:val="hybridMultilevel"/>
    <w:lvl w:ilvl="0">
      <w:lvlJc w:val="left"/>
      <w:lvlText w:val="(%1)"/>
      <w:numFmt w:val="lowerLetter"/>
      <w:start w:val="1"/>
    </w:lvl>
  </w:abstractNum>
  <w:abstractNum w:abstractNumId="114">
    <w:nsid w:val="2157F6BC"/>
    <w:multiLevelType w:val="hybridMultilevel"/>
    <w:lvl w:ilvl="0">
      <w:lvlJc w:val="left"/>
      <w:lvlText w:val="(%1)"/>
      <w:numFmt w:val="lowerLetter"/>
      <w:start w:val="5"/>
    </w:lvl>
  </w:abstractNum>
  <w:abstractNum w:abstractNumId="115">
    <w:nsid w:val="704E1DD5"/>
    <w:multiLevelType w:val="hybridMultilevel"/>
    <w:lvl w:ilvl="0">
      <w:lvlJc w:val="left"/>
      <w:lvlText w:val="(%1)"/>
      <w:numFmt w:val="lowerLetter"/>
      <w:start w:val="1"/>
    </w:lvl>
  </w:abstractNum>
  <w:abstractNum w:abstractNumId="116">
    <w:nsid w:val="57D2F10E"/>
    <w:multiLevelType w:val="hybridMultilevel"/>
    <w:lvl w:ilvl="0">
      <w:lvlJc w:val="left"/>
      <w:lvlText w:val="(%1)"/>
      <w:numFmt w:val="upperLetter"/>
      <w:start w:val="1"/>
    </w:lvl>
  </w:abstractNum>
  <w:abstractNum w:abstractNumId="117">
    <w:nsid w:val="BFFAE18"/>
    <w:multiLevelType w:val="hybridMultilevel"/>
    <w:lvl w:ilvl="0">
      <w:lvlJc w:val="left"/>
      <w:lvlText w:val="(%1)"/>
      <w:numFmt w:val="lowerLetter"/>
      <w:start w:val="1"/>
    </w:lvl>
  </w:abstractNum>
  <w:abstractNum w:abstractNumId="118">
    <w:nsid w:val="E3E47A8"/>
    <w:multiLevelType w:val="hybridMultilevel"/>
    <w:lvl w:ilvl="0">
      <w:lvlJc w:val="left"/>
      <w:lvlText w:val="(%1)"/>
      <w:numFmt w:val="lowerLetter"/>
      <w:start w:val="3"/>
    </w:lvl>
  </w:abstractNum>
  <w:abstractNum w:abstractNumId="119">
    <w:nsid w:val="2E48F044"/>
    <w:multiLevelType w:val="hybridMultilevel"/>
    <w:lvl w:ilvl="0">
      <w:lvlJc w:val="left"/>
      <w:lvlText w:val="(%1)"/>
      <w:numFmt w:val="lowerRoman"/>
      <w:start w:val="1"/>
    </w:lvl>
  </w:abstractNum>
  <w:abstractNum w:abstractNumId="120">
    <w:nsid w:val="49D0FEAC"/>
    <w:multiLevelType w:val="hybridMultilevel"/>
    <w:lvl w:ilvl="0">
      <w:lvlJc w:val="left"/>
      <w:lvlText w:val="(%1)"/>
      <w:numFmt w:val="lowerLetter"/>
      <w:start w:val="4"/>
    </w:lvl>
  </w:abstractNum>
  <w:abstractNum w:abstractNumId="121">
    <w:nsid w:val="4BEE5A5B"/>
    <w:multiLevelType w:val="hybridMultilevel"/>
    <w:lvl w:ilvl="0">
      <w:lvlJc w:val="left"/>
      <w:lvlText w:val="(%1)"/>
      <w:numFmt w:val="lowerLetter"/>
      <w:start w:val="35"/>
    </w:lvl>
  </w:abstractNum>
  <w:abstractNum w:abstractNumId="122">
    <w:nsid w:val="5551B9F3"/>
    <w:multiLevelType w:val="hybridMultilevel"/>
    <w:lvl w:ilvl="0">
      <w:lvlJc w:val="left"/>
      <w:lvlText w:val="(%1)"/>
      <w:numFmt w:val="upperLetter"/>
      <w:start w:val="2"/>
    </w:lvl>
  </w:abstractNum>
  <w:abstractNum w:abstractNumId="123">
    <w:nsid w:val="24F6AB8E"/>
    <w:multiLevelType w:val="hybridMultilevel"/>
    <w:lvl w:ilvl="0">
      <w:lvlJc w:val="left"/>
      <w:lvlText w:val="(%1)"/>
      <w:numFmt w:val="lowerLetter"/>
      <w:start w:val="1"/>
    </w:lvl>
  </w:abstractNum>
  <w:abstractNum w:abstractNumId="124">
    <w:nsid w:val="634C574C"/>
    <w:multiLevelType w:val="hybridMultilevel"/>
    <w:lvl w:ilvl="0">
      <w:lvlJc w:val="left"/>
      <w:lvlText w:val="(%1)"/>
      <w:numFmt w:val="lowerLetter"/>
      <w:start w:val="1"/>
    </w:lvl>
  </w:abstractNum>
  <w:abstractNum w:abstractNumId="125">
    <w:nsid w:val="24E99DD7"/>
    <w:multiLevelType w:val="hybridMultilevel"/>
    <w:lvl w:ilvl="0">
      <w:lvlJc w:val="left"/>
      <w:lvlText w:val="(%1)"/>
      <w:numFmt w:val="lowerLetter"/>
      <w:start w:val="1"/>
    </w:lvl>
  </w:abstractNum>
  <w:abstractNum w:abstractNumId="126">
    <w:nsid w:val="2A31B62D"/>
    <w:multiLevelType w:val="hybridMultilevel"/>
    <w:lvl w:ilvl="0">
      <w:lvlJc w:val="left"/>
      <w:lvlText w:val="(%1)"/>
      <w:numFmt w:val="lowerLetter"/>
      <w:start w:val="10"/>
    </w:lvl>
  </w:abstractNum>
  <w:abstractNum w:abstractNumId="127">
    <w:nsid w:val="1849C29B"/>
    <w:multiLevelType w:val="hybridMultilevel"/>
    <w:lvl w:ilvl="0">
      <w:lvlJc w:val="left"/>
      <w:lvlText w:val="(%1)"/>
      <w:numFmt w:val="lowerLetter"/>
      <w:start w:val="1"/>
    </w:lvl>
  </w:abstractNum>
  <w:abstractNum w:abstractNumId="128">
    <w:nsid w:val="7DFF9D09"/>
    <w:multiLevelType w:val="hybridMultilevel"/>
    <w:lvl w:ilvl="0">
      <w:lvlJc w:val="left"/>
      <w:lvlText w:val="(%1)"/>
      <w:numFmt w:val="lowerRoman"/>
      <w:start w:val="4"/>
    </w:lvl>
  </w:abstractNum>
  <w:abstractNum w:abstractNumId="129">
    <w:nsid w:val="754342"/>
    <w:multiLevelType w:val="hybridMultilevel"/>
    <w:lvl w:ilvl="0">
      <w:lvlJc w:val="left"/>
      <w:lvlText w:val="(%1)"/>
      <w:numFmt w:val="lowerLetter"/>
      <w:start w:val="2"/>
    </w:lvl>
  </w:abstractNum>
  <w:abstractNum w:abstractNumId="130">
    <w:nsid w:val="69E7F3E5"/>
    <w:multiLevelType w:val="hybridMultilevel"/>
    <w:lvl w:ilvl="0">
      <w:lvlJc w:val="left"/>
      <w:lvlText w:val="(%1)"/>
      <w:numFmt w:val="lowerLetter"/>
      <w:start w:val="3"/>
    </w:lvl>
  </w:abstractNum>
  <w:abstractNum w:abstractNumId="131">
    <w:nsid w:val="2A6DE806"/>
    <w:multiLevelType w:val="hybridMultilevel"/>
    <w:lvl w:ilvl="0">
      <w:lvlJc w:val="left"/>
      <w:lvlText w:val="(%1)"/>
      <w:numFmt w:val="lowerLetter"/>
      <w:start w:val="1"/>
    </w:lvl>
  </w:abstractNum>
  <w:abstractNum w:abstractNumId="132">
    <w:nsid w:val="1816F8C4"/>
    <w:multiLevelType w:val="hybridMultilevel"/>
    <w:lvl w:ilvl="0">
      <w:lvlJc w:val="left"/>
      <w:lvlText w:val="(%1)"/>
      <w:numFmt w:val="lowerRoman"/>
      <w:start w:val="1"/>
    </w:lvl>
  </w:abstractNum>
  <w:abstractNum w:abstractNumId="133">
    <w:nsid w:val="37DF2233"/>
    <w:multiLevelType w:val="hybridMultilevel"/>
    <w:lvl w:ilvl="0">
      <w:lvlJc w:val="left"/>
      <w:lvlText w:val="(%1)"/>
      <w:numFmt w:val="lowerRoman"/>
      <w:start w:val="4"/>
    </w:lvl>
  </w:abstractNum>
  <w:abstractNum w:abstractNumId="134">
    <w:nsid w:val="7AB49DAF"/>
    <w:multiLevelType w:val="hybridMultilevel"/>
    <w:lvl w:ilvl="0">
      <w:lvlJc w:val="left"/>
      <w:lvlText w:val="(%1)"/>
      <w:numFmt w:val="upperLetter"/>
      <w:start w:val="2"/>
    </w:lvl>
  </w:abstractNum>
  <w:abstractNum w:abstractNumId="135">
    <w:nsid w:val="759F82CD"/>
    <w:multiLevelType w:val="hybridMultilevel"/>
    <w:lvl w:ilvl="0">
      <w:lvlJc w:val="left"/>
      <w:lvlText w:val="(%1)"/>
      <w:numFmt w:val="lowerLetter"/>
      <w:start w:val="3"/>
    </w:lvl>
  </w:abstractNum>
  <w:abstractNum w:abstractNumId="136">
    <w:nsid w:val="61E74EA3"/>
    <w:multiLevelType w:val="hybridMultilevel"/>
    <w:lvl w:ilvl="0">
      <w:lvlJc w:val="left"/>
      <w:lvlText w:val="(%1)"/>
      <w:numFmt w:val="lowerLetter"/>
      <w:start w:val="35"/>
    </w:lvl>
  </w:abstractNum>
  <w:abstractNum w:abstractNumId="137">
    <w:nsid w:val="597B4D84"/>
    <w:multiLevelType w:val="hybridMultilevel"/>
    <w:lvl w:ilvl="0">
      <w:lvlJc w:val="left"/>
      <w:lvlText w:val="(%1)"/>
      <w:numFmt w:val="lowerLetter"/>
      <w:start w:val="1"/>
    </w:lvl>
  </w:abstractNum>
  <w:abstractNum w:abstractNumId="138">
    <w:nsid w:val="F819E7F"/>
    <w:multiLevelType w:val="hybridMultilevel"/>
    <w:lvl w:ilvl="0">
      <w:lvlJc w:val="left"/>
      <w:lvlText w:val="(%1)"/>
      <w:numFmt w:val="lowerLetter"/>
      <w:start w:val="3"/>
    </w:lvl>
  </w:abstractNum>
  <w:abstractNum w:abstractNumId="139">
    <w:nsid w:val="57C7D42D"/>
    <w:multiLevelType w:val="hybridMultilevel"/>
    <w:lvl w:ilvl="0">
      <w:lvlJc w:val="left"/>
      <w:lvlText w:val="(%1)"/>
      <w:numFmt w:val="lowerLetter"/>
      <w:start w:val="1"/>
    </w:lvl>
  </w:abstractNum>
  <w:abstractNum w:abstractNumId="140">
    <w:nsid w:val="312167AD"/>
    <w:multiLevelType w:val="hybridMultilevel"/>
    <w:lvl w:ilvl="0">
      <w:lvlJc w:val="left"/>
      <w:lvlText w:val="(%1)"/>
      <w:numFmt w:val="lowerRoman"/>
      <w:start w:val="1"/>
    </w:lvl>
  </w:abstractNum>
  <w:abstractNum w:abstractNumId="141">
    <w:nsid w:val="631B64D4"/>
    <w:multiLevelType w:val="hybridMultilevel"/>
    <w:lvl w:ilvl="0">
      <w:lvlJc w:val="left"/>
      <w:lvlText w:val="(%1)"/>
      <w:numFmt w:val="upperLetter"/>
      <w:start w:val="1"/>
    </w:lvl>
  </w:abstractNum>
  <w:abstractNum w:abstractNumId="142">
    <w:nsid w:val="78B5E776"/>
    <w:multiLevelType w:val="hybridMultilevel"/>
    <w:lvl w:ilvl="0">
      <w:lvlJc w:val="left"/>
      <w:lvlText w:val="(%1)"/>
      <w:numFmt w:val="upperLetter"/>
      <w:start w:val="1"/>
    </w:lvl>
  </w:abstractNum>
  <w:abstractNum w:abstractNumId="143">
    <w:nsid w:val="75486E47"/>
    <w:multiLevelType w:val="hybridMultilevel"/>
    <w:lvl w:ilvl="0">
      <w:lvlJc w:val="left"/>
      <w:lvlText w:val="(%1)"/>
      <w:numFmt w:val="lowerRoman"/>
      <w:start w:val="3"/>
    </w:lvl>
  </w:abstractNum>
  <w:abstractNum w:abstractNumId="144">
    <w:nsid w:val="6E534CDE"/>
    <w:multiLevelType w:val="hybridMultilevel"/>
    <w:lvl w:ilvl="0">
      <w:lvlJc w:val="left"/>
      <w:lvlText w:val="(%1)"/>
      <w:numFmt w:val="lowerLetter"/>
      <w:start w:val="3"/>
    </w:lvl>
  </w:abstractNum>
  <w:abstractNum w:abstractNumId="145">
    <w:nsid w:val="1A0DDE32"/>
    <w:multiLevelType w:val="hybridMultilevel"/>
    <w:lvl w:ilvl="0">
      <w:lvlJc w:val="left"/>
      <w:lvlText w:val="(%1)"/>
      <w:numFmt w:val="lowerRoman"/>
      <w:start w:val="2"/>
    </w:lvl>
  </w:abstractNum>
  <w:abstractNum w:abstractNumId="146">
    <w:nsid w:val="65968C1C"/>
    <w:multiLevelType w:val="hybridMultilevel"/>
    <w:lvl w:ilvl="0">
      <w:lvlJc w:val="left"/>
      <w:lvlText w:val="(%1)"/>
      <w:numFmt w:val="lowerLetter"/>
      <w:start w:val="6"/>
    </w:lvl>
  </w:abstractNum>
  <w:abstractNum w:abstractNumId="147">
    <w:nsid w:val="46263DEC"/>
    <w:multiLevelType w:val="hybridMultilevel"/>
    <w:lvl w:ilvl="0">
      <w:lvlJc w:val="left"/>
      <w:lvlText w:val="(%1)"/>
      <w:numFmt w:val="lowerLetter"/>
      <w:start w:val="8"/>
    </w:lvl>
  </w:abstractNum>
  <w:abstractNum w:abstractNumId="148">
    <w:nsid w:val="260D8C4A"/>
    <w:multiLevelType w:val="hybridMultilevel"/>
    <w:lvl w:ilvl="0">
      <w:lvlJc w:val="left"/>
      <w:lvlText w:val="(%1)"/>
      <w:numFmt w:val="lowerLetter"/>
      <w:start w:val="1"/>
    </w:lvl>
  </w:abstractNum>
  <w:abstractNum w:abstractNumId="149">
    <w:nsid w:val="73D4D3C4"/>
    <w:multiLevelType w:val="hybridMultilevel"/>
    <w:lvl w:ilvl="0">
      <w:lvlJc w:val="left"/>
      <w:lvlText w:val="(%1)"/>
      <w:numFmt w:val="lowerLetter"/>
      <w:start w:val="1"/>
    </w:lvl>
  </w:abstractNum>
  <w:abstractNum w:abstractNumId="150">
    <w:nsid w:val="746F2E30"/>
    <w:multiLevelType w:val="hybridMultilevel"/>
    <w:lvl w:ilvl="0">
      <w:lvlJc w:val="left"/>
      <w:lvlText w:val="(%1)"/>
      <w:numFmt w:val="lowerLetter"/>
      <w:start w:val="1"/>
    </w:lvl>
  </w:abstractNum>
  <w:abstractNum w:abstractNumId="151">
    <w:nsid w:val="6FDE8AF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2020-05-05T15:06:56Z</dcterms:created>
  <dcterms:modified xsi:type="dcterms:W3CDTF">2020-05-05T15:06:56Z</dcterms:modified>
</cp:coreProperties>
</file>