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5"/>
          <w:szCs w:val="25"/>
          <w:color w:val="auto"/>
        </w:rPr>
        <w:t>_____________________</w:t>
      </w:r>
    </w:p>
    <w:p>
      <w:pPr>
        <w:spacing w:after="0" w:line="19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4"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5"/>
          <w:szCs w:val="25"/>
          <w:color w:val="auto"/>
        </w:rPr>
        <w:t>_____________________</w:t>
      </w:r>
    </w:p>
    <w:p>
      <w:pPr>
        <w:spacing w:after="0" w:line="18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Report (Date of earliest event Reported): August 5, 2020</w:t>
      </w:r>
    </w:p>
    <w:p>
      <w:pPr>
        <w:spacing w:after="0" w:line="21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PennantPark Investment Corporation</w:t>
      </w:r>
    </w:p>
    <w:p>
      <w:pPr>
        <w:spacing w:after="0" w:line="2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11100"/>
          </w:cols>
          <w:pgMar w:left="320" w:top="718" w:right="47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814-00736</w:t>
      </w:r>
    </w:p>
    <w:p>
      <w:pPr>
        <w:spacing w:after="0" w:line="3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20-8250744</w:t>
      </w:r>
    </w:p>
    <w:p>
      <w:pPr>
        <w:spacing w:after="0" w:line="3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211" w:lineRule="exact"/>
        <w:rPr>
          <w:sz w:val="24"/>
          <w:szCs w:val="24"/>
          <w:color w:val="auto"/>
        </w:rPr>
      </w:pPr>
    </w:p>
    <w:p>
      <w:pPr>
        <w:sectPr>
          <w:pgSz w:w="11900" w:h="16838" w:orient="portrait"/>
          <w:cols w:equalWidth="0" w:num="3">
            <w:col w:w="3920" w:space="720"/>
            <w:col w:w="2560" w:space="720"/>
            <w:col w:w="3180"/>
          </w:cols>
          <w:pgMar w:left="320" w:top="718"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590 Madison Avenue, 15th Floor, New York, NY 10022</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0" w:lineRule="exact"/>
        <w:rPr>
          <w:sz w:val="24"/>
          <w:szCs w:val="24"/>
          <w:color w:val="auto"/>
        </w:rPr>
      </w:pPr>
    </w:p>
    <w:p>
      <w:pPr>
        <w:spacing w:after="0" w:line="21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212-905-1000</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tc>
      </w:tr>
      <w:tr>
        <w:trPr>
          <w:trHeight w:val="234"/>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Pre-commencement communications pursuant to Rule 14d-2(b) under the Exchange Act (17 CFR 240.14d-2(b))</w:t>
            </w:r>
          </w:p>
        </w:tc>
      </w:tr>
    </w:tbl>
    <w:p>
      <w:pPr>
        <w:ind w:right="2140" w:firstLine="291"/>
        <w:spacing w:after="0" w:line="503" w:lineRule="auto"/>
        <w:tabs>
          <w:tab w:leader="none" w:pos="47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370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42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94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70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4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PNNT</w:t>
            </w:r>
          </w:p>
        </w:tc>
        <w:tc>
          <w:tcPr>
            <w:tcW w:w="39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70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5.50% Notes due 2024</w:t>
            </w:r>
          </w:p>
        </w:tc>
        <w:tc>
          <w:tcPr>
            <w:tcW w:w="24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PNNTG</w:t>
            </w:r>
          </w:p>
        </w:tc>
        <w:tc>
          <w:tcPr>
            <w:tcW w:w="39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6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249555</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18"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August 5, 2020, PennantPark Investment Corporation, or the Company, issued a press release announcing its financial results for the third fiscal quarter ended June 30, 2020. A copy of the press release is furnished as Exhibit 99.1 to this report pursuant to Item 2.02 on Form 8-K and Regulation FD.</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 For information concerning the COVID-19 pandemic and its potential impact on the Company’s business and operating results, see the Company’s Quarterly Report on Form 10-Q for the quarter ended June 30, 2020, including “Item 2. Management's Discussion and Analysis of Financial Condition and Results of Operations – COVID-19 Developments” and “Part II - Other Information – Item 1A. Risk Factors” therein.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as well as changes in the economy and risks associated with possible disruption in the Company’s operations or the economy generally due to terrorism, natural disasters or pandemics such as COVID-19.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PennantPark Investment Corporation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278" w:lineRule="auto"/>
        <w:tabs>
          <w:tab w:leader="none" w:pos="27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Financial statements: </w:t>
      </w:r>
      <w:r>
        <w:rPr>
          <w:rFonts w:ascii="Times New Roman" w:cs="Times New Roman" w:eastAsia="Times New Roman" w:hAnsi="Times New Roman"/>
          <w:sz w:val="17"/>
          <w:szCs w:val="17"/>
          <w:color w:val="auto"/>
        </w:rPr>
        <w:t>None</w:t>
      </w:r>
    </w:p>
    <w:p>
      <w:pPr>
        <w:spacing w:after="0" w:line="1" w:lineRule="exact"/>
        <w:rPr>
          <w:rFonts w:ascii="Times New Roman" w:cs="Times New Roman" w:eastAsia="Times New Roman" w:hAnsi="Times New Roman"/>
          <w:sz w:val="17"/>
          <w:szCs w:val="17"/>
          <w:b w:val="1"/>
          <w:bCs w:val="1"/>
          <w:color w:val="auto"/>
        </w:rPr>
      </w:pPr>
    </w:p>
    <w:p>
      <w:pPr>
        <w:ind w:left="600" w:right="8440" w:hanging="592"/>
        <w:spacing w:after="0" w:line="250" w:lineRule="auto"/>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 forma financial information: </w:t>
      </w:r>
      <w:r>
        <w:rPr>
          <w:rFonts w:ascii="Times New Roman" w:cs="Times New Roman" w:eastAsia="Times New Roman" w:hAnsi="Times New Roman"/>
          <w:sz w:val="18"/>
          <w:szCs w:val="18"/>
          <w:color w:val="auto"/>
        </w:rPr>
        <w:t>None</w:t>
      </w:r>
    </w:p>
    <w:p>
      <w:pPr>
        <w:ind w:left="600" w:right="8820" w:hanging="592"/>
        <w:spacing w:after="0" w:line="250" w:lineRule="auto"/>
        <w:tabs>
          <w:tab w:leader="none" w:pos="2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Shell company transactions: </w:t>
      </w:r>
      <w:r>
        <w:rPr>
          <w:rFonts w:ascii="Times New Roman" w:cs="Times New Roman" w:eastAsia="Times New Roman" w:hAnsi="Times New Roman"/>
          <w:sz w:val="18"/>
          <w:szCs w:val="18"/>
          <w:color w:val="auto"/>
        </w:rPr>
        <w:t>None</w:t>
      </w: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8"/>
            <w:szCs w:val="18"/>
            <w:u w:val="single" w:color="auto"/>
            <w:color w:val="0000EE"/>
          </w:rPr>
          <w:t>Press Release of PennantPark Investment Corporation dated August 5,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4900" w:type="dxa"/>
            <w:vAlign w:val="bottom"/>
            <w:gridSpan w:val="3"/>
          </w:tcPr>
          <w:p>
            <w:pPr>
              <w:ind w:left="1960"/>
              <w:spacing w:after="0"/>
              <w:rPr>
                <w:sz w:val="20"/>
                <w:szCs w:val="20"/>
                <w:color w:val="auto"/>
              </w:rPr>
            </w:pPr>
            <w:r>
              <w:rPr>
                <w:rFonts w:ascii="Times New Roman" w:cs="Times New Roman" w:eastAsia="Times New Roman" w:hAnsi="Times New Roman"/>
                <w:sz w:val="18"/>
                <w:szCs w:val="18"/>
                <w:b w:val="1"/>
                <w:bCs w:val="1"/>
                <w:color w:val="auto"/>
                <w:w w:val="99"/>
              </w:rPr>
              <w:t>PennantPark Investment Corporation</w:t>
            </w:r>
          </w:p>
        </w:tc>
      </w:tr>
      <w:tr>
        <w:trPr>
          <w:trHeight w:val="60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5, 2020</w:t>
            </w:r>
          </w:p>
        </w:tc>
        <w:tc>
          <w:tcPr>
            <w:tcW w:w="490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auto"/>
              </w:rPr>
              <w:t>By: /s/ Aviv Efrat</w:t>
            </w:r>
          </w:p>
        </w:tc>
      </w:tr>
      <w:tr>
        <w:trPr>
          <w:trHeight w:val="218"/>
        </w:trPr>
        <w:tc>
          <w:tcPr>
            <w:tcW w:w="35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Aviv Efrat</w:t>
            </w:r>
          </w:p>
        </w:tc>
        <w:tc>
          <w:tcPr>
            <w:tcW w:w="1300" w:type="dxa"/>
            <w:vAlign w:val="bottom"/>
          </w:tcPr>
          <w:p>
            <w:pPr>
              <w:spacing w:after="0"/>
              <w:rPr>
                <w:sz w:val="18"/>
                <w:szCs w:val="18"/>
                <w:color w:val="auto"/>
              </w:rPr>
            </w:pPr>
          </w:p>
        </w:tc>
      </w:tr>
      <w:tr>
        <w:trPr>
          <w:trHeight w:val="234"/>
        </w:trPr>
        <w:tc>
          <w:tcPr>
            <w:tcW w:w="35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0900"/>
          </w:cols>
          <w:pgMar w:left="320" w:top="333" w:right="6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Investment Corporation Announces Financial Results for the Quarter Ended June 30, 2020</w:t>
      </w:r>
    </w:p>
    <w:p>
      <w:pPr>
        <w:spacing w:after="0" w:line="210"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NEW YORK, Aug. 05, 2020 (GLOBE NEWSWIRE) -- PennantPark Investment Corporation (NASDAQ: PNNT) announced today financial results for the third fiscal quarter ended June 30, 2020.</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HIGHLIGHTS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Quarter ended June 30, 2020</w:t>
      </w:r>
    </w:p>
    <w:p>
      <w:pPr>
        <w:spacing w:after="0"/>
        <w:rPr>
          <w:sz w:val="20"/>
          <w:szCs w:val="20"/>
          <w:color w:val="auto"/>
        </w:rPr>
      </w:pPr>
      <w:r>
        <w:rPr>
          <w:rFonts w:ascii="Times New Roman" w:cs="Times New Roman" w:eastAsia="Times New Roman" w:hAnsi="Times New Roman"/>
          <w:sz w:val="22"/>
          <w:szCs w:val="22"/>
          <w:color w:val="auto"/>
        </w:rPr>
        <w:t>($ in millions, except per share amounts)</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5380" w:type="dxa"/>
            <w:vAlign w:val="bottom"/>
          </w:tcPr>
          <w:p>
            <w:pPr>
              <w:spacing w:after="0"/>
              <w:rPr>
                <w:sz w:val="20"/>
                <w:szCs w:val="20"/>
                <w:color w:val="auto"/>
              </w:rPr>
            </w:pPr>
            <w:r>
              <w:rPr>
                <w:rFonts w:ascii="Times New Roman" w:cs="Times New Roman" w:eastAsia="Times New Roman" w:hAnsi="Times New Roman"/>
                <w:sz w:val="22"/>
                <w:szCs w:val="22"/>
                <w:color w:val="auto"/>
              </w:rPr>
              <w:t>Assets and Liabilities:</w:t>
            </w:r>
          </w:p>
        </w:tc>
        <w:tc>
          <w:tcPr>
            <w:tcW w:w="14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Investment portfolio</w:t>
            </w:r>
          </w:p>
        </w:tc>
        <w:tc>
          <w:tcPr>
            <w:tcW w:w="142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1,333.3</w:t>
            </w:r>
          </w:p>
        </w:tc>
        <w:tc>
          <w:tcPr>
            <w:tcW w:w="0" w:type="dxa"/>
            <w:vAlign w:val="bottom"/>
          </w:tcPr>
          <w:p>
            <w:pPr>
              <w:spacing w:after="0"/>
              <w:rPr>
                <w:sz w:val="1"/>
                <w:szCs w:val="1"/>
                <w:color w:val="auto"/>
              </w:rPr>
            </w:pPr>
          </w:p>
        </w:tc>
      </w:tr>
      <w:tr>
        <w:trPr>
          <w:trHeight w:val="270"/>
        </w:trPr>
        <w:tc>
          <w:tcPr>
            <w:tcW w:w="53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Net assets</w:t>
            </w:r>
          </w:p>
        </w:tc>
        <w:tc>
          <w:tcPr>
            <w:tcW w:w="142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524.2</w:t>
            </w:r>
          </w:p>
        </w:tc>
        <w:tc>
          <w:tcPr>
            <w:tcW w:w="0" w:type="dxa"/>
            <w:vAlign w:val="bottom"/>
          </w:tcPr>
          <w:p>
            <w:pPr>
              <w:spacing w:after="0"/>
              <w:rPr>
                <w:sz w:val="1"/>
                <w:szCs w:val="1"/>
                <w:color w:val="auto"/>
              </w:rPr>
            </w:pPr>
          </w:p>
        </w:tc>
      </w:tr>
      <w:tr>
        <w:trPr>
          <w:trHeight w:val="270"/>
        </w:trPr>
        <w:tc>
          <w:tcPr>
            <w:tcW w:w="53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GAAP net asset value per share</w:t>
            </w:r>
          </w:p>
        </w:tc>
        <w:tc>
          <w:tcPr>
            <w:tcW w:w="142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7.82</w:t>
            </w:r>
          </w:p>
        </w:tc>
        <w:tc>
          <w:tcPr>
            <w:tcW w:w="0" w:type="dxa"/>
            <w:vAlign w:val="bottom"/>
          </w:tcPr>
          <w:p>
            <w:pPr>
              <w:spacing w:after="0"/>
              <w:rPr>
                <w:sz w:val="1"/>
                <w:szCs w:val="1"/>
                <w:color w:val="auto"/>
              </w:rPr>
            </w:pPr>
          </w:p>
        </w:tc>
      </w:tr>
      <w:tr>
        <w:trPr>
          <w:trHeight w:val="279"/>
        </w:trPr>
        <w:tc>
          <w:tcPr>
            <w:tcW w:w="53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Increase in GAAP net asset value per share</w:t>
            </w:r>
          </w:p>
        </w:tc>
        <w:tc>
          <w:tcPr>
            <w:tcW w:w="142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c>
          <w:tcPr>
            <w:tcW w:w="0" w:type="dxa"/>
            <w:vAlign w:val="bottom"/>
          </w:tcPr>
          <w:p>
            <w:pPr>
              <w:spacing w:after="0"/>
              <w:rPr>
                <w:sz w:val="1"/>
                <w:szCs w:val="1"/>
                <w:color w:val="auto"/>
              </w:rPr>
            </w:pPr>
          </w:p>
        </w:tc>
      </w:tr>
      <w:tr>
        <w:trPr>
          <w:trHeight w:val="324"/>
        </w:trPr>
        <w:tc>
          <w:tcPr>
            <w:tcW w:w="5380" w:type="dxa"/>
            <w:vAlign w:val="bottom"/>
          </w:tcPr>
          <w:p>
            <w:pPr>
              <w:ind w:left="120"/>
              <w:spacing w:after="0" w:line="324" w:lineRule="exact"/>
              <w:rPr>
                <w:sz w:val="20"/>
                <w:szCs w:val="20"/>
                <w:color w:val="auto"/>
              </w:rPr>
            </w:pPr>
            <w:r>
              <w:rPr>
                <w:rFonts w:ascii="Times New Roman" w:cs="Times New Roman" w:eastAsia="Times New Roman" w:hAnsi="Times New Roman"/>
                <w:sz w:val="22"/>
                <w:szCs w:val="22"/>
                <w:color w:val="auto"/>
              </w:rPr>
              <w:t xml:space="preserve">Adjusted net asset value per share </w:t>
            </w:r>
            <w:r>
              <w:rPr>
                <w:rFonts w:ascii="Times New Roman" w:cs="Times New Roman" w:eastAsia="Times New Roman" w:hAnsi="Times New Roman"/>
                <w:sz w:val="35"/>
                <w:szCs w:val="35"/>
                <w:color w:val="auto"/>
                <w:vertAlign w:val="superscript"/>
              </w:rPr>
              <w:t>(1)</w:t>
            </w:r>
          </w:p>
        </w:tc>
        <w:tc>
          <w:tcPr>
            <w:tcW w:w="1420" w:type="dxa"/>
            <w:vAlign w:val="bottom"/>
            <w:vMerge w:val="continue"/>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7.46</w:t>
            </w:r>
          </w:p>
        </w:tc>
        <w:tc>
          <w:tcPr>
            <w:tcW w:w="0" w:type="dxa"/>
            <w:vAlign w:val="bottom"/>
          </w:tcPr>
          <w:p>
            <w:pPr>
              <w:spacing w:after="0"/>
              <w:rPr>
                <w:sz w:val="1"/>
                <w:szCs w:val="1"/>
                <w:color w:val="auto"/>
              </w:rPr>
            </w:pPr>
          </w:p>
        </w:tc>
      </w:tr>
      <w:tr>
        <w:trPr>
          <w:trHeight w:val="475"/>
        </w:trPr>
        <w:tc>
          <w:tcPr>
            <w:tcW w:w="53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 xml:space="preserve">Increase in adjusted net asset value per share </w:t>
            </w:r>
            <w:r>
              <w:rPr>
                <w:rFonts w:ascii="Times New Roman" w:cs="Times New Roman" w:eastAsia="Times New Roman" w:hAnsi="Times New Roman"/>
                <w:sz w:val="35"/>
                <w:szCs w:val="35"/>
                <w:color w:val="auto"/>
                <w:vertAlign w:val="superscript"/>
              </w:rPr>
              <w:t>(1)</w:t>
            </w:r>
          </w:p>
        </w:tc>
        <w:tc>
          <w:tcPr>
            <w:tcW w:w="1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w:t>
            </w:r>
          </w:p>
        </w:tc>
        <w:tc>
          <w:tcPr>
            <w:tcW w:w="0" w:type="dxa"/>
            <w:vAlign w:val="bottom"/>
          </w:tcPr>
          <w:p>
            <w:pPr>
              <w:spacing w:after="0"/>
              <w:rPr>
                <w:sz w:val="1"/>
                <w:szCs w:val="1"/>
                <w:color w:val="auto"/>
              </w:rPr>
            </w:pPr>
          </w:p>
        </w:tc>
      </w:tr>
      <w:tr>
        <w:trPr>
          <w:trHeight w:val="380"/>
        </w:trPr>
        <w:tc>
          <w:tcPr>
            <w:tcW w:w="53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BNP Credit Facility</w:t>
            </w:r>
          </w:p>
        </w:tc>
        <w:tc>
          <w:tcPr>
            <w:tcW w:w="142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236.7</w:t>
            </w:r>
          </w:p>
        </w:tc>
        <w:tc>
          <w:tcPr>
            <w:tcW w:w="0" w:type="dxa"/>
            <w:vAlign w:val="bottom"/>
          </w:tcPr>
          <w:p>
            <w:pPr>
              <w:spacing w:after="0"/>
              <w:rPr>
                <w:sz w:val="1"/>
                <w:szCs w:val="1"/>
                <w:color w:val="auto"/>
              </w:rPr>
            </w:pPr>
          </w:p>
        </w:tc>
      </w:tr>
      <w:tr>
        <w:trPr>
          <w:trHeight w:val="270"/>
        </w:trPr>
        <w:tc>
          <w:tcPr>
            <w:tcW w:w="53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Truist Credit Facility</w:t>
            </w:r>
          </w:p>
        </w:tc>
        <w:tc>
          <w:tcPr>
            <w:tcW w:w="142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397.4</w:t>
            </w:r>
          </w:p>
        </w:tc>
        <w:tc>
          <w:tcPr>
            <w:tcW w:w="0" w:type="dxa"/>
            <w:vAlign w:val="bottom"/>
          </w:tcPr>
          <w:p>
            <w:pPr>
              <w:spacing w:after="0"/>
              <w:rPr>
                <w:sz w:val="1"/>
                <w:szCs w:val="1"/>
                <w:color w:val="auto"/>
              </w:rPr>
            </w:pPr>
          </w:p>
        </w:tc>
      </w:tr>
      <w:tr>
        <w:trPr>
          <w:trHeight w:val="270"/>
        </w:trPr>
        <w:tc>
          <w:tcPr>
            <w:tcW w:w="53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2024 Notes</w:t>
            </w:r>
          </w:p>
        </w:tc>
        <w:tc>
          <w:tcPr>
            <w:tcW w:w="142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83.7</w:t>
            </w:r>
          </w:p>
        </w:tc>
        <w:tc>
          <w:tcPr>
            <w:tcW w:w="0" w:type="dxa"/>
            <w:vAlign w:val="bottom"/>
          </w:tcPr>
          <w:p>
            <w:pPr>
              <w:spacing w:after="0"/>
              <w:rPr>
                <w:sz w:val="1"/>
                <w:szCs w:val="1"/>
                <w:color w:val="auto"/>
              </w:rPr>
            </w:pPr>
          </w:p>
        </w:tc>
      </w:tr>
      <w:tr>
        <w:trPr>
          <w:trHeight w:val="270"/>
        </w:trPr>
        <w:tc>
          <w:tcPr>
            <w:tcW w:w="53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SBA Debentures</w:t>
            </w:r>
          </w:p>
        </w:tc>
        <w:tc>
          <w:tcPr>
            <w:tcW w:w="142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130.4</w:t>
            </w:r>
          </w:p>
        </w:tc>
        <w:tc>
          <w:tcPr>
            <w:tcW w:w="0" w:type="dxa"/>
            <w:vAlign w:val="bottom"/>
          </w:tcPr>
          <w:p>
            <w:pPr>
              <w:spacing w:after="0"/>
              <w:rPr>
                <w:sz w:val="1"/>
                <w:szCs w:val="1"/>
                <w:color w:val="auto"/>
              </w:rPr>
            </w:pPr>
          </w:p>
        </w:tc>
      </w:tr>
      <w:tr>
        <w:trPr>
          <w:trHeight w:val="279"/>
        </w:trPr>
        <w:tc>
          <w:tcPr>
            <w:tcW w:w="53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Regulatory Debt to Equity</w:t>
            </w:r>
          </w:p>
        </w:tc>
        <w:tc>
          <w:tcPr>
            <w:tcW w:w="1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1.49x</w:t>
            </w:r>
          </w:p>
        </w:tc>
        <w:tc>
          <w:tcPr>
            <w:tcW w:w="0" w:type="dxa"/>
            <w:vAlign w:val="bottom"/>
          </w:tcPr>
          <w:p>
            <w:pPr>
              <w:spacing w:after="0"/>
              <w:rPr>
                <w:sz w:val="1"/>
                <w:szCs w:val="1"/>
                <w:color w:val="auto"/>
              </w:rPr>
            </w:pPr>
          </w:p>
        </w:tc>
      </w:tr>
      <w:tr>
        <w:trPr>
          <w:trHeight w:val="324"/>
        </w:trPr>
        <w:tc>
          <w:tcPr>
            <w:tcW w:w="5380" w:type="dxa"/>
            <w:vAlign w:val="bottom"/>
          </w:tcPr>
          <w:p>
            <w:pPr>
              <w:ind w:left="120"/>
              <w:spacing w:after="0" w:line="324" w:lineRule="exact"/>
              <w:rPr>
                <w:sz w:val="20"/>
                <w:szCs w:val="20"/>
                <w:color w:val="auto"/>
              </w:rPr>
            </w:pPr>
            <w:r>
              <w:rPr>
                <w:rFonts w:ascii="Times New Roman" w:cs="Times New Roman" w:eastAsia="Times New Roman" w:hAnsi="Times New Roman"/>
                <w:sz w:val="22"/>
                <w:szCs w:val="22"/>
                <w:color w:val="auto"/>
              </w:rPr>
              <w:t xml:space="preserve">Regulatory Net Debt to Equity </w:t>
            </w:r>
            <w:r>
              <w:rPr>
                <w:rFonts w:ascii="Times New Roman" w:cs="Times New Roman" w:eastAsia="Times New Roman" w:hAnsi="Times New Roman"/>
                <w:sz w:val="35"/>
                <w:szCs w:val="35"/>
                <w:color w:val="auto"/>
                <w:vertAlign w:val="superscript"/>
              </w:rPr>
              <w:t>(2)</w:t>
            </w:r>
          </w:p>
        </w:tc>
        <w:tc>
          <w:tcPr>
            <w:tcW w:w="1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1.39x</w:t>
            </w:r>
          </w:p>
        </w:tc>
        <w:tc>
          <w:tcPr>
            <w:tcW w:w="0" w:type="dxa"/>
            <w:vAlign w:val="bottom"/>
          </w:tcPr>
          <w:p>
            <w:pPr>
              <w:spacing w:after="0"/>
              <w:rPr>
                <w:sz w:val="1"/>
                <w:szCs w:val="1"/>
                <w:color w:val="auto"/>
              </w:rPr>
            </w:pPr>
          </w:p>
        </w:tc>
      </w:tr>
      <w:tr>
        <w:trPr>
          <w:trHeight w:val="475"/>
        </w:trPr>
        <w:tc>
          <w:tcPr>
            <w:tcW w:w="53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 xml:space="preserve">GAAP Net Debt to Equity </w:t>
            </w:r>
            <w:r>
              <w:rPr>
                <w:rFonts w:ascii="Times New Roman" w:cs="Times New Roman" w:eastAsia="Times New Roman" w:hAnsi="Times New Roman"/>
                <w:sz w:val="35"/>
                <w:szCs w:val="35"/>
                <w:color w:val="auto"/>
                <w:vertAlign w:val="superscript"/>
              </w:rPr>
              <w:t>(3)</w:t>
            </w:r>
          </w:p>
        </w:tc>
        <w:tc>
          <w:tcPr>
            <w:tcW w:w="1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1.52x</w:t>
            </w:r>
          </w:p>
        </w:tc>
        <w:tc>
          <w:tcPr>
            <w:tcW w:w="0" w:type="dxa"/>
            <w:vAlign w:val="bottom"/>
          </w:tcPr>
          <w:p>
            <w:pPr>
              <w:spacing w:after="0"/>
              <w:rPr>
                <w:sz w:val="1"/>
                <w:szCs w:val="1"/>
                <w:color w:val="auto"/>
              </w:rPr>
            </w:pPr>
          </w:p>
        </w:tc>
      </w:tr>
      <w:tr>
        <w:trPr>
          <w:trHeight w:val="392"/>
        </w:trPr>
        <w:tc>
          <w:tcPr>
            <w:tcW w:w="53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Yield on debt investments at quarter-end</w:t>
            </w:r>
          </w:p>
        </w:tc>
        <w:tc>
          <w:tcPr>
            <w:tcW w:w="1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8.7%</w:t>
            </w:r>
          </w:p>
        </w:tc>
        <w:tc>
          <w:tcPr>
            <w:tcW w:w="0" w:type="dxa"/>
            <w:vAlign w:val="bottom"/>
          </w:tcPr>
          <w:p>
            <w:pPr>
              <w:spacing w:after="0"/>
              <w:rPr>
                <w:sz w:val="1"/>
                <w:szCs w:val="1"/>
                <w:color w:val="auto"/>
              </w:rPr>
            </w:pPr>
          </w:p>
        </w:tc>
      </w:tr>
      <w:tr>
        <w:trPr>
          <w:trHeight w:val="933"/>
        </w:trPr>
        <w:tc>
          <w:tcPr>
            <w:tcW w:w="5380" w:type="dxa"/>
            <w:vAlign w:val="bottom"/>
          </w:tcPr>
          <w:p>
            <w:pPr>
              <w:spacing w:after="0"/>
              <w:rPr>
                <w:sz w:val="20"/>
                <w:szCs w:val="20"/>
                <w:color w:val="auto"/>
              </w:rPr>
            </w:pPr>
            <w:r>
              <w:rPr>
                <w:rFonts w:ascii="Times New Roman" w:cs="Times New Roman" w:eastAsia="Times New Roman" w:hAnsi="Times New Roman"/>
                <w:sz w:val="22"/>
                <w:szCs w:val="22"/>
                <w:color w:val="auto"/>
              </w:rPr>
              <w:t>Operating Results:</w:t>
            </w:r>
          </w:p>
        </w:tc>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Net investment income</w:t>
            </w:r>
          </w:p>
        </w:tc>
        <w:tc>
          <w:tcPr>
            <w:tcW w:w="142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w:t>
            </w:r>
          </w:p>
        </w:tc>
        <w:tc>
          <w:tcPr>
            <w:tcW w:w="0" w:type="dxa"/>
            <w:vAlign w:val="bottom"/>
          </w:tcPr>
          <w:p>
            <w:pPr>
              <w:spacing w:after="0"/>
              <w:rPr>
                <w:sz w:val="1"/>
                <w:szCs w:val="1"/>
                <w:color w:val="auto"/>
              </w:rPr>
            </w:pPr>
          </w:p>
        </w:tc>
      </w:tr>
      <w:tr>
        <w:trPr>
          <w:trHeight w:val="270"/>
        </w:trPr>
        <w:tc>
          <w:tcPr>
            <w:tcW w:w="53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Net investment income per share</w:t>
            </w:r>
          </w:p>
        </w:tc>
        <w:tc>
          <w:tcPr>
            <w:tcW w:w="142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0.16</w:t>
            </w:r>
          </w:p>
        </w:tc>
        <w:tc>
          <w:tcPr>
            <w:tcW w:w="0" w:type="dxa"/>
            <w:vAlign w:val="bottom"/>
          </w:tcPr>
          <w:p>
            <w:pPr>
              <w:spacing w:after="0"/>
              <w:rPr>
                <w:sz w:val="1"/>
                <w:szCs w:val="1"/>
                <w:color w:val="auto"/>
              </w:rPr>
            </w:pPr>
          </w:p>
        </w:tc>
      </w:tr>
      <w:tr>
        <w:trPr>
          <w:trHeight w:val="282"/>
        </w:trPr>
        <w:tc>
          <w:tcPr>
            <w:tcW w:w="53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Distributions declared per share</w:t>
            </w:r>
          </w:p>
        </w:tc>
        <w:tc>
          <w:tcPr>
            <w:tcW w:w="142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0.12</w:t>
            </w:r>
          </w:p>
        </w:tc>
        <w:tc>
          <w:tcPr>
            <w:tcW w:w="0" w:type="dxa"/>
            <w:vAlign w:val="bottom"/>
          </w:tcPr>
          <w:p>
            <w:pPr>
              <w:spacing w:after="0"/>
              <w:rPr>
                <w:sz w:val="1"/>
                <w:szCs w:val="1"/>
                <w:color w:val="auto"/>
              </w:rPr>
            </w:pPr>
          </w:p>
        </w:tc>
      </w:tr>
      <w:tr>
        <w:trPr>
          <w:trHeight w:val="528"/>
        </w:trPr>
        <w:tc>
          <w:tcPr>
            <w:tcW w:w="5380" w:type="dxa"/>
            <w:vAlign w:val="bottom"/>
          </w:tcPr>
          <w:p>
            <w:pPr>
              <w:spacing w:after="0"/>
              <w:rPr>
                <w:sz w:val="20"/>
                <w:szCs w:val="20"/>
                <w:color w:val="auto"/>
              </w:rPr>
            </w:pPr>
            <w:r>
              <w:rPr>
                <w:rFonts w:ascii="Times New Roman" w:cs="Times New Roman" w:eastAsia="Times New Roman" w:hAnsi="Times New Roman"/>
                <w:sz w:val="22"/>
                <w:szCs w:val="22"/>
                <w:color w:val="auto"/>
              </w:rPr>
              <w:t>Portfolio Activity:</w:t>
            </w:r>
          </w:p>
        </w:tc>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Purchases of investments</w:t>
            </w:r>
          </w:p>
        </w:tc>
        <w:tc>
          <w:tcPr>
            <w:tcW w:w="142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11.7</w:t>
            </w:r>
          </w:p>
        </w:tc>
        <w:tc>
          <w:tcPr>
            <w:tcW w:w="0" w:type="dxa"/>
            <w:vAlign w:val="bottom"/>
          </w:tcPr>
          <w:p>
            <w:pPr>
              <w:spacing w:after="0"/>
              <w:rPr>
                <w:sz w:val="1"/>
                <w:szCs w:val="1"/>
                <w:color w:val="auto"/>
              </w:rPr>
            </w:pPr>
          </w:p>
        </w:tc>
      </w:tr>
      <w:tr>
        <w:trPr>
          <w:trHeight w:val="282"/>
        </w:trPr>
        <w:tc>
          <w:tcPr>
            <w:tcW w:w="53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Sales and repayments of investments</w:t>
            </w:r>
          </w:p>
        </w:tc>
        <w:tc>
          <w:tcPr>
            <w:tcW w:w="142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66.5</w:t>
            </w:r>
          </w:p>
        </w:tc>
        <w:tc>
          <w:tcPr>
            <w:tcW w:w="0" w:type="dxa"/>
            <w:vAlign w:val="bottom"/>
          </w:tcPr>
          <w:p>
            <w:pPr>
              <w:spacing w:after="0"/>
              <w:rPr>
                <w:sz w:val="1"/>
                <w:szCs w:val="1"/>
                <w:color w:val="auto"/>
              </w:rPr>
            </w:pPr>
          </w:p>
        </w:tc>
      </w:tr>
      <w:tr>
        <w:trPr>
          <w:trHeight w:val="528"/>
        </w:trPr>
        <w:tc>
          <w:tcPr>
            <w:tcW w:w="53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 new portfolio companies invested</w:t>
            </w:r>
          </w:p>
        </w:tc>
        <w:tc>
          <w:tcPr>
            <w:tcW w:w="1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270"/>
        </w:trPr>
        <w:tc>
          <w:tcPr>
            <w:tcW w:w="53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 existing portfolio companies invested</w:t>
            </w:r>
          </w:p>
        </w:tc>
        <w:tc>
          <w:tcPr>
            <w:tcW w:w="14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c>
          <w:tcPr>
            <w:tcW w:w="0" w:type="dxa"/>
            <w:vAlign w:val="bottom"/>
          </w:tcPr>
          <w:p>
            <w:pPr>
              <w:spacing w:after="0"/>
              <w:rPr>
                <w:sz w:val="1"/>
                <w:szCs w:val="1"/>
                <w:color w:val="auto"/>
              </w:rPr>
            </w:pPr>
          </w:p>
        </w:tc>
      </w:tr>
      <w:tr>
        <w:trPr>
          <w:trHeight w:val="282"/>
        </w:trPr>
        <w:tc>
          <w:tcPr>
            <w:tcW w:w="53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 ending portfolio companies</w:t>
            </w:r>
          </w:p>
        </w:tc>
        <w:tc>
          <w:tcPr>
            <w:tcW w:w="1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firstLine="8"/>
        <w:spacing w:after="0" w:line="236" w:lineRule="auto"/>
        <w:tabs>
          <w:tab w:leader="none" w:pos="30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is a non-GAAP financial measure. The Company believes that this number provides useful information to investors and management because it reflects the Company’s financial performance excluding the impact of the $24.2 million unrealized loss on the our credit facility with BNP Paribas, as amended, or the BNP Credit Facility, and our multi-currency, senior secured revolving credit facility with Truist Bank, as amended, or the Truist Credit Facility (the BNP Credit Facility together with the Truist Credit Facility are referred to herein as the Credit Facilities). The presentation of this additional information is not meant to be considered in isolation or as a substitute for financial results prepared in accordance with GAAP.</w:t>
      </w:r>
    </w:p>
    <w:p>
      <w:pPr>
        <w:spacing w:after="0" w:line="181" w:lineRule="exact"/>
        <w:rPr>
          <w:rFonts w:ascii="Times New Roman" w:cs="Times New Roman" w:eastAsia="Times New Roman" w:hAnsi="Times New Roman"/>
          <w:sz w:val="22"/>
          <w:szCs w:val="22"/>
          <w:color w:val="auto"/>
        </w:rPr>
      </w:pPr>
    </w:p>
    <w:p>
      <w:pPr>
        <w:ind w:right="140" w:firstLine="8"/>
        <w:spacing w:after="0" w:line="239" w:lineRule="auto"/>
        <w:tabs>
          <w:tab w:leader="none" w:pos="302"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is a non-GAAP financial measure. The Company believes that this number provides useful information to investors and management because it reflects the Company’s financial performance net of $51.6 million of cash and equivalents. The presentation of this additional information is not meant to be considered in isolation or as a substitute for financial results prepared in accordance with GAAP.</w:t>
      </w:r>
    </w:p>
    <w:p>
      <w:pPr>
        <w:spacing w:after="0" w:line="180" w:lineRule="exact"/>
        <w:rPr>
          <w:rFonts w:ascii="Times New Roman" w:cs="Times New Roman" w:eastAsia="Times New Roman" w:hAnsi="Times New Roman"/>
          <w:sz w:val="22"/>
          <w:szCs w:val="22"/>
          <w:color w:val="auto"/>
        </w:rPr>
      </w:pPr>
    </w:p>
    <w:p>
      <w:pPr>
        <w:ind w:firstLine="8"/>
        <w:spacing w:after="0" w:line="255" w:lineRule="auto"/>
        <w:tabs>
          <w:tab w:leader="none" w:pos="30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is a non-GAAP financial measure. The Company believes that this number provides useful information to investors and management because it reflects the Company’s financial performance including the impact of the $24.2 million unrealized loss on the Credit Facilities, SBA Debentures and net of $51.6 million of cash and equivalents. The presentation of this additional information is not meant to be considered in isolation or as a substitute for financial results prepared in accordance with GAAP.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CONFERENCE CALL AT 12:00 P.M. ET ON AUGUST 6, 2020</w:t>
      </w:r>
    </w:p>
    <w:p>
      <w:pPr>
        <w:sectPr>
          <w:pgSz w:w="11900" w:h="16838" w:orient="portrait"/>
          <w:cols w:equalWidth="0" w:num="1">
            <w:col w:w="11240"/>
          </w:cols>
          <w:pgMar w:left="320" w:top="108" w:right="339" w:bottom="0" w:gutter="0" w:footer="0" w:header="0"/>
        </w:sectPr>
      </w:pPr>
    </w:p>
    <w:bookmarkStart w:id="4" w:name="page5"/>
    <w:bookmarkEnd w:id="4"/>
    <w:p>
      <w:pPr>
        <w:jc w:val="both"/>
        <w:spacing w:after="0" w:line="236" w:lineRule="auto"/>
        <w:rPr>
          <w:sz w:val="20"/>
          <w:szCs w:val="20"/>
          <w:color w:val="auto"/>
        </w:rPr>
      </w:pPr>
      <w:r>
        <w:rPr>
          <w:rFonts w:ascii="Times New Roman" w:cs="Times New Roman" w:eastAsia="Times New Roman" w:hAnsi="Times New Roman"/>
          <w:sz w:val="22"/>
          <w:szCs w:val="22"/>
          <w:color w:val="auto"/>
        </w:rPr>
        <w:t>PennantPark Investment Corporation (“we,” “our,” “us” or the “Company”) will host a conference call at 12:00 p.m. (Eastern Time) on Thursday, August 6, 2020 to discuss its financial results. All interested parties are welcome to participate. You can access the conference call by dialing toll-free (800) 289-0438 approximately 5-10 minutes prior to the call. International callers should dial (323) 794-2423. All callers should reference conference ID #4238734 PennantPark Investment Corporation. An archived replay of the call will be available through August 20, 2020 by calling toll-free (888) 203-1112. International callers please dial (719) 457-0820. For all phone replays, please reference conference ID #4238734.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PORTFOLIO AND INVESTMENT ACTIVITY</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are pleased that we accomplished several key goals this past quarter. We achieved a 7% increase in adjusted NAV as well as reduced leverage and increased liquidity,” said Arthur Penn, Chairman and CEO. “We are particularly pleased with our announcement of the formation of PSLF, our joint venture with Pantheon.”</w:t>
      </w:r>
    </w:p>
    <w:p>
      <w:pPr>
        <w:spacing w:after="0" w:line="17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As of June 30, 2020, our portfolio totaled $1,333.3 million and consisted of $789.4 million of first lien secured debt, $237.5 million of second lien secured debt, $65.8 million of subordinated debt and $240.7 million of preferred and common equity. Our debt portfolio consisted of 94% variable-rate investments. As of June 30, 2020, we had one portfolio company on non-accrual, representing 2.5% and 2.3% of our overall portfolio on a cost and fair value basis, respectively. Overall, the portfolio had net unrealized depreciation of $105.2 million as of June 30, 2020. Our overall portfolio consisted of 86 companies with an average investment size of $15.5 million, had a weighted average yield on interest bearing debt investments of 8.7% and was invested 59% in first lien secured debt, 18% in second lien secured debt, 5% in subordinated debt and 18% in preferred and common equity. For more information on how the COVID-19 pandemic has affected our business and results of operations, see the “Effects of COVID-19” section below.</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As of September 30, 2019, our portfolio totaled $1,219.4 million and consisted of $695.3 million of first lien secured debt, $269.3 million of second lien secured debt, $61.2 million of subordinated debt and $193.7 million of preferred and common equity. Our debt portfolio consisted of 87% variable-rate investments. As of September 30, 2019, we had no portfolio companies on non-accrual. Overall, the portfolio had net unrealized depreciation of $37.6 million as of September 30, 2019. Our overall portfolio consisted of 67 companies with an average investment size of $18.2 million, had a weighted average yield on interest bearing debt investments of 9.8% and was invested 57% in first lien secured debt, 22% in second lien secured debt, 5% in subordinated debt and 16% in preferred and common equity.</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For the three months ended June 30, 2020, we invested $11.7 million in one new and 12 existing portfolio companies with a weighted average yield on debt investments of 6.8%. Sales and repayments of investments for the three months ended June 30, 2020 totaled $66.5 million. For the nine months ended June 30, 2020, we invested $292.2 million in 22 new and 51 existing portfolio companies with a weighted average yield on debt investments of 8.5%. Sales and repayments of investments for the nine months ended June 30, 2020 totaled $114.1 million.</w:t>
      </w:r>
    </w:p>
    <w:p>
      <w:pPr>
        <w:spacing w:after="0" w:line="17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For the three months ended June 30, 2019, we invested $116.4 million in six new and 12 existing portfolio companies with a weighted average yield on debt investments of 10.3%. Sales and repayments of investments for the three months ended June 30, 2019 totaled $84.7 million. For the nine months ended June 30, 2019, we invested $494.8 million in 21 new and 38 existing portfolio companies with a weighted average yield on debt investments of 9.5%. Sales and repayments of investments for the nine months ended June 30, 2019 totaled $325.6 million.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Set forth below are the results of operations for the three and nine months ended June 30, 2020 and 2019.</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Investment Income</w:t>
      </w:r>
    </w:p>
    <w:p>
      <w:pPr>
        <w:spacing w:after="0" w:line="21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Investment income for the three and nine months ended June 30, 2020 was $25.4 million and $78.9 million, respectively, and was primarily attributable to $17.6 million and $51.1 million from first lien secured debt, $5.1 million and $20.5 million from second lien secured debt and $2.5 million and $7.1 million from subordinated debt, respectively. This compares to investment income for the three and nine months ended June 30, 2019 of $28.1 million and $84.2 million, respectively, and was attributable to $16.7 million and $45.6 million from first lien secured debt, $9.2 million and $32.7 million from second lien secured debt and $2.2 million and $5.9 million from subordinated debt, preferred and common equity, respectively. The decrease in investment income compared to the same periods in the prior year was primarily due to decreases in LIBOR.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Expenses</w:t>
      </w:r>
    </w:p>
    <w:p>
      <w:pPr>
        <w:spacing w:after="0" w:line="2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Expenses for the three and nine months ended June 30, 2020 totaled $14.4 million and $47.5 million, respectively. Base management fee for the same periods totaled $4.6 million and $14.3 million, incentive fee totaled zero (after a waiver of $1.9 million) and $2.7 million (after a waiver of $1.9 million), debt related interest and expenses totaled $8.3 million and $26.1 million, general and administrative expenses totaled $1.2 million and $3.5 million and provision for taxes totaled $0.3 million and $0.9 million, respectively. This compares to net expenses for the three and nine months ended June 30, 2019, which totaled $16.5 million and $49.2 million, respectively. Base management fee for the same periods totaled $4.7 million and $13.6 million, incentive fee totaled $2.5 million and $5.1 million, debt related interest and expenses totaled $7.8 million and $26.0 million (including $2.2 million of make-whole premium on the repayment of our 4.5% notes due 2019, which we redeemed in March 2019, or the 2019 Notes, and $2.7 million in debt issuance costs on the BNP Credit Facility), general and administrative expenses totaled $1.2 million and $3.6 million and provision for taxes totaled $0.3 million and $0.9 million, respectively. The decrease in</w:t>
      </w:r>
    </w:p>
    <w:p>
      <w:pPr>
        <w:sectPr>
          <w:pgSz w:w="11900" w:h="16838" w:orient="portrait"/>
          <w:cols w:equalWidth="0" w:num="1">
            <w:col w:w="11240"/>
          </w:cols>
          <w:pgMar w:left="320" w:top="112" w:right="339" w:bottom="0" w:gutter="0" w:footer="0" w:header="0"/>
        </w:sectPr>
      </w:pPr>
    </w:p>
    <w:bookmarkStart w:id="5" w:name="page6"/>
    <w:bookmarkEnd w:id="5"/>
    <w:p>
      <w:pPr>
        <w:jc w:val="both"/>
        <w:spacing w:after="0"/>
        <w:rPr>
          <w:sz w:val="20"/>
          <w:szCs w:val="20"/>
          <w:color w:val="auto"/>
        </w:rPr>
      </w:pPr>
      <w:r>
        <w:rPr>
          <w:rFonts w:ascii="Times New Roman" w:cs="Times New Roman" w:eastAsia="Times New Roman" w:hAnsi="Times New Roman"/>
          <w:sz w:val="22"/>
          <w:szCs w:val="22"/>
          <w:color w:val="auto"/>
        </w:rPr>
        <w:t>expenses for the three months ended June 30, 2020 compared to the same period in the prior year was primarily due to the performance-based incentive fee waiver. The decrease in expenses for the nine months ended June 30, 2020 compared to the same period in the prior year was primarily due to performance-based incentive fee waiver and financing costs incurred in the prior year in connection with the redemption of the 2019 Notes, partially offset by the higher leverage costs.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Net Investment Income</w:t>
      </w:r>
    </w:p>
    <w:p>
      <w:pPr>
        <w:spacing w:after="0" w:line="21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Net investment income totaled $11.0 million and $31.5 million, or $0.16 and $0.47 per share, for the three and nine months ended June 30, 2020, respectively. Net investment income totaled $11.6 million and $35.0 million, or $0.17 and $0.51 per share, for the three and nine months ended June 30, 2019, respectively. The decrease in net investment income compared to the same periods in the prior year was primarily due to lower investment income as well as higher leverage costs, partially offset by the performance-based incentive fee waiver.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Net Realized Gains or Losses</w:t>
      </w:r>
    </w:p>
    <w:p>
      <w:pPr>
        <w:spacing w:after="0" w:line="21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Sales and repayments of investments for the three and nine months ended June 30, 2020 totaled $66.5 million and $114.1 million, respectively, and net realized losses totaled $0.1 million and $10.7 million, respectively. Sales and repayments of investments for the three and nine months ended June 30, 2019 totaled $84.7 million and $325.6 million, respectively, and net realized losses totaled $99.6 million and $90.1 million, respectively. The change in realized gains/losses was primarily due to changes in the market conditions of our investments and the values at which they were realized.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Unrealized Appreciation or Depreciation on Investments, the Credit Facilities and the 2019 Notes</w:t>
      </w:r>
    </w:p>
    <w:p>
      <w:pPr>
        <w:spacing w:after="0" w:line="21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For the three and nine months ended June 30, 2020, we reported net change in unrealized appreciation (depreciation) of $29.8 million and $(67.5), respectively. For the three and nine months ended June 30, 2019, we reported net change in unrealized appreciation on investments of $93.4 million and $52.9 million, respectively. As of June 30, 2020 and September 30, 2019, our net unrealized depreciation on investments totaled $105.2 million and $37.6 million, respectively. The net change in unrealized depreciation on our investments compared to the same periods in the prior year was primarily due to changes in the capital market conditions, as well as the financial performance of certain portfolio companies primarily driven by the market disruption caused by the COVID-19 pandemic and the uncertainty surrounding its continued adverse economic impact. For more information on how the COVID-19 pandemic has affected our business and results of operations, see the “Effects of COVID-19” section below.</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For the three and nine months ended June 30, 2020, our Credit Facilities had a net change in unrealized (appreciation) depreciation of $(25.1) million and $21.3 million, respectively. For the three and nine months ended June 30, 2019, our Credit Facilities and the 2019 Notes had a net change in unrealized depreciation of $0.2 million and $9.9 million, respectively. As of June 30, 2020 and September 30, 2019, the net unrealized depreciation on the Credit Facilities totaled $28.5 million and $7.2 million, respectively. The net change in unrealized depreciation compared to the same periods in the prior year was primarily due to changes in the capital markets.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Net Change in Net Assets Resulting from Operations</w:t>
      </w:r>
    </w:p>
    <w:p>
      <w:pPr>
        <w:spacing w:after="0" w:line="21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Net change in net assets resulting from operations totaled $15.6 million and $(25.5) million, or $0.23 and $(0.38) per share, for the three and nine months ended June 30, 2020, respectively. Net change in net assets resulting from operations totaled $5.6 million and $7.7 million, or $0.08 and $0.11 per share, for the three and nine months ended June 30, 2019, respectively. The increase in the net change in net assets from operations for the three months ended June 30, 2020 compared to the same period in the prior year was primarily due to changes in the capital markets. The decrease in the net change in net assets from operations for the nine months ended June 30, 2020 compared to the same period in the prior year was primarily due to depreciation of the portfolio primarily driven by the market disruption caused by the COVID-19 pandemic and the uncertainty surrounding its continued adverse economic impact. For more information on how the COVID-19 pandemic has affected our business and results of operations, see the “Effects of COVID-19” section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 AND CAPITAL RESOURCES</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For more information on how the COVID-19 pandemic may impact our ability to comply with the covenants of the Credit Facilities, see the “Effects of COVID-19” section below.</w:t>
      </w:r>
    </w:p>
    <w:p>
      <w:pPr>
        <w:spacing w:after="0" w:line="18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annualized weighted average cost of debt for the nine months ended June 30, 2020 and 2019, inclusive of the fee on the undrawn commitment under the Credit Facilities, debt issuance costs on the BNP Credit Facility, prepayment penalties on the 2019 Notes and amortized upfront fees on the 2024 Notes and SBA debentures, was 4.2% and 5.4%, respectively (excluding debt issuance costs and prepayment penalties, amounts were 4.2% and 4.6%, respectively).</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of June 30, 2020 and September 30, 2019, PennantPark Investment Funding I, LLC, or Funding I, had $245.0 million and $171.0 million in outstanding borrowings under the BNP Credit Facility, respectively. The BNP Credit Facility had a weighted average interest rate of 2.8% and 4.6%, respectively, exclusive of the fee on undrawn commitments, as of June 30, 2020 and</w:t>
      </w:r>
    </w:p>
    <w:p>
      <w:pPr>
        <w:sectPr>
          <w:pgSz w:w="11900" w:h="16838" w:orient="portrait"/>
          <w:cols w:equalWidth="0" w:num="1">
            <w:col w:w="11240"/>
          </w:cols>
          <w:pgMar w:left="320" w:top="111" w:right="339" w:bottom="0" w:gutter="0" w:footer="0" w:header="0"/>
        </w:sectPr>
      </w:pPr>
    </w:p>
    <w:bookmarkStart w:id="6" w:name="page7"/>
    <w:bookmarkEnd w:id="6"/>
    <w:p>
      <w:pPr>
        <w:jc w:val="both"/>
        <w:spacing w:after="0"/>
        <w:rPr>
          <w:sz w:val="20"/>
          <w:szCs w:val="20"/>
          <w:color w:val="auto"/>
        </w:rPr>
      </w:pPr>
      <w:r>
        <w:rPr>
          <w:rFonts w:ascii="Times New Roman" w:cs="Times New Roman" w:eastAsia="Times New Roman" w:hAnsi="Times New Roman"/>
          <w:sz w:val="22"/>
          <w:szCs w:val="22"/>
          <w:color w:val="auto"/>
        </w:rPr>
        <w:t>September 30, 2019. The BNP Credit Facility is a five-year revolving facility with a stated maturity date of February 22, 2024 and pricing set at 260 basis points over LIBOR (or an alternative risk-free floating interest rate index). As of June 30, 2020 and September 30, 2019, Funding I had $5.0 million and $79.0 million of unused borrowing capacity under the BNP Credit Facility, respectively, subject to leverage and borrowing base restrictions.</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As of June 30, 2020 and September 30, 2019, we had $417.6 million and $301.6 million, respectively, in outstanding borrowings under the Truist Credit Facility. The Truist Credit Facility had a weighted average interest rate of 2.5% and 4.2%, respectively, exclusive of the fee on undrawn commitments, as of June 30, 2020 and September 30, 2019. The Truist Credit Facility is a five-year revolving facility with a stated maturity date of September 4, 2024 ($55.0 million of the $475 million commitment will mature May 25, 2022), with a one-year term-out period and pricing set at 225 basis points over LIBOR (or an alternative risk-free floating interest rate index). As of June 30, 2020 and September 30, 2019, we had $57.4 million and $173.4 million of unused borrowing capacity under the Truist Credit Facility, respectively, subject to leverage and borrowing base restrictions.</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of June 30, 2020 and September 30, 2019, we had cash and cash equivalents of $51.6 million and $59.5 million, respectively, available for investing and general corporate purposes. We believe our liquidity and capital resources are sufficient to take advantage of market opportunities.</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Our operating activities used cash of $156.1 million for the nine months ended June 30, 2020, and our financing activities provided cash of $148.2 million for the same period. Our operating activities used cash primarily for our investment activities and our financing activities provided cash primarily from net borrowings under the Credit Facilities.</w:t>
      </w:r>
    </w:p>
    <w:p>
      <w:pPr>
        <w:spacing w:after="0" w:line="1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Our operating activities used cash of $146.7 million for the nine months ended June 30, 2019 and our financing activities provided cash of $148.9 million for the same period. Our operating activities provided cash from sales and repayments on our investments and our financing activities used cash primarily to pay distributions to stockholders and for net repayments under the Truist Credit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DISTRIBUTIONS</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During the three and nine months ended June 30, 2020, we declared distributions of $0.12 and $0.48 per share, for total distributions of $8.0 million and $32.2 million, respectively. For the same periods in the prior year, we declared distributions of $0.18 and $0.54 per share, for total distributions of $12.1 million and $36.4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Securities and Exchange Commission.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EFFECTS OF COVID-19</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spread of COVID-19 has had a significant impact on the U.S. economy and has resulted in governmental orders imposing travel restrictions and prolonged closures of many corporate offices, retail stores, manufacturing facilities, factories and other common places of public congregation around the world. These restrictions and “stay-at-home” orders have essentially resulted in the shutdown of all non-essential businesses, as defined by each governmental authority imposing the respective orders. The COVID-19 pandemic has had, and continues to have, an adverse impact on our operating results and the operating results of our portfolio companies. Any future impact to our business and results of operations will depend to a large extent on future developments and new information that may emerge regarding the duration and severity of COVID-19 and the actions taken by authorities and other entities to reduce the spread of the virus, all of which are beyond our control.</w:t>
      </w:r>
    </w:p>
    <w:p>
      <w:pPr>
        <w:spacing w:after="0" w:line="17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We had a significant reduction of our net asset value as of June 30, 2020 as compared to our net asset value as of September 30, 2019. This reduction resulted from an increase in the overall net unrealized depreciation of the Company’s portfolio, including unrealized depreciation on the Company's investments and the Credit Facilities as of June 30, 2020, which was primarily due to the immediate adverse economic impact of the COVID-19 pandemic, the continuing uncertainty surrounding its long-term effects as well as the re-pricing of credit risk in the broadly syndicated credit market. As of June 30, 2020, we are in compliance with asset coverage requirements under the Investment Company Act of 1940, as amended. In addition, we are not in default of any asset coverage requirements under the Credit Facilities as of June 30, 2020. However, any continued increase in unrealized depreciation of our investment portfolio or further significant reductions in our net asset value, as a result of the effects of the COVID-19 pandemic or otherwise, increases the risk of breaching the relevant covenants. As such, we may run into liquidity issues in the future if we are unable to draw on the unused borrowing capacity under our Credit Facilities due the breach of financial covenants.</w:t>
      </w:r>
    </w:p>
    <w:p>
      <w:pPr>
        <w:spacing w:after="0" w:line="18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We will continue to monitor the rapidly evolving situation surrounding the COVID-19 pandemic and guidance from U.S. and international authorities, including federal, state and local public health authorities, and may take further actions based on their recommendations. There may be developments outside our control requiring us to adjust our plans accordingly. While we are closely monitoring this situation, we cannot predict the impact of COVID-19 on our future financial condition, results of operations or cash flows with any level of certainty. However, we expect that the COVID-19 pandemic will continue to have a material adverse impact on our future net investment income, the fair value of our portfolio investments, and the results of operations and financial condition of our portfolio companies. For information concerning the COVID-19 pandemic and its potential impact on our business and our operating results, see our Quarterly Report on Form 10-Q for the quarter ended June 30,</w:t>
      </w:r>
    </w:p>
    <w:p>
      <w:pPr>
        <w:sectPr>
          <w:pgSz w:w="11900" w:h="16838" w:orient="portrait"/>
          <w:cols w:equalWidth="0" w:num="1">
            <w:col w:w="11240"/>
          </w:cols>
          <w:pgMar w:left="320" w:top="111" w:right="339" w:bottom="0" w:gutter="0" w:footer="0" w:header="0"/>
        </w:sectPr>
      </w:pPr>
    </w:p>
    <w:bookmarkStart w:id="7" w:name="page8"/>
    <w:bookmarkEnd w:id="7"/>
    <w:p>
      <w:pPr>
        <w:jc w:val="both"/>
        <w:spacing w:after="0" w:line="259" w:lineRule="auto"/>
        <w:rPr>
          <w:sz w:val="20"/>
          <w:szCs w:val="20"/>
          <w:color w:val="auto"/>
        </w:rPr>
      </w:pPr>
      <w:r>
        <w:rPr>
          <w:rFonts w:ascii="Times New Roman" w:cs="Times New Roman" w:eastAsia="Times New Roman" w:hAnsi="Times New Roman"/>
          <w:sz w:val="22"/>
          <w:szCs w:val="22"/>
          <w:color w:val="auto"/>
        </w:rPr>
        <w:t>2020, including “Item 2. Management's Discussion and Analysis of Financial Condition and Results of Operations – COVID-19 Developments” and “Part II - Other Information – Item 1A. Risk Factors” therein.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RECENT DEVELOPMENTS</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On July 31, 2020, we and certain entities and managed accounts of the private credit investment manager of Pantheon Ventures (UK) LLP, or Pantheon, entered into an amended and restated limited liability company agreement to co-manage a newly-formed joint venture, PennantPark Senior Loan Fund, LLC, or “PSLF”, whereby Pantheon has invested $35.0 million to acquire a 28% stake in PSLF. PSLF will acquire Funding I from us. Funding I holds $356 million of senior loans as of July 31, 2020. Further, as a result of this transaction, Funding I will become a wholly-owned subsidiary of PSLF and deconsolidate from our financial statements. PSLF is expected to invest primarily in middle market senior loans consistent with our strategy.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AVAILABLE INFORMATION</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The Company makes available on its website its report on Form 10-Q filed with the SEC and stockholders may find the report on our website at </w:t>
      </w:r>
      <w:r>
        <w:rPr>
          <w:rFonts w:ascii="Times New Roman" w:cs="Times New Roman" w:eastAsia="Times New Roman" w:hAnsi="Times New Roman"/>
          <w:sz w:val="22"/>
          <w:szCs w:val="22"/>
          <w:u w:val="single" w:color="auto"/>
          <w:color w:val="auto"/>
        </w:rPr>
        <w:t>www.pennantpark.com</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INVESTMENT CORPORATION AND SUBSIDIARIES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ASSETS AND LIABILITIES</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8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gridSpan w:val="3"/>
          </w:tcPr>
          <w:p>
            <w:pPr>
              <w:jc w:val="right"/>
              <w:ind w:right="120"/>
              <w:spacing w:after="0"/>
              <w:rPr>
                <w:sz w:val="20"/>
                <w:szCs w:val="20"/>
                <w:color w:val="auto"/>
              </w:rPr>
            </w:pPr>
            <w:r>
              <w:rPr>
                <w:rFonts w:ascii="Times New Roman" w:cs="Times New Roman" w:eastAsia="Times New Roman" w:hAnsi="Times New Roman"/>
                <w:sz w:val="22"/>
                <w:szCs w:val="22"/>
                <w:b w:val="1"/>
                <w:bCs w:val="1"/>
                <w:color w:val="auto"/>
              </w:rPr>
              <w:t>September 30,</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3"/>
                <w:szCs w:val="23"/>
                <w:color w:val="auto"/>
              </w:rPr>
            </w:pPr>
          </w:p>
        </w:tc>
        <w:tc>
          <w:tcPr>
            <w:tcW w:w="1620" w:type="dxa"/>
            <w:vAlign w:val="bottom"/>
            <w:gridSpan w:val="3"/>
          </w:tcPr>
          <w:p>
            <w:pPr>
              <w:jc w:val="right"/>
              <w:ind w:right="280"/>
              <w:spacing w:after="0"/>
              <w:rPr>
                <w:sz w:val="20"/>
                <w:szCs w:val="20"/>
                <w:color w:val="auto"/>
              </w:rPr>
            </w:pPr>
            <w:r>
              <w:rPr>
                <w:rFonts w:ascii="Times New Roman" w:cs="Times New Roman" w:eastAsia="Times New Roman" w:hAnsi="Times New Roman"/>
                <w:sz w:val="22"/>
                <w:szCs w:val="22"/>
                <w:b w:val="1"/>
                <w:bCs w:val="1"/>
                <w:color w:val="auto"/>
              </w:rPr>
              <w:t>June 30, 2020</w:t>
            </w:r>
          </w:p>
        </w:tc>
        <w:tc>
          <w:tcPr>
            <w:tcW w:w="140" w:type="dxa"/>
            <w:vAlign w:val="bottom"/>
          </w:tcPr>
          <w:p>
            <w:pPr>
              <w:spacing w:after="0"/>
              <w:rPr>
                <w:sz w:val="23"/>
                <w:szCs w:val="23"/>
                <w:color w:val="auto"/>
              </w:rPr>
            </w:pPr>
          </w:p>
        </w:tc>
        <w:tc>
          <w:tcPr>
            <w:tcW w:w="1280" w:type="dxa"/>
            <w:vAlign w:val="bottom"/>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2019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808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Assets</w:t>
            </w:r>
          </w:p>
        </w:tc>
        <w:tc>
          <w:tcPr>
            <w:tcW w:w="140" w:type="dxa"/>
            <w:vAlign w:val="bottom"/>
          </w:tcPr>
          <w:p>
            <w:pPr>
              <w:spacing w:after="0"/>
              <w:rPr>
                <w:sz w:val="24"/>
                <w:szCs w:val="24"/>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22"/>
                <w:szCs w:val="22"/>
                <w:b w:val="1"/>
                <w:bCs w:val="1"/>
                <w:color w:val="auto"/>
                <w:w w:val="99"/>
              </w:rPr>
              <w:t>(unaudited)</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080" w:type="dxa"/>
            <w:vAlign w:val="bottom"/>
            <w:vMerge w:val="continue"/>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Times New Roman" w:cs="Times New Roman" w:eastAsia="Times New Roman" w:hAnsi="Times New Roman"/>
                <w:sz w:val="22"/>
                <w:szCs w:val="22"/>
                <w:color w:val="auto"/>
              </w:rPr>
              <w:t>Investments at fair value</w:t>
            </w: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0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Non-controlled, non-affiliated investments (cost—$1,084,872,788 and $922,304,099,</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respectively)</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7"/>
              </w:rPr>
              <w:t>1,086,891,447</w:t>
            </w:r>
          </w:p>
        </w:tc>
        <w:tc>
          <w:tcPr>
            <w:tcW w:w="2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936,632,099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Non-controlled, affiliated investments (cost—$77,628,920 and $77,600,816, respectively)</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33,132,158</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49,349,338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80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Controlled, affiliated investments (cost—$275,946,491 and $257,117,800, respectively)</w:t>
            </w: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213,325,256</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233,451,359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080" w:type="dxa"/>
            <w:vAlign w:val="bottom"/>
          </w:tcPr>
          <w:p>
            <w:pPr>
              <w:ind w:left="120"/>
              <w:spacing w:after="0" w:line="251" w:lineRule="exact"/>
              <w:rPr>
                <w:sz w:val="20"/>
                <w:szCs w:val="20"/>
                <w:color w:val="auto"/>
              </w:rPr>
            </w:pPr>
            <w:r>
              <w:rPr>
                <w:rFonts w:ascii="Times New Roman" w:cs="Times New Roman" w:eastAsia="Times New Roman" w:hAnsi="Times New Roman"/>
                <w:sz w:val="22"/>
                <w:szCs w:val="22"/>
                <w:color w:val="auto"/>
              </w:rPr>
              <w:t>Total of investments (cost—$1,438,448,199 and $1,257,022,715, respectively)</w:t>
            </w:r>
          </w:p>
        </w:tc>
        <w:tc>
          <w:tcPr>
            <w:tcW w:w="140" w:type="dxa"/>
            <w:vAlign w:val="bottom"/>
          </w:tcPr>
          <w:p>
            <w:pPr>
              <w:spacing w:after="0"/>
              <w:rPr>
                <w:sz w:val="21"/>
                <w:szCs w:val="21"/>
                <w:color w:val="auto"/>
              </w:rPr>
            </w:pPr>
          </w:p>
        </w:tc>
        <w:tc>
          <w:tcPr>
            <w:tcW w:w="128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w w:val="97"/>
              </w:rPr>
              <w:t>1,333,348,861</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w w:val="97"/>
              </w:rPr>
              <w:t>1,219,432,796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Times New Roman" w:cs="Times New Roman" w:eastAsia="Times New Roman" w:hAnsi="Times New Roman"/>
                <w:sz w:val="22"/>
                <w:szCs w:val="22"/>
                <w:color w:val="auto"/>
              </w:rPr>
              <w:t>Cash and cash equivalents (cost—$51,620,212 and $59,546,438, respectively)</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51,565,044</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59,516,236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Times New Roman" w:cs="Times New Roman" w:eastAsia="Times New Roman" w:hAnsi="Times New Roman"/>
                <w:sz w:val="22"/>
                <w:szCs w:val="22"/>
                <w:color w:val="auto"/>
              </w:rPr>
              <w:t>Interest receivable</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5,230,894</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6,226,539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8080" w:type="dxa"/>
            <w:vAlign w:val="bottom"/>
          </w:tcPr>
          <w:p>
            <w:pPr>
              <w:spacing w:after="0"/>
              <w:rPr>
                <w:sz w:val="20"/>
                <w:szCs w:val="20"/>
                <w:color w:val="auto"/>
              </w:rPr>
            </w:pPr>
            <w:r>
              <w:rPr>
                <w:rFonts w:ascii="Times New Roman" w:cs="Times New Roman" w:eastAsia="Times New Roman" w:hAnsi="Times New Roman"/>
                <w:sz w:val="22"/>
                <w:szCs w:val="22"/>
                <w:color w:val="auto"/>
              </w:rPr>
              <w:t>Prepaid expenses and other assets</w:t>
            </w: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1,099,585</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662,442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808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Total assets</w:t>
            </w: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7"/>
              </w:rPr>
              <w:t>1,391,244,384</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7"/>
              </w:rPr>
              <w:t>1,285,838,013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080" w:type="dxa"/>
            <w:vAlign w:val="bottom"/>
          </w:tcPr>
          <w:p>
            <w:pPr>
              <w:spacing w:after="0" w:line="249" w:lineRule="exact"/>
              <w:rPr>
                <w:sz w:val="20"/>
                <w:szCs w:val="20"/>
                <w:color w:val="auto"/>
              </w:rPr>
            </w:pPr>
            <w:r>
              <w:rPr>
                <w:rFonts w:ascii="Times New Roman" w:cs="Times New Roman" w:eastAsia="Times New Roman" w:hAnsi="Times New Roman"/>
                <w:sz w:val="22"/>
                <w:szCs w:val="22"/>
                <w:b w:val="1"/>
                <w:bCs w:val="1"/>
                <w:color w:val="auto"/>
              </w:rPr>
              <w:t>Liabilities</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Times New Roman" w:cs="Times New Roman" w:eastAsia="Times New Roman" w:hAnsi="Times New Roman"/>
                <w:sz w:val="22"/>
                <w:szCs w:val="22"/>
                <w:color w:val="auto"/>
              </w:rPr>
              <w:t>Distributions payable</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8,045,413</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12,068,119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0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BNP Credit Facility payable, at fair value (cost—$245,000,000 and $171,000,000,</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Times New Roman" w:cs="Times New Roman" w:eastAsia="Times New Roman" w:hAnsi="Times New Roman"/>
                <w:sz w:val="22"/>
                <w:szCs w:val="22"/>
                <w:color w:val="auto"/>
              </w:rPr>
              <w:t>respectively)</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236,670,000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170,145,000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0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Truist Credit Facility payable, at fair value (cost—$417,636,000 and $301,636,000,</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Times New Roman" w:cs="Times New Roman" w:eastAsia="Times New Roman" w:hAnsi="Times New Roman"/>
                <w:sz w:val="22"/>
                <w:szCs w:val="22"/>
                <w:color w:val="auto"/>
              </w:rPr>
              <w:t>respectively)</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397,419,103</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295,245,214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Times New Roman" w:cs="Times New Roman" w:eastAsia="Times New Roman" w:hAnsi="Times New Roman"/>
                <w:sz w:val="22"/>
                <w:szCs w:val="22"/>
                <w:color w:val="auto"/>
              </w:rPr>
              <w:t>2024 Notes payable, net (par—$86,250,000 and $75,000,000, respectively)</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83,671,185</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72,256,607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Times New Roman" w:cs="Times New Roman" w:eastAsia="Times New Roman" w:hAnsi="Times New Roman"/>
                <w:sz w:val="22"/>
                <w:szCs w:val="22"/>
                <w:color w:val="auto"/>
              </w:rPr>
              <w:t>SBA debentures payable, net (par—$133,500,000 and $150,000,000, respectively)</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130,383,825</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146,111,055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Times New Roman" w:cs="Times New Roman" w:eastAsia="Times New Roman" w:hAnsi="Times New Roman"/>
                <w:sz w:val="22"/>
                <w:szCs w:val="22"/>
                <w:color w:val="auto"/>
              </w:rPr>
              <w:t>Base management fee payable, net</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4,643,273</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4,641,480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Times New Roman" w:cs="Times New Roman" w:eastAsia="Times New Roman" w:hAnsi="Times New Roman"/>
                <w:sz w:val="22"/>
                <w:szCs w:val="22"/>
                <w:color w:val="auto"/>
              </w:rPr>
              <w:t>Interest payable on debt</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5,666,385</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2,895,695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8080" w:type="dxa"/>
            <w:vAlign w:val="bottom"/>
          </w:tcPr>
          <w:p>
            <w:pPr>
              <w:spacing w:after="0"/>
              <w:rPr>
                <w:sz w:val="20"/>
                <w:szCs w:val="20"/>
                <w:color w:val="auto"/>
              </w:rPr>
            </w:pPr>
            <w:r>
              <w:rPr>
                <w:rFonts w:ascii="Times New Roman" w:cs="Times New Roman" w:eastAsia="Times New Roman" w:hAnsi="Times New Roman"/>
                <w:sz w:val="22"/>
                <w:szCs w:val="22"/>
                <w:color w:val="auto"/>
              </w:rPr>
              <w:t>Accrued other expenses</w:t>
            </w: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497,446</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569,175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808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Total liabilities</w:t>
            </w: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866,996,630</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703,932,345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8080" w:type="dxa"/>
            <w:vAlign w:val="bottom"/>
          </w:tcPr>
          <w:p>
            <w:pPr>
              <w:spacing w:after="0" w:line="245" w:lineRule="exact"/>
              <w:rPr>
                <w:sz w:val="20"/>
                <w:szCs w:val="20"/>
                <w:color w:val="auto"/>
              </w:rPr>
            </w:pPr>
            <w:r>
              <w:rPr>
                <w:rFonts w:ascii="Times New Roman" w:cs="Times New Roman" w:eastAsia="Times New Roman" w:hAnsi="Times New Roman"/>
                <w:sz w:val="22"/>
                <w:szCs w:val="22"/>
                <w:color w:val="auto"/>
              </w:rPr>
              <w:t>Commitments and contingencies</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8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Net assets</w:t>
            </w: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0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67,045,105 and 67,045,105 shares issued and outstanding, respectively</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0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Par value $0.001 per share and 100,000,000 shares authorized</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67,045</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67,045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Times New Roman" w:cs="Times New Roman" w:eastAsia="Times New Roman" w:hAnsi="Times New Roman"/>
                <w:sz w:val="22"/>
                <w:szCs w:val="22"/>
                <w:color w:val="auto"/>
              </w:rPr>
              <w:t>Paid-in capital in excess of par value</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788,192,159</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788,192,159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8080" w:type="dxa"/>
            <w:vAlign w:val="bottom"/>
          </w:tcPr>
          <w:p>
            <w:pPr>
              <w:spacing w:after="0"/>
              <w:rPr>
                <w:sz w:val="20"/>
                <w:szCs w:val="20"/>
                <w:color w:val="auto"/>
              </w:rPr>
            </w:pPr>
            <w:r>
              <w:rPr>
                <w:rFonts w:ascii="Times New Roman" w:cs="Times New Roman" w:eastAsia="Times New Roman" w:hAnsi="Times New Roman"/>
                <w:sz w:val="22"/>
                <w:szCs w:val="22"/>
                <w:color w:val="auto"/>
              </w:rPr>
              <w:t>Distributable income</w:t>
            </w:r>
          </w:p>
        </w:tc>
        <w:tc>
          <w:tcPr>
            <w:tcW w:w="140" w:type="dxa"/>
            <w:vAlign w:val="bottom"/>
          </w:tcPr>
          <w:p>
            <w:pPr>
              <w:spacing w:after="0"/>
              <w:rPr>
                <w:sz w:val="24"/>
                <w:szCs w:val="24"/>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(264,011,450)</w:t>
            </w:r>
          </w:p>
        </w:tc>
        <w:tc>
          <w:tcPr>
            <w:tcW w:w="14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(206,353,536)</w:t>
            </w:r>
          </w:p>
        </w:tc>
        <w:tc>
          <w:tcPr>
            <w:tcW w:w="0" w:type="dxa"/>
            <w:vAlign w:val="bottom"/>
          </w:tcPr>
          <w:p>
            <w:pPr>
              <w:spacing w:after="0"/>
              <w:rPr>
                <w:sz w:val="1"/>
                <w:szCs w:val="1"/>
                <w:color w:val="auto"/>
              </w:rPr>
            </w:pPr>
          </w:p>
        </w:tc>
      </w:tr>
      <w:tr>
        <w:trPr>
          <w:trHeight w:val="265"/>
        </w:trPr>
        <w:tc>
          <w:tcPr>
            <w:tcW w:w="808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Total net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524,247,754</w:t>
            </w:r>
          </w:p>
        </w:tc>
        <w:tc>
          <w:tcPr>
            <w:tcW w:w="200" w:type="dxa"/>
            <w:vAlign w:val="bottom"/>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581,905,668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08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Total liabilities and net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u w:val="single" w:color="auto"/>
                <w:color w:val="auto"/>
                <w:w w:val="9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7"/>
              </w:rPr>
              <w:t>1,391,244,384</w:t>
            </w:r>
          </w:p>
        </w:tc>
        <w:tc>
          <w:tcPr>
            <w:tcW w:w="2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u w:val="single" w:color="auto"/>
                <w:color w:val="auto"/>
                <w:w w:val="9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7"/>
              </w:rPr>
              <w:t>1,285,838,013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Net asset value per share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7.82</w:t>
            </w:r>
          </w:p>
        </w:tc>
        <w:tc>
          <w:tcPr>
            <w:tcW w:w="2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8.68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8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jc w:val="center"/>
        <w:spacing w:after="0" w:line="246" w:lineRule="auto"/>
        <w:rPr>
          <w:sz w:val="20"/>
          <w:szCs w:val="20"/>
          <w:color w:val="auto"/>
        </w:rPr>
      </w:pPr>
      <w:r>
        <w:rPr>
          <w:rFonts w:ascii="Times New Roman" w:cs="Times New Roman" w:eastAsia="Times New Roman" w:hAnsi="Times New Roman"/>
          <w:sz w:val="22"/>
          <w:szCs w:val="22"/>
          <w:b w:val="1"/>
          <w:bCs w:val="1"/>
          <w:color w:val="auto"/>
        </w:rPr>
        <w:t>PENNANTPARK INVESTMENT CORPORATION AND SUBSIDIARIES CONSOLIDATED STATEMENTS OF OPERATIONS (Unaudited)</w:t>
      </w:r>
    </w:p>
    <w:p>
      <w:pPr>
        <w:spacing w:after="0" w:line="171" w:lineRule="exact"/>
        <w:rPr>
          <w:sz w:val="20"/>
          <w:szCs w:val="20"/>
          <w:color w:val="auto"/>
        </w:rPr>
      </w:pPr>
    </w:p>
    <w:tbl>
      <w:tblPr>
        <w:tblLayout w:type="fixed"/>
        <w:tblInd w:w="5620" w:type="dxa"/>
        <w:tblCellMar>
          <w:top w:w="0" w:type="dxa"/>
          <w:left w:w="0" w:type="dxa"/>
          <w:bottom w:w="0" w:type="dxa"/>
          <w:right w:w="0" w:type="dxa"/>
        </w:tblCellMar>
      </w:tblPr>
      <w:tr>
        <w:trPr>
          <w:trHeight w:val="253"/>
        </w:trPr>
        <w:tc>
          <w:tcPr>
            <w:tcW w:w="2860" w:type="dxa"/>
            <w:vAlign w:val="bottom"/>
            <w:gridSpan w:val="2"/>
          </w:tcPr>
          <w:p>
            <w:pPr>
              <w:jc w:val="center"/>
              <w:ind w:right="200"/>
              <w:spacing w:after="0"/>
              <w:rPr>
                <w:sz w:val="20"/>
                <w:szCs w:val="20"/>
                <w:color w:val="auto"/>
              </w:rPr>
            </w:pPr>
            <w:r>
              <w:rPr>
                <w:rFonts w:ascii="Times New Roman" w:cs="Times New Roman" w:eastAsia="Times New Roman" w:hAnsi="Times New Roman"/>
                <w:sz w:val="22"/>
                <w:szCs w:val="22"/>
                <w:b w:val="1"/>
                <w:bCs w:val="1"/>
                <w:color w:val="auto"/>
                <w:w w:val="97"/>
              </w:rPr>
              <w:t>Three Months Ended June</w:t>
            </w:r>
          </w:p>
        </w:tc>
        <w:tc>
          <w:tcPr>
            <w:tcW w:w="26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Nine Months Ended June</w:t>
            </w:r>
          </w:p>
        </w:tc>
      </w:tr>
      <w:tr>
        <w:trPr>
          <w:trHeight w:val="287"/>
        </w:trPr>
        <w:tc>
          <w:tcPr>
            <w:tcW w:w="2640" w:type="dxa"/>
            <w:vAlign w:val="bottom"/>
            <w:tcBorders>
              <w:bottom w:val="single" w:sz="8" w:color="auto"/>
            </w:tcBorders>
          </w:tcPr>
          <w:p>
            <w:pPr>
              <w:jc w:val="right"/>
              <w:ind w:right="1072"/>
              <w:spacing w:after="0"/>
              <w:rPr>
                <w:sz w:val="20"/>
                <w:szCs w:val="20"/>
                <w:color w:val="auto"/>
              </w:rPr>
            </w:pPr>
            <w:r>
              <w:rPr>
                <w:rFonts w:ascii="Times New Roman" w:cs="Times New Roman" w:eastAsia="Times New Roman" w:hAnsi="Times New Roman"/>
                <w:sz w:val="22"/>
                <w:szCs w:val="22"/>
                <w:b w:val="1"/>
                <w:bCs w:val="1"/>
                <w:color w:val="auto"/>
              </w:rPr>
              <w:t>30,</w:t>
            </w:r>
          </w:p>
        </w:tc>
        <w:tc>
          <w:tcPr>
            <w:tcW w:w="220" w:type="dxa"/>
            <w:vAlign w:val="bottom"/>
          </w:tcPr>
          <w:p>
            <w:pPr>
              <w:spacing w:after="0"/>
              <w:rPr>
                <w:sz w:val="24"/>
                <w:szCs w:val="24"/>
                <w:color w:val="auto"/>
              </w:rPr>
            </w:pPr>
          </w:p>
        </w:tc>
        <w:tc>
          <w:tcPr>
            <w:tcW w:w="2660" w:type="dxa"/>
            <w:vAlign w:val="bottom"/>
            <w:tcBorders>
              <w:bottom w:val="single" w:sz="8" w:color="auto"/>
            </w:tcBorders>
          </w:tcPr>
          <w:p>
            <w:pPr>
              <w:jc w:val="right"/>
              <w:ind w:right="1092"/>
              <w:spacing w:after="0"/>
              <w:rPr>
                <w:sz w:val="20"/>
                <w:szCs w:val="20"/>
                <w:color w:val="auto"/>
              </w:rPr>
            </w:pPr>
            <w:r>
              <w:rPr>
                <w:rFonts w:ascii="Times New Roman" w:cs="Times New Roman" w:eastAsia="Times New Roman" w:hAnsi="Times New Roman"/>
                <w:sz w:val="22"/>
                <w:szCs w:val="22"/>
                <w:b w:val="1"/>
                <w:bCs w:val="1"/>
                <w:color w:val="auto"/>
              </w:rPr>
              <w:t>30,</w:t>
            </w:r>
          </w:p>
        </w:tc>
      </w:tr>
    </w:tbl>
    <w:p>
      <w:pPr>
        <w:sectPr>
          <w:pgSz w:w="11900" w:h="16838" w:orient="portrait"/>
          <w:cols w:equalWidth="0" w:num="1">
            <w:col w:w="11240"/>
          </w:cols>
          <w:pgMar w:left="320" w:top="111" w:right="339" w:bottom="0" w:gutter="0" w:footer="0" w:header="0"/>
        </w:sectPr>
      </w:pPr>
    </w:p>
    <w:bookmarkStart w:id="8" w:name="page9"/>
    <w:bookmarkEnd w:id="8"/>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88"/>
        </w:trPr>
        <w:tc>
          <w:tcPr>
            <w:tcW w:w="560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Investment income:</w:t>
            </w: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2020</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rPr>
              <w:t>2019</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2020</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2019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22"/>
                <w:szCs w:val="22"/>
                <w:color w:val="auto"/>
              </w:rPr>
              <w:t>From non-controlled, non-affiliated investments:</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Interest</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20,118,883</w:t>
            </w:r>
          </w:p>
        </w:tc>
        <w:tc>
          <w:tcPr>
            <w:tcW w:w="2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19,928,284</w:t>
            </w:r>
          </w:p>
        </w:tc>
        <w:tc>
          <w:tcPr>
            <w:tcW w:w="2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63,252,326</w:t>
            </w:r>
          </w:p>
        </w:tc>
        <w:tc>
          <w:tcPr>
            <w:tcW w:w="2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66,484,378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Payment-in-kind</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2,099,536</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1,987,294</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5,962,936</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4,625,804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Other income</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1,165,825</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530,923</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2,107,027</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1,992,875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22"/>
                <w:szCs w:val="22"/>
                <w:color w:val="auto"/>
              </w:rPr>
              <w:t>From controlled, affiliated investments:</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Interest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588,818</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3,435,510</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1,793,442</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7,272,766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Payment-in-kind</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1,434,567</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1,454,009</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5,830,555</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2,855,450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5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Other income</w:t>
            </w:r>
          </w:p>
        </w:tc>
        <w:tc>
          <w:tcPr>
            <w:tcW w:w="140" w:type="dxa"/>
            <w:vAlign w:val="bottom"/>
          </w:tcPr>
          <w:p>
            <w:pPr>
              <w:spacing w:after="0"/>
              <w:rPr>
                <w:sz w:val="24"/>
                <w:szCs w:val="24"/>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776,944</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132"/>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949,445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600" w:type="dxa"/>
            <w:vAlign w:val="bottom"/>
          </w:tcPr>
          <w:p>
            <w:pPr>
              <w:ind w:left="260"/>
              <w:spacing w:after="0"/>
              <w:rPr>
                <w:sz w:val="20"/>
                <w:szCs w:val="20"/>
                <w:color w:val="auto"/>
              </w:rPr>
            </w:pPr>
            <w:r>
              <w:rPr>
                <w:rFonts w:ascii="Times New Roman" w:cs="Times New Roman" w:eastAsia="Times New Roman" w:hAnsi="Times New Roman"/>
                <w:sz w:val="22"/>
                <w:szCs w:val="22"/>
                <w:b w:val="1"/>
                <w:bCs w:val="1"/>
                <w:color w:val="auto"/>
              </w:rPr>
              <w:t>Total investment income</w:t>
            </w:r>
          </w:p>
        </w:tc>
        <w:tc>
          <w:tcPr>
            <w:tcW w:w="1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25,407,629</w:t>
            </w:r>
          </w:p>
        </w:tc>
        <w:tc>
          <w:tcPr>
            <w:tcW w:w="22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28,112,964</w:t>
            </w:r>
          </w:p>
        </w:tc>
        <w:tc>
          <w:tcPr>
            <w:tcW w:w="22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78,946,286</w:t>
            </w:r>
          </w:p>
        </w:tc>
        <w:tc>
          <w:tcPr>
            <w:tcW w:w="22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84,180,718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600" w:type="dxa"/>
            <w:vAlign w:val="bottom"/>
          </w:tcPr>
          <w:p>
            <w:pPr>
              <w:spacing w:after="0" w:line="249" w:lineRule="exact"/>
              <w:rPr>
                <w:sz w:val="20"/>
                <w:szCs w:val="20"/>
                <w:color w:val="auto"/>
              </w:rPr>
            </w:pPr>
            <w:r>
              <w:rPr>
                <w:rFonts w:ascii="Times New Roman" w:cs="Times New Roman" w:eastAsia="Times New Roman" w:hAnsi="Times New Roman"/>
                <w:sz w:val="22"/>
                <w:szCs w:val="22"/>
                <w:b w:val="1"/>
                <w:bCs w:val="1"/>
                <w:color w:val="auto"/>
              </w:rPr>
              <w:t>Expenses: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Base management fee</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4,643,273</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4,653,657</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14,266,402</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13,583,748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Performance-based incentive fee</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1,921,984</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2,471,085</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4,579,657</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5,146,696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Interest and expenses on debt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8,316,571</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7,808,175</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26,145,154</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21,119,041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Administrative services expenses</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521,520</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538,125</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1,564,560</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1,592,375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5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Other general and administrative expenses</w:t>
            </w: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643,480</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692,178</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1,936,322</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2,002,723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600" w:type="dxa"/>
            <w:vAlign w:val="bottom"/>
          </w:tcPr>
          <w:p>
            <w:pPr>
              <w:ind w:left="260"/>
              <w:spacing w:after="0" w:line="206" w:lineRule="exact"/>
              <w:rPr>
                <w:sz w:val="20"/>
                <w:szCs w:val="20"/>
                <w:color w:val="auto"/>
              </w:rPr>
            </w:pPr>
            <w:r>
              <w:rPr>
                <w:rFonts w:ascii="Times New Roman" w:cs="Times New Roman" w:eastAsia="Times New Roman" w:hAnsi="Times New Roman"/>
                <w:sz w:val="22"/>
                <w:szCs w:val="22"/>
                <w:b w:val="1"/>
                <w:bCs w:val="1"/>
                <w:color w:val="auto"/>
              </w:rPr>
              <w:t>Expenses before performance-based incentive fees</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5600" w:type="dxa"/>
            <w:vAlign w:val="bottom"/>
          </w:tcPr>
          <w:p>
            <w:pPr>
              <w:ind w:left="260"/>
              <w:spacing w:after="0"/>
              <w:rPr>
                <w:sz w:val="20"/>
                <w:szCs w:val="20"/>
                <w:color w:val="auto"/>
              </w:rPr>
            </w:pPr>
            <w:r>
              <w:rPr>
                <w:rFonts w:ascii="Times New Roman" w:cs="Times New Roman" w:eastAsia="Times New Roman" w:hAnsi="Times New Roman"/>
                <w:sz w:val="22"/>
                <w:szCs w:val="22"/>
                <w:b w:val="1"/>
                <w:bCs w:val="1"/>
                <w:color w:val="auto"/>
              </w:rPr>
              <w:t>waiver, financing costs and provision for taxes</w:t>
            </w: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16,046,828</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16,163,220</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48,492,095</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43,444,583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5600" w:type="dxa"/>
            <w:vAlign w:val="bottom"/>
          </w:tcPr>
          <w:p>
            <w:pPr>
              <w:ind w:left="260"/>
              <w:spacing w:after="0" w:line="251" w:lineRule="exact"/>
              <w:rPr>
                <w:sz w:val="20"/>
                <w:szCs w:val="20"/>
                <w:color w:val="auto"/>
              </w:rPr>
            </w:pPr>
            <w:r>
              <w:rPr>
                <w:rFonts w:ascii="Times New Roman" w:cs="Times New Roman" w:eastAsia="Times New Roman" w:hAnsi="Times New Roman"/>
                <w:sz w:val="22"/>
                <w:szCs w:val="22"/>
                <w:color w:val="auto"/>
              </w:rPr>
              <w:t>Performance-based incentive fee waiver</w:t>
            </w:r>
          </w:p>
        </w:tc>
        <w:tc>
          <w:tcPr>
            <w:tcW w:w="140" w:type="dxa"/>
            <w:vAlign w:val="bottom"/>
          </w:tcPr>
          <w:p>
            <w:pPr>
              <w:spacing w:after="0"/>
              <w:rPr>
                <w:sz w:val="21"/>
                <w:szCs w:val="21"/>
                <w:color w:val="auto"/>
              </w:rPr>
            </w:pPr>
          </w:p>
        </w:tc>
        <w:tc>
          <w:tcPr>
            <w:tcW w:w="108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(1,921,984)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(1,921,984)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Debt issuance costs</w:t>
            </w:r>
          </w:p>
        </w:tc>
        <w:tc>
          <w:tcPr>
            <w:tcW w:w="140" w:type="dxa"/>
            <w:vAlign w:val="bottom"/>
          </w:tcPr>
          <w:p>
            <w:pPr>
              <w:spacing w:after="0"/>
              <w:rPr>
                <w:sz w:val="23"/>
                <w:szCs w:val="23"/>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1280" w:type="dxa"/>
            <w:vAlign w:val="bottom"/>
            <w:gridSpan w:val="2"/>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1300" w:type="dxa"/>
            <w:vAlign w:val="bottom"/>
            <w:gridSpan w:val="2"/>
          </w:tcPr>
          <w:p>
            <w:pPr>
              <w:jc w:val="right"/>
              <w:ind w:right="132"/>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2,696,498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Make-whole premium</w:t>
            </w:r>
          </w:p>
        </w:tc>
        <w:tc>
          <w:tcPr>
            <w:tcW w:w="140" w:type="dxa"/>
            <w:vAlign w:val="bottom"/>
          </w:tcPr>
          <w:p>
            <w:pPr>
              <w:spacing w:after="0"/>
              <w:rPr>
                <w:sz w:val="23"/>
                <w:szCs w:val="23"/>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1280" w:type="dxa"/>
            <w:vAlign w:val="bottom"/>
            <w:gridSpan w:val="2"/>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1300" w:type="dxa"/>
            <w:vAlign w:val="bottom"/>
            <w:gridSpan w:val="2"/>
          </w:tcPr>
          <w:p>
            <w:pPr>
              <w:jc w:val="right"/>
              <w:ind w:right="132"/>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2,162,526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5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Provision for taxes</w:t>
            </w: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300,000</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300,000</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900,000</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900,000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600" w:type="dxa"/>
            <w:vAlign w:val="bottom"/>
          </w:tcPr>
          <w:p>
            <w:pPr>
              <w:ind w:left="260"/>
              <w:spacing w:after="0"/>
              <w:rPr>
                <w:sz w:val="20"/>
                <w:szCs w:val="20"/>
                <w:color w:val="auto"/>
              </w:rPr>
            </w:pPr>
            <w:r>
              <w:rPr>
                <w:rFonts w:ascii="Times New Roman" w:cs="Times New Roman" w:eastAsia="Times New Roman" w:hAnsi="Times New Roman"/>
                <w:sz w:val="22"/>
                <w:szCs w:val="22"/>
                <w:b w:val="1"/>
                <w:bCs w:val="1"/>
                <w:color w:val="auto"/>
              </w:rPr>
              <w:t>Net expenses</w:t>
            </w: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14,424,844</w:t>
            </w:r>
          </w:p>
        </w:tc>
        <w:tc>
          <w:tcPr>
            <w:tcW w:w="2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16,463,220</w:t>
            </w:r>
          </w:p>
        </w:tc>
        <w:tc>
          <w:tcPr>
            <w:tcW w:w="2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47,470,111</w:t>
            </w:r>
          </w:p>
        </w:tc>
        <w:tc>
          <w:tcPr>
            <w:tcW w:w="2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49,203,607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Pr>
          <w:p>
            <w:pPr>
              <w:ind w:left="260"/>
              <w:spacing w:after="0"/>
              <w:rPr>
                <w:sz w:val="20"/>
                <w:szCs w:val="20"/>
                <w:color w:val="auto"/>
              </w:rPr>
            </w:pPr>
            <w:r>
              <w:rPr>
                <w:rFonts w:ascii="Times New Roman" w:cs="Times New Roman" w:eastAsia="Times New Roman" w:hAnsi="Times New Roman"/>
                <w:sz w:val="22"/>
                <w:szCs w:val="22"/>
                <w:b w:val="1"/>
                <w:bCs w:val="1"/>
                <w:color w:val="auto"/>
              </w:rPr>
              <w:t>Net investment income</w:t>
            </w: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10,982,785</w:t>
            </w: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11,649,744</w:t>
            </w: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31,476,175</w:t>
            </w: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34,977,111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5600" w:type="dxa"/>
            <w:vAlign w:val="bottom"/>
          </w:tcPr>
          <w:p>
            <w:pPr>
              <w:spacing w:after="0" w:line="205" w:lineRule="exact"/>
              <w:rPr>
                <w:sz w:val="20"/>
                <w:szCs w:val="20"/>
                <w:color w:val="auto"/>
              </w:rPr>
            </w:pPr>
            <w:r>
              <w:rPr>
                <w:rFonts w:ascii="Times New Roman" w:cs="Times New Roman" w:eastAsia="Times New Roman" w:hAnsi="Times New Roman"/>
                <w:sz w:val="22"/>
                <w:szCs w:val="22"/>
                <w:b w:val="1"/>
                <w:bCs w:val="1"/>
                <w:color w:val="auto"/>
              </w:rPr>
              <w:t>Realized and unrealized gain (loss) on investments and</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56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debt:</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22"/>
                <w:szCs w:val="22"/>
                <w:color w:val="auto"/>
              </w:rPr>
              <w:t>Net realized loss on investments on:</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Non-controlled, non-affiliated investments</w:t>
            </w:r>
          </w:p>
        </w:tc>
        <w:tc>
          <w:tcPr>
            <w:tcW w:w="140" w:type="dxa"/>
            <w:vAlign w:val="bottom"/>
          </w:tcPr>
          <w:p>
            <w:pPr>
              <w:spacing w:after="0"/>
              <w:rPr>
                <w:sz w:val="23"/>
                <w:szCs w:val="23"/>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rPr>
              <w:t>(109,739)</w:t>
            </w:r>
          </w:p>
        </w:tc>
        <w:tc>
          <w:tcPr>
            <w:tcW w:w="140" w:type="dxa"/>
            <w:vAlign w:val="bottom"/>
          </w:tcPr>
          <w:p>
            <w:pPr>
              <w:spacing w:after="0"/>
              <w:rPr>
                <w:sz w:val="23"/>
                <w:szCs w:val="23"/>
                <w:color w:val="auto"/>
              </w:rPr>
            </w:pPr>
          </w:p>
        </w:tc>
        <w:tc>
          <w:tcPr>
            <w:tcW w:w="1280" w:type="dxa"/>
            <w:vAlign w:val="bottom"/>
            <w:gridSpan w:val="2"/>
          </w:tcPr>
          <w:p>
            <w:pPr>
              <w:jc w:val="right"/>
              <w:ind w:right="12"/>
              <w:spacing w:after="0"/>
              <w:rPr>
                <w:sz w:val="20"/>
                <w:szCs w:val="20"/>
                <w:color w:val="auto"/>
              </w:rPr>
            </w:pPr>
            <w:r>
              <w:rPr>
                <w:rFonts w:ascii="Times New Roman" w:cs="Times New Roman" w:eastAsia="Times New Roman" w:hAnsi="Times New Roman"/>
                <w:sz w:val="22"/>
                <w:szCs w:val="22"/>
                <w:color w:val="auto"/>
              </w:rPr>
              <w:t>(43,486,868)</w:t>
            </w:r>
          </w:p>
        </w:tc>
        <w:tc>
          <w:tcPr>
            <w:tcW w:w="140" w:type="dxa"/>
            <w:vAlign w:val="bottom"/>
          </w:tcPr>
          <w:p>
            <w:pPr>
              <w:spacing w:after="0"/>
              <w:rPr>
                <w:sz w:val="23"/>
                <w:szCs w:val="23"/>
                <w:color w:val="auto"/>
              </w:rPr>
            </w:pPr>
          </w:p>
        </w:tc>
        <w:tc>
          <w:tcPr>
            <w:tcW w:w="1300" w:type="dxa"/>
            <w:vAlign w:val="bottom"/>
            <w:gridSpan w:val="2"/>
          </w:tcPr>
          <w:p>
            <w:pPr>
              <w:jc w:val="right"/>
              <w:ind w:right="32"/>
              <w:spacing w:after="0"/>
              <w:rPr>
                <w:sz w:val="20"/>
                <w:szCs w:val="20"/>
                <w:color w:val="auto"/>
              </w:rPr>
            </w:pPr>
            <w:r>
              <w:rPr>
                <w:rFonts w:ascii="Times New Roman" w:cs="Times New Roman" w:eastAsia="Times New Roman" w:hAnsi="Times New Roman"/>
                <w:sz w:val="22"/>
                <w:szCs w:val="22"/>
                <w:color w:val="auto"/>
              </w:rPr>
              <w:t>(10,719,114)</w:t>
            </w:r>
          </w:p>
        </w:tc>
        <w:tc>
          <w:tcPr>
            <w:tcW w:w="14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(33,757,334)</w:t>
            </w:r>
          </w:p>
        </w:tc>
        <w:tc>
          <w:tcPr>
            <w:tcW w:w="0" w:type="dxa"/>
            <w:vAlign w:val="bottom"/>
          </w:tcPr>
          <w:p>
            <w:pPr>
              <w:spacing w:after="0"/>
              <w:rPr>
                <w:sz w:val="1"/>
                <w:szCs w:val="1"/>
                <w:color w:val="auto"/>
              </w:rPr>
            </w:pPr>
          </w:p>
        </w:tc>
      </w:tr>
      <w:tr>
        <w:trPr>
          <w:trHeight w:val="282"/>
        </w:trPr>
        <w:tc>
          <w:tcPr>
            <w:tcW w:w="5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Non-controlled and controlled, affiliated investments</w:t>
            </w:r>
          </w:p>
        </w:tc>
        <w:tc>
          <w:tcPr>
            <w:tcW w:w="140" w:type="dxa"/>
            <w:vAlign w:val="bottom"/>
          </w:tcPr>
          <w:p>
            <w:pPr>
              <w:spacing w:after="0"/>
              <w:rPr>
                <w:sz w:val="24"/>
                <w:szCs w:val="24"/>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4"/>
                <w:szCs w:val="24"/>
                <w:color w:val="auto"/>
              </w:rPr>
            </w:pPr>
          </w:p>
        </w:tc>
        <w:tc>
          <w:tcPr>
            <w:tcW w:w="1280" w:type="dxa"/>
            <w:vAlign w:val="bottom"/>
            <w:gridSpan w:val="2"/>
          </w:tcPr>
          <w:p>
            <w:pPr>
              <w:jc w:val="right"/>
              <w:ind w:right="12"/>
              <w:spacing w:after="0"/>
              <w:rPr>
                <w:sz w:val="20"/>
                <w:szCs w:val="20"/>
                <w:color w:val="auto"/>
              </w:rPr>
            </w:pPr>
            <w:r>
              <w:rPr>
                <w:rFonts w:ascii="Times New Roman" w:cs="Times New Roman" w:eastAsia="Times New Roman" w:hAnsi="Times New Roman"/>
                <w:sz w:val="22"/>
                <w:szCs w:val="22"/>
                <w:color w:val="auto"/>
                <w:w w:val="95"/>
              </w:rPr>
              <w:t>(56,148,032 )</w:t>
            </w:r>
          </w:p>
        </w:tc>
        <w:tc>
          <w:tcPr>
            <w:tcW w:w="140" w:type="dxa"/>
            <w:vAlign w:val="bottom"/>
          </w:tcPr>
          <w:p>
            <w:pPr>
              <w:spacing w:after="0"/>
              <w:rPr>
                <w:sz w:val="24"/>
                <w:szCs w:val="24"/>
                <w:color w:val="auto"/>
              </w:rPr>
            </w:pPr>
          </w:p>
        </w:tc>
        <w:tc>
          <w:tcPr>
            <w:tcW w:w="1300" w:type="dxa"/>
            <w:vAlign w:val="bottom"/>
            <w:gridSpan w:val="2"/>
          </w:tcPr>
          <w:p>
            <w:pPr>
              <w:jc w:val="right"/>
              <w:ind w:right="132"/>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5"/>
              </w:rPr>
              <w:t>(56,375,131 )</w:t>
            </w:r>
          </w:p>
        </w:tc>
        <w:tc>
          <w:tcPr>
            <w:tcW w:w="0" w:type="dxa"/>
            <w:vAlign w:val="bottom"/>
          </w:tcPr>
          <w:p>
            <w:pPr>
              <w:spacing w:after="0"/>
              <w:rPr>
                <w:sz w:val="1"/>
                <w:szCs w:val="1"/>
                <w:color w:val="auto"/>
              </w:rPr>
            </w:pPr>
          </w:p>
        </w:tc>
      </w:tr>
      <w:tr>
        <w:trPr>
          <w:trHeight w:val="265"/>
        </w:trPr>
        <w:tc>
          <w:tcPr>
            <w:tcW w:w="5600" w:type="dxa"/>
            <w:vAlign w:val="bottom"/>
          </w:tcPr>
          <w:p>
            <w:pPr>
              <w:ind w:left="260"/>
              <w:spacing w:after="0"/>
              <w:rPr>
                <w:sz w:val="20"/>
                <w:szCs w:val="20"/>
                <w:color w:val="auto"/>
              </w:rPr>
            </w:pPr>
            <w:r>
              <w:rPr>
                <w:rFonts w:ascii="Times New Roman" w:cs="Times New Roman" w:eastAsia="Times New Roman" w:hAnsi="Times New Roman"/>
                <w:sz w:val="22"/>
                <w:szCs w:val="22"/>
                <w:b w:val="1"/>
                <w:bCs w:val="1"/>
                <w:color w:val="auto"/>
              </w:rPr>
              <w:t>Net realized loss on investments</w:t>
            </w:r>
          </w:p>
        </w:tc>
        <w:tc>
          <w:tcPr>
            <w:tcW w:w="1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(109,739)</w:t>
            </w:r>
          </w:p>
        </w:tc>
        <w:tc>
          <w:tcPr>
            <w:tcW w:w="220" w:type="dxa"/>
            <w:vAlign w:val="bottom"/>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7"/>
              </w:rPr>
              <w:t>(99,634,900</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7"/>
              </w:rPr>
              <w:t>(10,719,114</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81"/>
              </w:rPr>
              <w:t>)</w:t>
            </w:r>
          </w:p>
        </w:tc>
        <w:tc>
          <w:tcPr>
            <w:tcW w:w="1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7"/>
              </w:rPr>
              <w:t>(90,132,465</w:t>
            </w:r>
          </w:p>
        </w:tc>
        <w:tc>
          <w:tcPr>
            <w:tcW w:w="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81"/>
              </w:rPr>
              <w:t>)</w:t>
            </w:r>
          </w:p>
        </w:tc>
        <w:tc>
          <w:tcPr>
            <w:tcW w:w="0" w:type="dxa"/>
            <w:vAlign w:val="bottom"/>
          </w:tcPr>
          <w:p>
            <w:pPr>
              <w:spacing w:after="0"/>
              <w:rPr>
                <w:sz w:val="1"/>
                <w:szCs w:val="1"/>
                <w:color w:val="auto"/>
              </w:rPr>
            </w:pPr>
          </w:p>
        </w:tc>
      </w:tr>
      <w:tr>
        <w:trPr>
          <w:trHeight w:val="250"/>
        </w:trPr>
        <w:tc>
          <w:tcPr>
            <w:tcW w:w="560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Net change in unrealized appreciation (depreciation) on:</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Non-controlled, non-affiliated investments</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11,319,274</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36,381,944</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right"/>
              <w:ind w:right="32"/>
              <w:spacing w:after="0"/>
              <w:rPr>
                <w:sz w:val="20"/>
                <w:szCs w:val="20"/>
                <w:color w:val="auto"/>
              </w:rPr>
            </w:pPr>
            <w:r>
              <w:rPr>
                <w:rFonts w:ascii="Times New Roman" w:cs="Times New Roman" w:eastAsia="Times New Roman" w:hAnsi="Times New Roman"/>
                <w:sz w:val="22"/>
                <w:szCs w:val="22"/>
                <w:color w:val="auto"/>
              </w:rPr>
              <w:t>(12,334,358)</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7,535,406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Non-controlled and controlled, affiliated investments</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18,495,283</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57,045,559</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right"/>
              <w:ind w:right="32"/>
              <w:spacing w:after="0"/>
              <w:rPr>
                <w:sz w:val="20"/>
                <w:szCs w:val="20"/>
                <w:color w:val="auto"/>
              </w:rPr>
            </w:pPr>
            <w:r>
              <w:rPr>
                <w:rFonts w:ascii="Times New Roman" w:cs="Times New Roman" w:eastAsia="Times New Roman" w:hAnsi="Times New Roman"/>
                <w:sz w:val="22"/>
                <w:szCs w:val="22"/>
                <w:color w:val="auto"/>
              </w:rPr>
              <w:t>(55,200,078)</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45,366,352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56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Debt (appreciation) depreciation</w:t>
            </w:r>
          </w:p>
        </w:tc>
        <w:tc>
          <w:tcPr>
            <w:tcW w:w="140" w:type="dxa"/>
            <w:vAlign w:val="bottom"/>
          </w:tcPr>
          <w:p>
            <w:pPr>
              <w:spacing w:after="0"/>
              <w:rPr>
                <w:sz w:val="24"/>
                <w:szCs w:val="2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22"/>
                <w:szCs w:val="22"/>
                <w:color w:val="auto"/>
                <w:w w:val="95"/>
              </w:rPr>
              <w:t>(25,073,673 )</w:t>
            </w: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186,504</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21,301,111</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9,914,139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600" w:type="dxa"/>
            <w:vAlign w:val="bottom"/>
          </w:tcPr>
          <w:p>
            <w:pPr>
              <w:ind w:left="260"/>
              <w:spacing w:after="0" w:line="206" w:lineRule="exact"/>
              <w:rPr>
                <w:sz w:val="20"/>
                <w:szCs w:val="20"/>
                <w:color w:val="auto"/>
              </w:rPr>
            </w:pPr>
            <w:r>
              <w:rPr>
                <w:rFonts w:ascii="Times New Roman" w:cs="Times New Roman" w:eastAsia="Times New Roman" w:hAnsi="Times New Roman"/>
                <w:sz w:val="22"/>
                <w:szCs w:val="22"/>
                <w:b w:val="1"/>
                <w:bCs w:val="1"/>
                <w:color w:val="auto"/>
              </w:rPr>
              <w:t>Net change in unrealized appreciation (depreciation) on</w:t>
            </w: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5600" w:type="dxa"/>
            <w:vAlign w:val="bottom"/>
          </w:tcPr>
          <w:p>
            <w:pPr>
              <w:ind w:left="260"/>
              <w:spacing w:after="0"/>
              <w:rPr>
                <w:sz w:val="20"/>
                <w:szCs w:val="20"/>
                <w:color w:val="auto"/>
              </w:rPr>
            </w:pPr>
            <w:r>
              <w:rPr>
                <w:rFonts w:ascii="Times New Roman" w:cs="Times New Roman" w:eastAsia="Times New Roman" w:hAnsi="Times New Roman"/>
                <w:sz w:val="22"/>
                <w:szCs w:val="22"/>
                <w:b w:val="1"/>
                <w:bCs w:val="1"/>
                <w:color w:val="auto"/>
              </w:rPr>
              <w:t>investments and debt</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4,740,884</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93,614,007</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32"/>
              <w:spacing w:after="0"/>
              <w:rPr>
                <w:sz w:val="20"/>
                <w:szCs w:val="20"/>
                <w:color w:val="auto"/>
              </w:rPr>
            </w:pPr>
            <w:r>
              <w:rPr>
                <w:rFonts w:ascii="Times New Roman" w:cs="Times New Roman" w:eastAsia="Times New Roman" w:hAnsi="Times New Roman"/>
                <w:sz w:val="22"/>
                <w:szCs w:val="22"/>
                <w:color w:val="auto"/>
                <w:w w:val="95"/>
              </w:rPr>
              <w:t>(46,233,325 )</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62,815,897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600" w:type="dxa"/>
            <w:vAlign w:val="bottom"/>
          </w:tcPr>
          <w:p>
            <w:pPr>
              <w:spacing w:after="0" w:line="206" w:lineRule="exact"/>
              <w:rPr>
                <w:sz w:val="20"/>
                <w:szCs w:val="20"/>
                <w:color w:val="auto"/>
              </w:rPr>
            </w:pPr>
            <w:r>
              <w:rPr>
                <w:rFonts w:ascii="Times New Roman" w:cs="Times New Roman" w:eastAsia="Times New Roman" w:hAnsi="Times New Roman"/>
                <w:sz w:val="22"/>
                <w:szCs w:val="22"/>
                <w:b w:val="1"/>
                <w:bCs w:val="1"/>
                <w:color w:val="auto"/>
              </w:rPr>
              <w:t>Net realized and unrealized gain (loss) from investments</w:t>
            </w: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56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and debt</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4,631,145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12"/>
              <w:spacing w:after="0"/>
              <w:rPr>
                <w:sz w:val="20"/>
                <w:szCs w:val="20"/>
                <w:color w:val="auto"/>
              </w:rPr>
            </w:pPr>
            <w:r>
              <w:rPr>
                <w:rFonts w:ascii="Times New Roman" w:cs="Times New Roman" w:eastAsia="Times New Roman" w:hAnsi="Times New Roman"/>
                <w:sz w:val="22"/>
                <w:szCs w:val="22"/>
                <w:color w:val="auto"/>
              </w:rPr>
              <w:t>(6,020,893)</w:t>
            </w:r>
          </w:p>
        </w:tc>
        <w:tc>
          <w:tcPr>
            <w:tcW w:w="140" w:type="dxa"/>
            <w:vAlign w:val="bottom"/>
          </w:tcPr>
          <w:p>
            <w:pPr>
              <w:spacing w:after="0"/>
              <w:rPr>
                <w:sz w:val="24"/>
                <w:szCs w:val="24"/>
                <w:color w:val="auto"/>
              </w:rPr>
            </w:pPr>
          </w:p>
        </w:tc>
        <w:tc>
          <w:tcPr>
            <w:tcW w:w="1300" w:type="dxa"/>
            <w:vAlign w:val="bottom"/>
            <w:gridSpan w:val="2"/>
          </w:tcPr>
          <w:p>
            <w:pPr>
              <w:jc w:val="right"/>
              <w:ind w:right="32"/>
              <w:spacing w:after="0"/>
              <w:rPr>
                <w:sz w:val="20"/>
                <w:szCs w:val="20"/>
                <w:color w:val="auto"/>
              </w:rPr>
            </w:pPr>
            <w:r>
              <w:rPr>
                <w:rFonts w:ascii="Times New Roman" w:cs="Times New Roman" w:eastAsia="Times New Roman" w:hAnsi="Times New Roman"/>
                <w:sz w:val="22"/>
                <w:szCs w:val="22"/>
                <w:color w:val="auto"/>
                <w:w w:val="95"/>
              </w:rPr>
              <w:t>(56,952,439 )</w:t>
            </w:r>
          </w:p>
        </w:tc>
        <w:tc>
          <w:tcPr>
            <w:tcW w:w="14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5"/>
              </w:rPr>
              <w:t>(27,316,568 )</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line="226" w:lineRule="exact"/>
              <w:rPr>
                <w:sz w:val="20"/>
                <w:szCs w:val="20"/>
                <w:color w:val="auto"/>
              </w:rPr>
            </w:pPr>
            <w:r>
              <w:rPr>
                <w:rFonts w:ascii="Times New Roman" w:cs="Times New Roman" w:eastAsia="Times New Roman" w:hAnsi="Times New Roman"/>
                <w:sz w:val="22"/>
                <w:szCs w:val="22"/>
                <w:b w:val="1"/>
                <w:bCs w:val="1"/>
                <w:color w:val="auto"/>
              </w:rPr>
              <w:t>Net increase (decrease) in net assets resulting from</w:t>
            </w: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600" w:type="dxa"/>
            <w:vAlign w:val="bottom"/>
            <w:vMerge w:val="continue"/>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15,613,930</w:t>
            </w:r>
          </w:p>
        </w:tc>
        <w:tc>
          <w:tcPr>
            <w:tcW w:w="22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5,628,851</w:t>
            </w:r>
          </w:p>
        </w:tc>
        <w:tc>
          <w:tcPr>
            <w:tcW w:w="22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gridSpan w:val="2"/>
            <w:vMerge w:val="restart"/>
          </w:tcPr>
          <w:p>
            <w:pPr>
              <w:jc w:val="right"/>
              <w:ind w:right="32"/>
              <w:spacing w:after="0"/>
              <w:rPr>
                <w:sz w:val="20"/>
                <w:szCs w:val="20"/>
                <w:color w:val="auto"/>
              </w:rPr>
            </w:pPr>
            <w:r>
              <w:rPr>
                <w:rFonts w:ascii="Times New Roman" w:cs="Times New Roman" w:eastAsia="Times New Roman" w:hAnsi="Times New Roman"/>
                <w:sz w:val="22"/>
                <w:szCs w:val="22"/>
                <w:color w:val="auto"/>
                <w:w w:val="95"/>
              </w:rPr>
              <w:t>(25,476,264 )</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7,660,543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56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operations</w:t>
            </w:r>
          </w:p>
        </w:tc>
        <w:tc>
          <w:tcPr>
            <w:tcW w:w="140" w:type="dxa"/>
            <w:vAlign w:val="bottom"/>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140" w:type="dxa"/>
            <w:vAlign w:val="bottom"/>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line="236" w:lineRule="exact"/>
              <w:rPr>
                <w:sz w:val="20"/>
                <w:szCs w:val="20"/>
                <w:color w:val="auto"/>
              </w:rPr>
            </w:pPr>
            <w:r>
              <w:rPr>
                <w:rFonts w:ascii="Times New Roman" w:cs="Times New Roman" w:eastAsia="Times New Roman" w:hAnsi="Times New Roman"/>
                <w:sz w:val="22"/>
                <w:szCs w:val="22"/>
                <w:color w:val="auto"/>
              </w:rPr>
              <w:t>Net increase (decrease) in net assets resulting from operations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600" w:type="dxa"/>
            <w:vAlign w:val="bottom"/>
            <w:vMerge w:val="continue"/>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0.23</w:t>
            </w:r>
          </w:p>
        </w:tc>
        <w:tc>
          <w:tcPr>
            <w:tcW w:w="22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0.08</w:t>
            </w:r>
          </w:p>
        </w:tc>
        <w:tc>
          <w:tcPr>
            <w:tcW w:w="22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300" w:type="dxa"/>
            <w:vAlign w:val="bottom"/>
            <w:gridSpan w:val="2"/>
            <w:vMerge w:val="restart"/>
          </w:tcPr>
          <w:p>
            <w:pPr>
              <w:jc w:val="right"/>
              <w:ind w:right="32"/>
              <w:spacing w:after="0"/>
              <w:rPr>
                <w:sz w:val="20"/>
                <w:szCs w:val="20"/>
                <w:color w:val="auto"/>
              </w:rPr>
            </w:pPr>
            <w:r>
              <w:rPr>
                <w:rFonts w:ascii="Times New Roman" w:cs="Times New Roman" w:eastAsia="Times New Roman" w:hAnsi="Times New Roman"/>
                <w:sz w:val="22"/>
                <w:szCs w:val="22"/>
                <w:color w:val="auto"/>
              </w:rPr>
              <w:t>(0.38 )</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22"/>
                <w:szCs w:val="22"/>
                <w:color w:val="auto"/>
              </w:rPr>
              <w:t>per common share</w:t>
            </w:r>
          </w:p>
        </w:tc>
        <w:tc>
          <w:tcPr>
            <w:tcW w:w="140" w:type="dxa"/>
            <w:vAlign w:val="bottom"/>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140" w:type="dxa"/>
            <w:vAlign w:val="bottom"/>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600" w:type="dxa"/>
            <w:vAlign w:val="bottom"/>
          </w:tcPr>
          <w:p>
            <w:pPr>
              <w:spacing w:after="0"/>
              <w:rPr>
                <w:sz w:val="20"/>
                <w:szCs w:val="20"/>
                <w:color w:val="auto"/>
              </w:rPr>
            </w:pPr>
            <w:r>
              <w:rPr>
                <w:rFonts w:ascii="Times New Roman" w:cs="Times New Roman" w:eastAsia="Times New Roman" w:hAnsi="Times New Roman"/>
                <w:sz w:val="22"/>
                <w:szCs w:val="22"/>
                <w:color w:val="auto"/>
              </w:rPr>
              <w:t>Net investment income per common share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0.16</w:t>
            </w:r>
          </w:p>
        </w:tc>
        <w:tc>
          <w:tcPr>
            <w:tcW w:w="2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0.17</w:t>
            </w:r>
          </w:p>
        </w:tc>
        <w:tc>
          <w:tcPr>
            <w:tcW w:w="2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0.47</w:t>
            </w:r>
          </w:p>
        </w:tc>
        <w:tc>
          <w:tcPr>
            <w:tcW w:w="2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0.51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PENNANTPARK INVESTMENT CORPORATION</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PennantPark Investment Corporation is a business development company which invests primarily in U.S. middle-market companies in the form of first lien secured debt, second lien secured debt, subordinated debt and equity investments. PennantPark Investment Corporation is managed by PennantPark Investment Advisers, LLC.</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PENNANTPARK INVESTMENT ADVISERS, LLC</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which today has $3.6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ectPr>
          <w:pgSz w:w="11900" w:h="16838" w:orient="portrait"/>
          <w:cols w:equalWidth="0" w:num="1">
            <w:col w:w="11240"/>
          </w:cols>
          <w:pgMar w:left="320" w:top="108" w:right="339" w:bottom="239" w:gutter="0" w:footer="0" w:header="0"/>
        </w:sectPr>
      </w:pPr>
    </w:p>
    <w:bookmarkStart w:id="9" w:name="page10"/>
    <w:bookmarkEnd w:id="9"/>
    <w:p>
      <w:pPr>
        <w:jc w:val="both"/>
        <w:spacing w:after="0" w:line="253" w:lineRule="auto"/>
        <w:rPr>
          <w:sz w:val="20"/>
          <w:szCs w:val="20"/>
          <w:color w:val="auto"/>
        </w:rPr>
      </w:pPr>
      <w:r>
        <w:rPr>
          <w:rFonts w:ascii="Times New Roman" w:cs="Times New Roman" w:eastAsia="Times New Roman" w:hAnsi="Times New Roman"/>
          <w:sz w:val="21"/>
          <w:szCs w:val="21"/>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as well as changes in the economy and risks associated with possible disruption in the Company’s operations or the economy generally due to terrorism, natural disasters or pandemics such as COVID-19.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Aviv Efrat</w:t>
      </w:r>
    </w:p>
    <w:p>
      <w:pPr>
        <w:spacing w:after="0" w:line="230" w:lineRule="auto"/>
        <w:rPr>
          <w:sz w:val="20"/>
          <w:szCs w:val="20"/>
          <w:color w:val="auto"/>
        </w:rPr>
      </w:pPr>
      <w:r>
        <w:rPr>
          <w:rFonts w:ascii="Times New Roman" w:cs="Times New Roman" w:eastAsia="Times New Roman" w:hAnsi="Times New Roman"/>
          <w:sz w:val="22"/>
          <w:szCs w:val="22"/>
          <w:color w:val="auto"/>
        </w:rPr>
        <w:t>PennantPark Investment Corporation</w:t>
      </w:r>
    </w:p>
    <w:p>
      <w:pPr>
        <w:spacing w:after="0" w:line="1" w:lineRule="exact"/>
        <w:rPr>
          <w:sz w:val="20"/>
          <w:szCs w:val="20"/>
          <w:color w:val="auto"/>
        </w:rPr>
      </w:pPr>
    </w:p>
    <w:p>
      <w:pPr>
        <w:ind w:right="9240" w:firstLine="8"/>
        <w:spacing w:after="0" w:line="258" w:lineRule="auto"/>
        <w:tabs>
          <w:tab w:leader="none" w:pos="5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2020-08-05T19:14:11Z</dcterms:created>
  <dcterms:modified xsi:type="dcterms:W3CDTF">2020-08-05T19:14:11Z</dcterms:modified>
</cp:coreProperties>
</file>