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17, 2007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rPr>
              <w:t>NY</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445 Park Avenue, 10th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212-307-3280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22"/>
          <w:szCs w:val="22"/>
          <w:color w:val="auto"/>
        </w:rPr>
        <w:t>The following press release was issued by PennantPark Investment Corporation on Spetember 17, 2007:</w:t>
      </w:r>
    </w:p>
    <w:p>
      <w:pPr>
        <w:spacing w:after="0" w:line="200" w:lineRule="exact"/>
        <w:rPr>
          <w:sz w:val="24"/>
          <w:szCs w:val="24"/>
          <w:color w:val="auto"/>
        </w:rPr>
      </w:pPr>
    </w:p>
    <w:p>
      <w:pPr>
        <w:spacing w:after="0" w:line="243"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17, 2007</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September 17, 2007</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CFO</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940" w:type="dxa"/>
            <w:vAlign w:val="bottom"/>
            <w:gridSpan w:val="4"/>
            <w:vMerge w:val="restart"/>
          </w:tcPr>
          <w:p>
            <w:pPr>
              <w:jc w:val="center"/>
              <w:ind w:left="212"/>
              <w:spacing w:after="0"/>
              <w:rPr>
                <w:sz w:val="20"/>
                <w:szCs w:val="20"/>
                <w:color w:val="auto"/>
              </w:rPr>
            </w:pPr>
            <w:r>
              <w:rPr>
                <w:rFonts w:ascii="Arial" w:cs="Arial" w:eastAsia="Arial" w:hAnsi="Arial"/>
                <w:sz w:val="22"/>
                <w:szCs w:val="22"/>
                <w:color w:val="auto"/>
                <w:w w:val="87"/>
              </w:rPr>
              <w:t>September 17, 2007</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Dividend of $0.22 per Share</w:t>
      </w:r>
    </w:p>
    <w:p>
      <w:pPr>
        <w:spacing w:after="0" w:line="213"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NEW YORK, NY -- 09/17/2007 -- PennantPark Investment Corporation (the "Company") (NASDAQ: PNNT) declares its fourth fiscal quarter 2007 dividend of $0.22 per share, payable on September 28, 2007 to shareholders of record as of September 25, 2007. The ex-dividend date is September 21, 2007. Dividends are being paid from taxable earnings and from other sources whose specific tax characteristics will be reported to shareholders on Form 1099 after the end of the calendar year. The Company is a business development company that invests primarily in U.S. middle-market companies in the form of senior secured loans, mezzanine loans and equity.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Statements included herein may constitute "forward-looking statements" within the meaning of the Private Securities Litigation Reform Act of 1995. All statements other than statements of historical facts included herein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For More Information Contact: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rPr>
          <w:sz w:val="20"/>
          <w:szCs w:val="20"/>
          <w:color w:val="auto"/>
        </w:rPr>
      </w:pPr>
      <w:r>
        <w:rPr>
          <w:rFonts w:ascii="Courier New" w:cs="Courier New" w:eastAsia="Courier New" w:hAnsi="Courier New"/>
          <w:sz w:val="18"/>
          <w:szCs w:val="18"/>
          <w:color w:val="auto"/>
        </w:rPr>
        <w:t>Chief Financial Officer</w:t>
      </w:r>
    </w:p>
    <w:p>
      <w:pPr>
        <w:jc w:val="center"/>
        <w:spacing w:after="0" w:line="237" w:lineRule="auto"/>
        <w:rPr>
          <w:sz w:val="20"/>
          <w:szCs w:val="20"/>
          <w:color w:val="auto"/>
        </w:rPr>
      </w:pPr>
      <w:r>
        <w:rPr>
          <w:rFonts w:ascii="Courier New" w:cs="Courier New" w:eastAsia="Courier New" w:hAnsi="Courier New"/>
          <w:sz w:val="18"/>
          <w:szCs w:val="18"/>
          <w:color w:val="auto"/>
        </w:rPr>
        <w:t>(212) 307-3280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2020-05-05T15:06:40Z</dcterms:created>
  <dcterms:modified xsi:type="dcterms:W3CDTF">2020-05-05T15:06:40Z</dcterms:modified>
</cp:coreProperties>
</file>